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3E" w:rsidRDefault="0032463E" w:rsidP="0032463E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WITTGENSTEIN E OS LIMITES DA LINGUAGEM: A POSSIBILIDADE DE EXPANSÃO DOS LIMITES DA LINGUAGEM PELA ARTE</w:t>
      </w:r>
    </w:p>
    <w:p w:rsidR="0032463E" w:rsidRDefault="00E25DFF" w:rsidP="0032463E">
      <w:pPr>
        <w:jc w:val="right"/>
      </w:pPr>
      <w:r>
        <w:t xml:space="preserve">                                                                   </w:t>
      </w:r>
      <w:r w:rsidR="00D60A23">
        <w:t xml:space="preserve">                          </w:t>
      </w:r>
      <w:r>
        <w:t>Filicio Mulinari e Silva</w:t>
      </w:r>
      <w:r w:rsidR="0032463E">
        <w:t xml:space="preserve"> (Universidade Federal do Espírito Santo – UFES)</w:t>
      </w:r>
    </w:p>
    <w:p w:rsidR="0032463E" w:rsidRPr="00CE522A" w:rsidRDefault="0032463E" w:rsidP="0032463E">
      <w:pPr>
        <w:jc w:val="right"/>
      </w:pPr>
      <w:r>
        <w:t>filicio@gmail.com</w:t>
      </w:r>
    </w:p>
    <w:p w:rsidR="00286BAA" w:rsidRPr="00676D5F" w:rsidRDefault="00E11D6A" w:rsidP="00160878">
      <w:pPr>
        <w:spacing w:before="240"/>
        <w:jc w:val="both"/>
        <w:rPr>
          <w:b/>
        </w:rPr>
      </w:pPr>
      <w:r>
        <w:rPr>
          <w:b/>
        </w:rPr>
        <w:t>Resumo:</w:t>
      </w:r>
    </w:p>
    <w:p w:rsidR="002632F5" w:rsidRPr="002632F5" w:rsidRDefault="002632F5" w:rsidP="002632F5">
      <w:pPr>
        <w:spacing w:before="240"/>
        <w:jc w:val="both"/>
        <w:rPr>
          <w:b/>
          <w:i/>
        </w:rPr>
      </w:pPr>
      <w:r w:rsidRPr="002632F5">
        <w:rPr>
          <w:i/>
        </w:rPr>
        <w:t xml:space="preserve">A idéia central defendida por Wittgenstein na obra </w:t>
      </w:r>
      <w:r w:rsidRPr="002632F5">
        <w:t>Tractatus Logico-Philosophicus</w:t>
      </w:r>
      <w:r w:rsidRPr="002632F5">
        <w:rPr>
          <w:i/>
        </w:rPr>
        <w:t xml:space="preserve"> afetou várias áreas e problemas tradicionais da filosofia como, por exemplo, os problemas éticos e metafísicos. Por este motivo, o objetivo do presente artigo é mostrar a relação entre a tese da referida obra, principalmente no que se refere aos limites da linguagem para com as questões éticas, e a tese exposta por Julio Cabrera em seu livro </w:t>
      </w:r>
      <w:r w:rsidRPr="002632F5">
        <w:t>O cinema pensa</w:t>
      </w:r>
      <w:r>
        <w:rPr>
          <w:i/>
        </w:rPr>
        <w:t>,</w:t>
      </w:r>
      <w:r w:rsidRPr="002632F5">
        <w:rPr>
          <w:i/>
        </w:rPr>
        <w:t xml:space="preserve"> que aponta a arte, de modo especial o cinema, como um caminho alternativo para o problema da indizibilidade ética proposta pelo </w:t>
      </w:r>
      <w:r w:rsidRPr="002632F5">
        <w:t>Tractatus.</w:t>
      </w:r>
    </w:p>
    <w:p w:rsidR="00676D5F" w:rsidRDefault="0056690E" w:rsidP="00160878">
      <w:pPr>
        <w:pBdr>
          <w:bottom w:val="single" w:sz="12" w:space="1" w:color="auto"/>
        </w:pBdr>
        <w:spacing w:before="240"/>
        <w:jc w:val="both"/>
      </w:pPr>
      <w:r w:rsidRPr="00324A98">
        <w:t xml:space="preserve">Palavras-chave: Ética – </w:t>
      </w:r>
      <w:r w:rsidR="008059E1">
        <w:t>c</w:t>
      </w:r>
      <w:r w:rsidRPr="00324A98">
        <w:t xml:space="preserve">inema </w:t>
      </w:r>
      <w:r w:rsidR="002A220C" w:rsidRPr="00324A98">
        <w:t>–</w:t>
      </w:r>
      <w:r w:rsidR="00602B98" w:rsidRPr="00324A98">
        <w:t xml:space="preserve"> </w:t>
      </w:r>
      <w:r w:rsidR="008059E1">
        <w:t>t</w:t>
      </w:r>
      <w:r w:rsidR="007277E8" w:rsidRPr="00324A98">
        <w:t xml:space="preserve">eoria do </w:t>
      </w:r>
      <w:r w:rsidR="008059E1">
        <w:t>s</w:t>
      </w:r>
      <w:r w:rsidR="007277E8" w:rsidRPr="00324A98">
        <w:t>ignificado – limites da linguagem</w:t>
      </w:r>
      <w:r w:rsidR="004D46F2" w:rsidRPr="00324A98">
        <w:t xml:space="preserve"> –</w:t>
      </w:r>
      <w:r w:rsidR="004D46F2">
        <w:t xml:space="preserve"> </w:t>
      </w:r>
      <w:r w:rsidR="00FB408C">
        <w:t>linguagem referencial</w:t>
      </w:r>
    </w:p>
    <w:p w:rsidR="00784D7A" w:rsidRPr="00A97144" w:rsidRDefault="00784D7A" w:rsidP="00160878">
      <w:pPr>
        <w:pBdr>
          <w:bottom w:val="single" w:sz="12" w:space="1" w:color="auto"/>
        </w:pBdr>
        <w:spacing w:before="240"/>
        <w:jc w:val="both"/>
      </w:pPr>
    </w:p>
    <w:p w:rsidR="00784D7A" w:rsidRPr="00A97144" w:rsidRDefault="00784D7A" w:rsidP="00784D7A">
      <w:pPr>
        <w:spacing w:after="240"/>
      </w:pPr>
    </w:p>
    <w:p w:rsidR="001F60BE" w:rsidRPr="001F60BE" w:rsidRDefault="001F60BE" w:rsidP="00A97144">
      <w:pPr>
        <w:spacing w:after="240"/>
        <w:jc w:val="center"/>
        <w:rPr>
          <w:lang w:val="en-US"/>
        </w:rPr>
      </w:pPr>
      <w:r w:rsidRPr="00A97144">
        <w:rPr>
          <w:lang w:val="en-US"/>
        </w:rPr>
        <w:t>WITTGENSTEIN AND THE LIMITS OF LANGUAGE:</w:t>
      </w:r>
      <w:r w:rsidR="00A97144" w:rsidRPr="00A97144">
        <w:rPr>
          <w:lang w:val="en-US"/>
        </w:rPr>
        <w:t xml:space="preserve"> THE POSSIBILITY OF EXPANDING THE LIMITS OF LANGUAGE BY ART</w:t>
      </w:r>
    </w:p>
    <w:p w:rsidR="00A97144" w:rsidRPr="00A97144" w:rsidRDefault="00A97144" w:rsidP="00784D7A">
      <w:pPr>
        <w:spacing w:after="240"/>
        <w:jc w:val="both"/>
        <w:rPr>
          <w:b/>
          <w:lang w:val="en-US"/>
        </w:rPr>
      </w:pPr>
      <w:r>
        <w:rPr>
          <w:b/>
          <w:lang w:val="en-US"/>
        </w:rPr>
        <w:t>Abstract:</w:t>
      </w:r>
    </w:p>
    <w:p w:rsidR="00784D7A" w:rsidRPr="00784D7A" w:rsidRDefault="00784D7A" w:rsidP="00784D7A">
      <w:pPr>
        <w:spacing w:after="240"/>
        <w:jc w:val="both"/>
        <w:rPr>
          <w:i/>
          <w:lang w:val="en-US"/>
        </w:rPr>
      </w:pPr>
      <w:r w:rsidRPr="00784D7A">
        <w:rPr>
          <w:i/>
          <w:lang w:val="en-US"/>
        </w:rPr>
        <w:t xml:space="preserve">The main idea defended by Wittgenstein in his work </w:t>
      </w:r>
      <w:r w:rsidRPr="00784D7A">
        <w:rPr>
          <w:iCs/>
          <w:lang w:val="en-US"/>
        </w:rPr>
        <w:t>Tractatus Logico-Philosophicus</w:t>
      </w:r>
      <w:r w:rsidRPr="00784D7A">
        <w:rPr>
          <w:i/>
          <w:iCs/>
          <w:lang w:val="en-US"/>
        </w:rPr>
        <w:t xml:space="preserve"> affected several areas and several philosophy traditional problems, e.g, metaphisical and ethical problems. For </w:t>
      </w:r>
      <w:r w:rsidR="001F60BE">
        <w:rPr>
          <w:i/>
          <w:iCs/>
          <w:lang w:val="en-US"/>
        </w:rPr>
        <w:t>this reason, this article aims </w:t>
      </w:r>
      <w:r w:rsidRPr="00784D7A">
        <w:rPr>
          <w:i/>
          <w:iCs/>
          <w:lang w:val="en-US"/>
        </w:rPr>
        <w:t>to s</w:t>
      </w:r>
      <w:r w:rsidR="001F60BE">
        <w:rPr>
          <w:i/>
          <w:iCs/>
          <w:lang w:val="en-US"/>
        </w:rPr>
        <w:t>h</w:t>
      </w:r>
      <w:r w:rsidRPr="00784D7A">
        <w:rPr>
          <w:i/>
          <w:iCs/>
          <w:lang w:val="en-US"/>
        </w:rPr>
        <w:t>ow the relation between the thesis of the mentioned work, mostly in the sense of the limits</w:t>
      </w:r>
      <w:r w:rsidR="001F60BE">
        <w:rPr>
          <w:i/>
          <w:iCs/>
          <w:lang w:val="en-US"/>
        </w:rPr>
        <w:t xml:space="preserve"> of language</w:t>
      </w:r>
      <w:r w:rsidRPr="00784D7A">
        <w:rPr>
          <w:i/>
          <w:iCs/>
          <w:lang w:val="en-US"/>
        </w:rPr>
        <w:t xml:space="preserve"> towards ethical subjects, and the thesis expounded by </w:t>
      </w:r>
      <w:r>
        <w:rPr>
          <w:i/>
          <w:iCs/>
          <w:lang w:val="en-US"/>
        </w:rPr>
        <w:t>Juli</w:t>
      </w:r>
      <w:r w:rsidRPr="00784D7A">
        <w:rPr>
          <w:i/>
          <w:iCs/>
          <w:lang w:val="en-US"/>
        </w:rPr>
        <w:t xml:space="preserve">o Cabrera in his work </w:t>
      </w:r>
      <w:r w:rsidRPr="00784D7A">
        <w:rPr>
          <w:iCs/>
          <w:lang w:val="en-US"/>
        </w:rPr>
        <w:t>O cinema pensa</w:t>
      </w:r>
      <w:r w:rsidRPr="00784D7A">
        <w:rPr>
          <w:i/>
          <w:iCs/>
          <w:lang w:val="en-US"/>
        </w:rPr>
        <w:t>, which points out that art, especially cinema, as an alternative way to the problem of the speechless sense of Ethics proposed by Wittgen</w:t>
      </w:r>
      <w:r>
        <w:rPr>
          <w:i/>
          <w:iCs/>
          <w:lang w:val="en-US"/>
        </w:rPr>
        <w:t xml:space="preserve">stein in his work the </w:t>
      </w:r>
      <w:r w:rsidRPr="00784D7A">
        <w:rPr>
          <w:iCs/>
          <w:lang w:val="en-US"/>
        </w:rPr>
        <w:t>Tractatus</w:t>
      </w:r>
      <w:r>
        <w:rPr>
          <w:i/>
          <w:iCs/>
          <w:lang w:val="en-US"/>
        </w:rPr>
        <w:t>.</w:t>
      </w:r>
    </w:p>
    <w:p w:rsidR="00784D7A" w:rsidRPr="00784D7A" w:rsidRDefault="00784D7A" w:rsidP="00784D7A">
      <w:pPr>
        <w:rPr>
          <w:lang w:val="en-US"/>
        </w:rPr>
      </w:pPr>
      <w:r w:rsidRPr="00784D7A">
        <w:rPr>
          <w:lang w:val="en-US"/>
        </w:rPr>
        <w:t xml:space="preserve">Keywords: Ethics - Cinema - </w:t>
      </w:r>
      <w:r w:rsidR="008059E1">
        <w:rPr>
          <w:lang w:val="en-US"/>
        </w:rPr>
        <w:t>t</w:t>
      </w:r>
      <w:r w:rsidRPr="00784D7A">
        <w:rPr>
          <w:lang w:val="en-US"/>
        </w:rPr>
        <w:t xml:space="preserve">heory of meaning - language limits </w:t>
      </w:r>
      <w:r w:rsidR="00FB408C">
        <w:rPr>
          <w:lang w:val="en-US"/>
        </w:rPr>
        <w:t>– referential language</w:t>
      </w:r>
    </w:p>
    <w:p w:rsidR="00784D7A" w:rsidRPr="00784D7A" w:rsidRDefault="00784D7A" w:rsidP="00160878">
      <w:pPr>
        <w:spacing w:before="240"/>
        <w:rPr>
          <w:b/>
          <w:lang w:val="en-US"/>
        </w:rPr>
      </w:pPr>
    </w:p>
    <w:p w:rsidR="006C7770" w:rsidRDefault="00E802C5" w:rsidP="00160878">
      <w:pPr>
        <w:spacing w:before="240"/>
        <w:rPr>
          <w:b/>
        </w:rPr>
      </w:pPr>
      <w:r w:rsidRPr="00E802C5">
        <w:rPr>
          <w:b/>
        </w:rPr>
        <w:t>Introdução</w:t>
      </w:r>
    </w:p>
    <w:p w:rsidR="00E8028D" w:rsidRDefault="00124938" w:rsidP="00160878">
      <w:pPr>
        <w:spacing w:before="240"/>
        <w:jc w:val="both"/>
      </w:pPr>
      <w:r w:rsidRPr="00E8028D">
        <w:t>Um dos pensadores mais influentes do século XX,</w:t>
      </w:r>
      <w:r w:rsidR="009E6644">
        <w:t xml:space="preserve"> Ludwig</w:t>
      </w:r>
      <w:r w:rsidRPr="00E8028D">
        <w:t xml:space="preserve"> Wittgenstein</w:t>
      </w:r>
      <w:r w:rsidR="00E8028D">
        <w:t xml:space="preserve"> (1889-1951)</w:t>
      </w:r>
      <w:r w:rsidRPr="00E8028D">
        <w:t xml:space="preserve"> foi referência para várias gerações de filósofos, não somente pelas questões que propôs, mas também pelo modo de como as tratou. </w:t>
      </w:r>
      <w:r w:rsidR="00160878">
        <w:t>Nascido em Viena e naturalizado britânico, s</w:t>
      </w:r>
      <w:r w:rsidR="00676D5F">
        <w:t xml:space="preserve">eus escritos não só influenciaram as duas principais escolas do século XX – o Círculo de Viena e a Filosofia da Linguagem de Oxford –, mas também foram de grande </w:t>
      </w:r>
      <w:r w:rsidR="00676D5F">
        <w:lastRenderedPageBreak/>
        <w:t xml:space="preserve">influência </w:t>
      </w:r>
      <w:r w:rsidR="00CE1249">
        <w:t>para</w:t>
      </w:r>
      <w:r w:rsidR="00676D5F">
        <w:t xml:space="preserve"> ampla parte dos filósofos e pesquisadores </w:t>
      </w:r>
      <w:r w:rsidR="00643BDD">
        <w:t>de</w:t>
      </w:r>
      <w:r w:rsidR="00676D5F">
        <w:t xml:space="preserve"> quase todo campo das ciências humanas e sociais</w:t>
      </w:r>
      <w:r w:rsidR="00DF216C">
        <w:t xml:space="preserve"> do século XX</w:t>
      </w:r>
      <w:r w:rsidR="00CE1249">
        <w:t>.</w:t>
      </w:r>
      <w:r w:rsidR="00676D5F">
        <w:rPr>
          <w:rStyle w:val="Refdenotaderodap"/>
        </w:rPr>
        <w:footnoteReference w:id="1"/>
      </w:r>
    </w:p>
    <w:p w:rsidR="002C5886" w:rsidRDefault="002C5886" w:rsidP="00160878">
      <w:pPr>
        <w:spacing w:before="240"/>
        <w:jc w:val="both"/>
      </w:pPr>
      <w:r w:rsidRPr="002C5886">
        <w:t xml:space="preserve">Normalmente se divide o pensamento de Wittgenstein em duas fases: o primeiro Wittgenstein, relativo principalmente as idéias expostas no </w:t>
      </w:r>
      <w:r w:rsidRPr="002C5886">
        <w:rPr>
          <w:i/>
        </w:rPr>
        <w:t xml:space="preserve">Tractatus Logico-Philosophicus </w:t>
      </w:r>
      <w:r w:rsidRPr="002C5886">
        <w:t>(1921),</w:t>
      </w:r>
      <w:r w:rsidRPr="005D66D2">
        <w:rPr>
          <w:rStyle w:val="Refdenotaderodap"/>
        </w:rPr>
        <w:footnoteReference w:id="2"/>
      </w:r>
      <w:r>
        <w:rPr>
          <w:i/>
        </w:rPr>
        <w:t xml:space="preserve"> </w:t>
      </w:r>
      <w:r w:rsidRPr="002C5886">
        <w:rPr>
          <w:i/>
        </w:rPr>
        <w:t xml:space="preserve"> </w:t>
      </w:r>
      <w:r w:rsidRPr="002C5886">
        <w:t xml:space="preserve">e segundo Wittgenstein, relativo principalmente as idéias expostas na obra póstuma </w:t>
      </w:r>
      <w:r w:rsidRPr="002C5886">
        <w:rPr>
          <w:i/>
        </w:rPr>
        <w:t>Investigações Filosóficas</w:t>
      </w:r>
      <w:r w:rsidRPr="002C5886">
        <w:t xml:space="preserve"> (1953)</w:t>
      </w:r>
      <w:r w:rsidRPr="002C5886">
        <w:rPr>
          <w:i/>
        </w:rPr>
        <w:t>.</w:t>
      </w:r>
      <w:r w:rsidRPr="002C5886">
        <w:t xml:space="preserve"> Apesar de apresentarem teses diferentes, pode-se afirmar que a idéia central que perpassa as duas épocas remete a compreensão dos problemas tradicionais da filosofia por uma análise minuciosa da linguagem. Adverte-se que, devido ao curto espaço, neste trabalho será tomado como referência apenas a tese do primeiro Wittgenstein.</w:t>
      </w:r>
    </w:p>
    <w:p w:rsidR="002C5886" w:rsidRDefault="00160878" w:rsidP="00160878">
      <w:pPr>
        <w:spacing w:before="240"/>
        <w:jc w:val="both"/>
      </w:pPr>
      <w:r>
        <w:t xml:space="preserve">A idéia central defendida </w:t>
      </w:r>
      <w:r w:rsidR="00251873">
        <w:t xml:space="preserve">por </w:t>
      </w:r>
      <w:r w:rsidR="00251873" w:rsidRPr="00E8028D">
        <w:t>Wittgenstein</w:t>
      </w:r>
      <w:r w:rsidR="00124938" w:rsidRPr="00E8028D">
        <w:t xml:space="preserve"> </w:t>
      </w:r>
      <w:r w:rsidR="00251873">
        <w:t>na obra</w:t>
      </w:r>
      <w:r w:rsidR="00251873" w:rsidRPr="00251873">
        <w:rPr>
          <w:i/>
        </w:rPr>
        <w:t xml:space="preserve"> </w:t>
      </w:r>
      <w:r w:rsidR="002C5886">
        <w:rPr>
          <w:i/>
        </w:rPr>
        <w:t xml:space="preserve">Tractatus </w:t>
      </w:r>
      <w:r w:rsidR="00BD32F2">
        <w:t>afeta</w:t>
      </w:r>
      <w:r w:rsidR="00124938" w:rsidRPr="00E8028D">
        <w:t xml:space="preserve"> várias áreas e problemas tradicionais da filosofia </w:t>
      </w:r>
      <w:r w:rsidR="00CE1249">
        <w:t>como</w:t>
      </w:r>
      <w:r w:rsidR="00D55BEB">
        <w:t>, por exemplo,</w:t>
      </w:r>
      <w:r w:rsidR="00124938" w:rsidRPr="00E8028D">
        <w:t xml:space="preserve"> os problemas considerados éticos</w:t>
      </w:r>
      <w:r w:rsidR="00CE1249">
        <w:t xml:space="preserve"> e metafísicos</w:t>
      </w:r>
      <w:r w:rsidR="002C5886">
        <w:t>, uma vez que tais problemas seriam pseudo-problemas. Ressalta-se que a metafísica e a ética seriam pseudo-problemas</w:t>
      </w:r>
      <w:r w:rsidR="00BD32F2">
        <w:t xml:space="preserve"> – de acordo com o </w:t>
      </w:r>
      <w:r w:rsidR="00BD32F2">
        <w:rPr>
          <w:i/>
        </w:rPr>
        <w:t>Tractatus -</w:t>
      </w:r>
      <w:r w:rsidR="002C5886">
        <w:t xml:space="preserve"> devido </w:t>
      </w:r>
      <w:r w:rsidR="00BD32F2">
        <w:t xml:space="preserve">à </w:t>
      </w:r>
      <w:r w:rsidR="002C5886">
        <w:t>impossibilidade de tais problemas serem expressos na linguagem discursiva (indizibilidade).</w:t>
      </w:r>
    </w:p>
    <w:p w:rsidR="002C5886" w:rsidRDefault="002C5886" w:rsidP="002C5886">
      <w:pPr>
        <w:spacing w:before="240"/>
        <w:jc w:val="both"/>
      </w:pPr>
      <w:r>
        <w:t xml:space="preserve">No entanto, </w:t>
      </w:r>
      <w:r w:rsidRPr="00E8028D">
        <w:t xml:space="preserve">a tese exposta por Julio Cabrera em seu livro </w:t>
      </w:r>
      <w:r w:rsidRPr="00676D5F">
        <w:rPr>
          <w:i/>
        </w:rPr>
        <w:t>O cinema pensa</w:t>
      </w:r>
      <w:r>
        <w:rPr>
          <w:i/>
        </w:rPr>
        <w:t xml:space="preserve"> </w:t>
      </w:r>
      <w:r>
        <w:t>(2006)</w:t>
      </w:r>
      <w:r w:rsidRPr="00CE1249">
        <w:t>,</w:t>
      </w:r>
      <w:r w:rsidRPr="00CE1249">
        <w:rPr>
          <w:rStyle w:val="Refdenotaderodap"/>
        </w:rPr>
        <w:footnoteReference w:id="3"/>
      </w:r>
      <w:r>
        <w:t xml:space="preserve"> aponta a arte, de modo especial o cinema, como um caminho alternativo para o problema da indizibilidade ética proposta pelo </w:t>
      </w:r>
      <w:r>
        <w:rPr>
          <w:i/>
        </w:rPr>
        <w:t>Tractatus</w:t>
      </w:r>
      <w:r>
        <w:t>. Para Cabrera, a arte teria uma possibilidade referencial diferente da linguagem discursiva, o que possibilitaria a retomada de alguns problemas filosóficos, como os problemas éticos.</w:t>
      </w:r>
    </w:p>
    <w:p w:rsidR="002C5886" w:rsidRDefault="00160878" w:rsidP="00160878">
      <w:pPr>
        <w:spacing w:before="240"/>
        <w:jc w:val="both"/>
      </w:pPr>
      <w:r>
        <w:t>Por este motivo, o objetivo do presente artigo é</w:t>
      </w:r>
      <w:r w:rsidR="00124938" w:rsidRPr="00E8028D">
        <w:t xml:space="preserve"> mostrar a relação entre a tese </w:t>
      </w:r>
      <w:r w:rsidR="002320EA">
        <w:t xml:space="preserve">do </w:t>
      </w:r>
      <w:r w:rsidR="002320EA">
        <w:rPr>
          <w:i/>
        </w:rPr>
        <w:t>Tractatus</w:t>
      </w:r>
      <w:r w:rsidR="00220D36">
        <w:t>,</w:t>
      </w:r>
      <w:r w:rsidR="00676D5F">
        <w:t xml:space="preserve"> </w:t>
      </w:r>
      <w:r w:rsidR="00220D36">
        <w:t>principalmente</w:t>
      </w:r>
      <w:r w:rsidR="00676D5F">
        <w:t xml:space="preserve"> no </w:t>
      </w:r>
      <w:r w:rsidR="00CE1249">
        <w:t>que se refere</w:t>
      </w:r>
      <w:r w:rsidR="00220D36">
        <w:t xml:space="preserve"> aos </w:t>
      </w:r>
      <w:r w:rsidR="00220D36" w:rsidRPr="00E8028D">
        <w:t>limites da linguagem</w:t>
      </w:r>
      <w:r w:rsidR="00220D36">
        <w:t xml:space="preserve"> </w:t>
      </w:r>
      <w:r>
        <w:t>para com as</w:t>
      </w:r>
      <w:r w:rsidR="00124938" w:rsidRPr="00E8028D">
        <w:t xml:space="preserve"> questões éticas</w:t>
      </w:r>
      <w:r w:rsidR="00A33A9C">
        <w:t>,</w:t>
      </w:r>
      <w:r w:rsidR="00124938" w:rsidRPr="00E8028D">
        <w:t xml:space="preserve"> e</w:t>
      </w:r>
      <w:r w:rsidR="00676D5F">
        <w:t xml:space="preserve"> </w:t>
      </w:r>
      <w:r w:rsidR="002320EA">
        <w:t xml:space="preserve">a tese exposta por Cabrera, em seu livro </w:t>
      </w:r>
      <w:r w:rsidR="002320EA">
        <w:rPr>
          <w:i/>
        </w:rPr>
        <w:t xml:space="preserve">O Cinema pensa. </w:t>
      </w:r>
      <w:r w:rsidR="002C5886">
        <w:t xml:space="preserve">Primeiramente, </w:t>
      </w:r>
      <w:r w:rsidR="002320EA">
        <w:t>serão</w:t>
      </w:r>
      <w:r w:rsidR="002C5886">
        <w:t xml:space="preserve"> abordad</w:t>
      </w:r>
      <w:r w:rsidR="002320EA">
        <w:t>as</w:t>
      </w:r>
      <w:r w:rsidR="002C5886">
        <w:t xml:space="preserve"> as teses sobre os limites da linguagem presentes n</w:t>
      </w:r>
      <w:r w:rsidR="002320EA">
        <w:t>a</w:t>
      </w:r>
      <w:r w:rsidR="002C5886">
        <w:t xml:space="preserve"> </w:t>
      </w:r>
      <w:r w:rsidR="002320EA">
        <w:t xml:space="preserve">referida obra de Wittgenstein </w:t>
      </w:r>
      <w:r w:rsidR="002C5886">
        <w:t>para que, só após isso, se adentr</w:t>
      </w:r>
      <w:r w:rsidR="002320EA">
        <w:t>ar</w:t>
      </w:r>
      <w:r w:rsidR="002C5886">
        <w:t xml:space="preserve"> na tese de Cabrera que aponta a arte como forma de romper esses limites.</w:t>
      </w:r>
    </w:p>
    <w:p w:rsidR="00BD32F2" w:rsidRPr="002C5886" w:rsidRDefault="00BD32F2" w:rsidP="00160878">
      <w:pPr>
        <w:spacing w:before="240"/>
        <w:jc w:val="both"/>
      </w:pPr>
    </w:p>
    <w:p w:rsidR="0056690E" w:rsidRPr="002A220C" w:rsidRDefault="0056690E" w:rsidP="00160878">
      <w:pPr>
        <w:spacing w:before="240"/>
        <w:jc w:val="both"/>
        <w:rPr>
          <w:b/>
          <w:i/>
        </w:rPr>
      </w:pPr>
      <w:r w:rsidRPr="00DF216C">
        <w:rPr>
          <w:b/>
        </w:rPr>
        <w:t>O</w:t>
      </w:r>
      <w:r w:rsidR="005B7353">
        <w:rPr>
          <w:b/>
        </w:rPr>
        <w:t>s limites da linguagem segundo o</w:t>
      </w:r>
      <w:r w:rsidRPr="00DF216C">
        <w:rPr>
          <w:b/>
        </w:rPr>
        <w:t xml:space="preserve"> </w:t>
      </w:r>
      <w:r w:rsidR="00257ED7" w:rsidRPr="00DF216C">
        <w:rPr>
          <w:b/>
          <w:i/>
        </w:rPr>
        <w:t>Tracta</w:t>
      </w:r>
      <w:r w:rsidRPr="00DF216C">
        <w:rPr>
          <w:b/>
          <w:i/>
        </w:rPr>
        <w:t>tus Logico-Philosophicus</w:t>
      </w:r>
    </w:p>
    <w:p w:rsidR="00E57B8B" w:rsidRDefault="00257ED7" w:rsidP="00160878">
      <w:pPr>
        <w:spacing w:before="240" w:after="240"/>
        <w:jc w:val="both"/>
      </w:pPr>
      <w:r>
        <w:t>Publicado pela primeira vez no ano de 1921</w:t>
      </w:r>
      <w:r w:rsidR="0056690E">
        <w:t xml:space="preserve">, </w:t>
      </w:r>
      <w:r>
        <w:t xml:space="preserve">no periódico alemão </w:t>
      </w:r>
      <w:r>
        <w:rPr>
          <w:i/>
        </w:rPr>
        <w:t>Annalen der Naturphilosophie</w:t>
      </w:r>
      <w:r w:rsidR="00220D36">
        <w:t>,</w:t>
      </w:r>
      <w:r w:rsidR="00817806">
        <w:t xml:space="preserve"> revisado e reeditado</w:t>
      </w:r>
      <w:r>
        <w:t xml:space="preserve"> no ano de 1922 (a primeira edição continha muitos erros),</w:t>
      </w:r>
      <w:r w:rsidR="0056690E">
        <w:t xml:space="preserve"> o </w:t>
      </w:r>
      <w:r>
        <w:rPr>
          <w:i/>
        </w:rPr>
        <w:t>Tracta</w:t>
      </w:r>
      <w:r w:rsidR="0056690E">
        <w:rPr>
          <w:i/>
        </w:rPr>
        <w:t xml:space="preserve">tus </w:t>
      </w:r>
      <w:r w:rsidR="002A220C">
        <w:t>parte de uma crítica da lógica de Gottlob Frege</w:t>
      </w:r>
      <w:r w:rsidR="00220D36">
        <w:t xml:space="preserve"> (1848-1925)</w:t>
      </w:r>
      <w:r w:rsidR="002A220C">
        <w:t xml:space="preserve"> e Bertrand Russel</w:t>
      </w:r>
      <w:r w:rsidR="00220D36">
        <w:t xml:space="preserve"> (1872-1970)</w:t>
      </w:r>
      <w:r w:rsidR="00E57B8B">
        <w:t xml:space="preserve">. </w:t>
      </w:r>
      <w:r w:rsidR="00160878">
        <w:t xml:space="preserve">A </w:t>
      </w:r>
      <w:r w:rsidR="002A220C">
        <w:t xml:space="preserve">obra carrega uma tese chave para o pensamento contemporâneo </w:t>
      </w:r>
      <w:r w:rsidR="00160878">
        <w:t xml:space="preserve">ao </w:t>
      </w:r>
      <w:r w:rsidR="002A220C">
        <w:t>verifica</w:t>
      </w:r>
      <w:r w:rsidR="00160878">
        <w:t>r</w:t>
      </w:r>
      <w:r w:rsidR="002A220C">
        <w:t xml:space="preserve"> que</w:t>
      </w:r>
      <w:r w:rsidR="00E57B8B">
        <w:t xml:space="preserve"> a maior parte das questões filosóficas carece de sentido por estarem fora dos limites da</w:t>
      </w:r>
      <w:r w:rsidR="002A220C">
        <w:t xml:space="preserve"> linguagem</w:t>
      </w:r>
      <w:r w:rsidR="00E57B8B">
        <w:t xml:space="preserve"> discursiva:</w:t>
      </w:r>
    </w:p>
    <w:p w:rsidR="00E57B8B" w:rsidRDefault="00E57B8B" w:rsidP="00282098">
      <w:pPr>
        <w:autoSpaceDE w:val="0"/>
        <w:autoSpaceDN w:val="0"/>
        <w:adjustRightInd w:val="0"/>
        <w:spacing w:after="240"/>
        <w:ind w:left="567"/>
        <w:jc w:val="both"/>
      </w:pPr>
      <w:r>
        <w:rPr>
          <w:sz w:val="22"/>
          <w:szCs w:val="22"/>
        </w:rPr>
        <w:t xml:space="preserve">A maioria das proposições e questões escritas sôbre temas filosóficos não são falsas, mas absurdas. Por isso não podemos em geral responder a questões dessa espécie, apenas estabelecer seu caráter absurdo. A maioria das questões e das proposições dos filósofos se apóia, pois, no nosso desentendimento da lógica da linguagem (São questões da seguinte </w:t>
      </w:r>
      <w:r>
        <w:rPr>
          <w:sz w:val="22"/>
          <w:szCs w:val="22"/>
        </w:rPr>
        <w:lastRenderedPageBreak/>
        <w:t xml:space="preserve">espécie: o bem </w:t>
      </w:r>
      <w:r>
        <w:rPr>
          <w:i/>
          <w:iCs/>
          <w:sz w:val="22"/>
          <w:szCs w:val="22"/>
        </w:rPr>
        <w:t xml:space="preserve">é </w:t>
      </w:r>
      <w:r>
        <w:rPr>
          <w:sz w:val="22"/>
          <w:szCs w:val="22"/>
        </w:rPr>
        <w:t>mais ou menos idêntico do que a beleza ?). Não é, pois, de admirar que os mais profundos problemas não constituam propriamente problemas (</w:t>
      </w:r>
      <w:r>
        <w:rPr>
          <w:i/>
          <w:sz w:val="22"/>
          <w:szCs w:val="22"/>
        </w:rPr>
        <w:t>Tractatus</w:t>
      </w:r>
      <w:r>
        <w:rPr>
          <w:sz w:val="22"/>
          <w:szCs w:val="22"/>
        </w:rPr>
        <w:t>, 4.003).</w:t>
      </w:r>
    </w:p>
    <w:p w:rsidR="0056690E" w:rsidRDefault="002A220C" w:rsidP="00336247">
      <w:pPr>
        <w:spacing w:before="240" w:after="240"/>
        <w:jc w:val="both"/>
      </w:pPr>
      <w:r>
        <w:t xml:space="preserve">A proposição final do </w:t>
      </w:r>
      <w:r w:rsidR="00257ED7">
        <w:rPr>
          <w:i/>
        </w:rPr>
        <w:t>Tracta</w:t>
      </w:r>
      <w:r>
        <w:rPr>
          <w:i/>
        </w:rPr>
        <w:t>tu</w:t>
      </w:r>
      <w:r w:rsidR="00A54F38">
        <w:rPr>
          <w:i/>
        </w:rPr>
        <w:t>s</w:t>
      </w:r>
      <w:r w:rsidR="00220D36">
        <w:rPr>
          <w:i/>
        </w:rPr>
        <w:t xml:space="preserve"> </w:t>
      </w:r>
      <w:r w:rsidR="00220D36">
        <w:t>–</w:t>
      </w:r>
      <w:r w:rsidR="00A54F38">
        <w:rPr>
          <w:i/>
        </w:rPr>
        <w:t xml:space="preserve"> </w:t>
      </w:r>
      <w:r w:rsidR="00A54F38">
        <w:t>muitas vezes mal compreendida – afirma que “</w:t>
      </w:r>
      <w:r w:rsidR="00817806">
        <w:t>s</w:t>
      </w:r>
      <w:r w:rsidR="00A54F38">
        <w:t>obre aquilo que não se pode falar deve-se calar</w:t>
      </w:r>
      <w:r w:rsidR="00A54F38" w:rsidRPr="00A801C0">
        <w:t>” (</w:t>
      </w:r>
      <w:r w:rsidR="00A801C0" w:rsidRPr="00A801C0">
        <w:t>WITTGENSTEIN, 1968, p. 129</w:t>
      </w:r>
      <w:r w:rsidR="00A54F38" w:rsidRPr="00A801C0">
        <w:t xml:space="preserve">). </w:t>
      </w:r>
      <w:r w:rsidR="00A54F38" w:rsidRPr="004745A4">
        <w:t>Esta proposição faz distinção entre o mundo da razão e das ciências naturais e o mundo daqueles objetos e temas que não podem ser enquadrados di</w:t>
      </w:r>
      <w:r w:rsidR="004745A4">
        <w:t>scursivamente de forma racional por não se referirem a fatos,</w:t>
      </w:r>
      <w:r w:rsidR="00A54F38" w:rsidRPr="004745A4">
        <w:t xml:space="preserve"> como a ética, a estética e a religião</w:t>
      </w:r>
      <w:r w:rsidR="00336247">
        <w:t xml:space="preserve"> (questões que envolvem algum tipo de valor)</w:t>
      </w:r>
      <w:r w:rsidR="00A54F38" w:rsidRPr="004745A4">
        <w:t xml:space="preserve">. </w:t>
      </w:r>
      <w:r w:rsidR="00336247">
        <w:t>Em relação a este último mundo – mundo das questões valorativas -,</w:t>
      </w:r>
      <w:r w:rsidR="00A54F38" w:rsidRPr="004745A4">
        <w:t xml:space="preserve"> salienta-se sua inexprimibilidade</w:t>
      </w:r>
      <w:r w:rsidR="00336247">
        <w:t xml:space="preserve"> discursiva</w:t>
      </w:r>
      <w:r w:rsidR="004745A4">
        <w:t>:</w:t>
      </w:r>
    </w:p>
    <w:p w:rsidR="00E57B8B" w:rsidRDefault="00281BB4" w:rsidP="0028209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6.41 </w:t>
      </w:r>
      <w:r w:rsidR="00E57B8B">
        <w:rPr>
          <w:sz w:val="22"/>
          <w:szCs w:val="22"/>
        </w:rPr>
        <w:t xml:space="preserve">O sentido do mundo deve estar fora dêle. No mundo tudo é como é e acontece </w:t>
      </w:r>
      <w:r>
        <w:rPr>
          <w:sz w:val="22"/>
          <w:szCs w:val="22"/>
        </w:rPr>
        <w:t>c</w:t>
      </w:r>
      <w:r w:rsidR="00E57B8B">
        <w:rPr>
          <w:sz w:val="22"/>
          <w:szCs w:val="22"/>
        </w:rPr>
        <w:t>omo acontece:</w:t>
      </w:r>
      <w:r>
        <w:rPr>
          <w:sz w:val="22"/>
          <w:szCs w:val="22"/>
        </w:rPr>
        <w:t xml:space="preserve"> nele n</w:t>
      </w:r>
      <w:r w:rsidR="00E57B8B">
        <w:rPr>
          <w:sz w:val="22"/>
          <w:szCs w:val="22"/>
        </w:rPr>
        <w:t>ão há valor — e se houvesse, o valor não teria</w:t>
      </w:r>
      <w:r>
        <w:rPr>
          <w:sz w:val="22"/>
          <w:szCs w:val="22"/>
        </w:rPr>
        <w:t xml:space="preserve"> </w:t>
      </w:r>
      <w:r w:rsidR="00E57B8B">
        <w:rPr>
          <w:sz w:val="22"/>
          <w:szCs w:val="22"/>
        </w:rPr>
        <w:t>valor.</w:t>
      </w:r>
      <w:r>
        <w:rPr>
          <w:sz w:val="22"/>
          <w:szCs w:val="22"/>
        </w:rPr>
        <w:t xml:space="preserve"> [...]</w:t>
      </w:r>
    </w:p>
    <w:p w:rsidR="00E57B8B" w:rsidRDefault="00E57B8B" w:rsidP="00282098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6.42 Por isso não pode haver proposições da ética.</w:t>
      </w:r>
      <w:r w:rsidR="00281BB4">
        <w:rPr>
          <w:sz w:val="22"/>
          <w:szCs w:val="22"/>
        </w:rPr>
        <w:t xml:space="preserve"> </w:t>
      </w:r>
      <w:r>
        <w:rPr>
          <w:sz w:val="22"/>
          <w:szCs w:val="22"/>
        </w:rPr>
        <w:t>Proposições não podem exprimir nada além.</w:t>
      </w:r>
    </w:p>
    <w:p w:rsidR="00E57B8B" w:rsidRDefault="00281BB4" w:rsidP="00282098">
      <w:pPr>
        <w:autoSpaceDE w:val="0"/>
        <w:autoSpaceDN w:val="0"/>
        <w:adjustRightInd w:val="0"/>
        <w:ind w:left="567"/>
        <w:jc w:val="both"/>
      </w:pPr>
      <w:r>
        <w:rPr>
          <w:sz w:val="22"/>
          <w:szCs w:val="22"/>
        </w:rPr>
        <w:t xml:space="preserve">6.421 </w:t>
      </w:r>
      <w:r w:rsidR="00E57B8B">
        <w:rPr>
          <w:sz w:val="22"/>
          <w:szCs w:val="22"/>
        </w:rPr>
        <w:t>É</w:t>
      </w:r>
      <w:r w:rsidR="00E57B8B" w:rsidRPr="00E57B8B">
        <w:rPr>
          <w:sz w:val="22"/>
          <w:szCs w:val="22"/>
        </w:rPr>
        <w:t xml:space="preserve"> </w:t>
      </w:r>
      <w:r w:rsidR="00E57B8B">
        <w:rPr>
          <w:sz w:val="22"/>
          <w:szCs w:val="22"/>
        </w:rPr>
        <w:t>claro que a ética não se deixa exprimir.</w:t>
      </w:r>
      <w:r>
        <w:rPr>
          <w:sz w:val="22"/>
          <w:szCs w:val="22"/>
        </w:rPr>
        <w:t xml:space="preserve"> A ética é transcendental </w:t>
      </w:r>
      <w:r w:rsidR="00E57B8B">
        <w:rPr>
          <w:sz w:val="22"/>
          <w:szCs w:val="22"/>
        </w:rPr>
        <w:t>(Ética e estética são um só.)</w:t>
      </w:r>
      <w:r>
        <w:rPr>
          <w:sz w:val="22"/>
          <w:szCs w:val="22"/>
        </w:rPr>
        <w:t xml:space="preserve"> (WITTGENSTEIN, 1968, p. 127)</w:t>
      </w:r>
    </w:p>
    <w:p w:rsidR="00114100" w:rsidRDefault="00336247" w:rsidP="00160878">
      <w:pPr>
        <w:spacing w:before="240" w:after="240"/>
        <w:jc w:val="both"/>
      </w:pPr>
      <w:r>
        <w:t>E</w:t>
      </w:r>
      <w:r w:rsidRPr="002E0DF3">
        <w:t>mbora não se aplique à linguagem cotidiana</w:t>
      </w:r>
      <w:r>
        <w:t>,</w:t>
      </w:r>
      <w:r w:rsidRPr="002E0DF3">
        <w:t xml:space="preserve"> </w:t>
      </w:r>
      <w:r w:rsidR="006A033F" w:rsidRPr="002E0DF3">
        <w:t>a</w:t>
      </w:r>
      <w:r w:rsidR="00286BAA" w:rsidRPr="002E0DF3">
        <w:t xml:space="preserve"> teoria lingüística que Wittgenstein </w:t>
      </w:r>
      <w:r>
        <w:t>defendeu</w:t>
      </w:r>
      <w:r w:rsidR="00286BAA" w:rsidRPr="002E0DF3">
        <w:t xml:space="preserve"> no </w:t>
      </w:r>
      <w:r w:rsidR="006D2714" w:rsidRPr="002E0DF3">
        <w:rPr>
          <w:i/>
        </w:rPr>
        <w:t>Tracta</w:t>
      </w:r>
      <w:r w:rsidR="00286BAA" w:rsidRPr="002E0DF3">
        <w:rPr>
          <w:i/>
        </w:rPr>
        <w:t xml:space="preserve">tus </w:t>
      </w:r>
      <w:r w:rsidR="006D2714" w:rsidRPr="002E0DF3">
        <w:t>foi de grande importância para</w:t>
      </w:r>
      <w:r w:rsidR="00286BAA" w:rsidRPr="002E0DF3">
        <w:t xml:space="preserve"> o desenvolvimento da teoria da ciência e exerceu uma grande influência na lingüística.</w:t>
      </w:r>
      <w:r w:rsidR="00220D36" w:rsidRPr="002E0DF3">
        <w:rPr>
          <w:rStyle w:val="Refdenotaderodap"/>
        </w:rPr>
        <w:footnoteReference w:id="4"/>
      </w:r>
      <w:r w:rsidR="004745A4" w:rsidRPr="002E0DF3">
        <w:t xml:space="preserve"> </w:t>
      </w:r>
      <w:r w:rsidR="004B305C" w:rsidRPr="002E0DF3">
        <w:t xml:space="preserve">Para a filosofia, a importância do </w:t>
      </w:r>
      <w:r w:rsidR="004B305C" w:rsidRPr="002E0DF3">
        <w:rPr>
          <w:i/>
        </w:rPr>
        <w:t>Tractatus</w:t>
      </w:r>
      <w:r w:rsidR="004B305C" w:rsidRPr="002E0DF3">
        <w:t xml:space="preserve"> se encontra no modo de abordagem dos problemas filosóficos. </w:t>
      </w:r>
      <w:r w:rsidR="006D2714" w:rsidRPr="002E0DF3">
        <w:t xml:space="preserve">Já no prefácio do </w:t>
      </w:r>
      <w:r w:rsidR="006D2714" w:rsidRPr="002E0DF3">
        <w:rPr>
          <w:i/>
        </w:rPr>
        <w:t>Tractatus</w:t>
      </w:r>
      <w:r w:rsidR="006D2714" w:rsidRPr="002E0DF3">
        <w:t>, Wittgenstein afirmou:</w:t>
      </w:r>
    </w:p>
    <w:p w:rsidR="0056690E" w:rsidRDefault="00D60A23" w:rsidP="00282098">
      <w:pPr>
        <w:autoSpaceDE w:val="0"/>
        <w:autoSpaceDN w:val="0"/>
        <w:adjustRightInd w:val="0"/>
        <w:spacing w:after="240"/>
        <w:ind w:left="567"/>
        <w:jc w:val="both"/>
        <w:rPr>
          <w:sz w:val="22"/>
          <w:szCs w:val="22"/>
        </w:rPr>
      </w:pPr>
      <w:r>
        <w:t>[</w:t>
      </w:r>
      <w:r w:rsidR="006D2714">
        <w:t>O livro</w:t>
      </w:r>
      <w:r>
        <w:t>]</w:t>
      </w:r>
      <w:r w:rsidR="006D2714">
        <w:t xml:space="preserve"> </w:t>
      </w:r>
      <w:r>
        <w:t>t</w:t>
      </w:r>
      <w:r>
        <w:rPr>
          <w:sz w:val="22"/>
          <w:szCs w:val="22"/>
        </w:rPr>
        <w:t>rata de problemas filosóficos e mostra, creio eu, que o questionar desses problemas repousa na má compreensão da lógica de nossa linguagem. Poder-se-ia apanhar todo o sentido do livro com estas palavras: em geral o que pode ser dito, o pode ser claramente, mas o que não se pode falar deve-se calar (WITTGENSTEIN, 1968, p. 53)</w:t>
      </w:r>
    </w:p>
    <w:p w:rsidR="00D60A23" w:rsidRDefault="00D60A23" w:rsidP="00160878">
      <w:pPr>
        <w:autoSpaceDE w:val="0"/>
        <w:autoSpaceDN w:val="0"/>
        <w:adjustRightInd w:val="0"/>
        <w:spacing w:after="240"/>
        <w:jc w:val="both"/>
      </w:pPr>
      <w:r>
        <w:t>Nesse sentido, o objetivo da filosofia seria ent</w:t>
      </w:r>
      <w:r w:rsidR="00336247">
        <w:t>ão – ao contrário da tradição defendida pelo</w:t>
      </w:r>
      <w:r>
        <w:t xml:space="preserve"> idealismo alemão – não o de elaborar doutrinas filosóficas, mas o de </w:t>
      </w:r>
      <w:r w:rsidRPr="006F1457">
        <w:t>esclarecer</w:t>
      </w:r>
      <w:r>
        <w:t xml:space="preserve"> as proposições. </w:t>
      </w:r>
      <w:r w:rsidR="00862AE4">
        <w:t>Certas</w:t>
      </w:r>
      <w:r>
        <w:t xml:space="preserve"> doutrinas filosóficas repousariam no </w:t>
      </w:r>
      <w:r w:rsidR="00961440">
        <w:t>erro por apresentar</w:t>
      </w:r>
      <w:r w:rsidR="00862AE4">
        <w:t>em</w:t>
      </w:r>
      <w:r w:rsidR="00220D36">
        <w:t xml:space="preserve"> </w:t>
      </w:r>
      <w:r>
        <w:t xml:space="preserve">uma explicação do mundo que vai para além da experiência </w:t>
      </w:r>
      <w:r w:rsidR="00961440">
        <w:t xml:space="preserve">referencial. </w:t>
      </w:r>
      <w:r w:rsidR="00602B98">
        <w:t>A</w:t>
      </w:r>
      <w:r w:rsidR="00862AE4">
        <w:t xml:space="preserve"> ética e a</w:t>
      </w:r>
      <w:r w:rsidR="00602B98">
        <w:t xml:space="preserve"> metafísica</w:t>
      </w:r>
      <w:r w:rsidR="00862AE4">
        <w:t>, por exemplo,</w:t>
      </w:r>
      <w:r w:rsidR="00602B98">
        <w:t xml:space="preserve"> surgiria</w:t>
      </w:r>
      <w:r w:rsidR="00862AE4">
        <w:t>m</w:t>
      </w:r>
      <w:r w:rsidR="00602B98">
        <w:t xml:space="preserve"> da tentativa de dizer aquilo que não pode ser dito.</w:t>
      </w:r>
      <w:r w:rsidR="00AC2110">
        <w:t xml:space="preserve"> Wittgenstein </w:t>
      </w:r>
      <w:r w:rsidR="00220D36">
        <w:t>afirmou que</w:t>
      </w:r>
      <w:r w:rsidR="00AC2110">
        <w:t xml:space="preserve"> uma análise apropriada da estrutura dos termos utilizados</w:t>
      </w:r>
      <w:r w:rsidR="00E846AF">
        <w:t xml:space="preserve"> nos discursos</w:t>
      </w:r>
      <w:r w:rsidR="00AC2110">
        <w:t xml:space="preserve">, tanto </w:t>
      </w:r>
      <w:r w:rsidR="00E846AF">
        <w:t>da</w:t>
      </w:r>
      <w:r w:rsidR="00AC2110">
        <w:t xml:space="preserve"> filosofia tradicional quanto </w:t>
      </w:r>
      <w:r w:rsidR="00E846AF">
        <w:t>da</w:t>
      </w:r>
      <w:r w:rsidR="00AC2110">
        <w:t xml:space="preserve"> metafísica, revelaria </w:t>
      </w:r>
      <w:r w:rsidR="00827A53">
        <w:t>o tal</w:t>
      </w:r>
      <w:r w:rsidR="00AC2110">
        <w:t xml:space="preserve"> erro e solucionaria </w:t>
      </w:r>
      <w:r w:rsidR="004B305C">
        <w:t>tod</w:t>
      </w:r>
      <w:r w:rsidR="00AC2110">
        <w:t>os</w:t>
      </w:r>
      <w:r w:rsidR="004B305C">
        <w:t xml:space="preserve"> os</w:t>
      </w:r>
      <w:r w:rsidR="00AC2110">
        <w:t xml:space="preserve"> problemas filosóficos.</w:t>
      </w:r>
      <w:r w:rsidR="00862AE4">
        <w:t xml:space="preserve"> Não obstante, a referida análise dos termos dos discursos filosóficos não só ocuparia um lugar de destaque, como também seria a finalidade maior da filosofia, ou seja, a filosofia concentraria seus esforços na </w:t>
      </w:r>
      <w:r w:rsidR="00601309">
        <w:t>analise da estrutura lógica da linguagem</w:t>
      </w:r>
      <w:r w:rsidR="00862AE4">
        <w:t>.</w:t>
      </w:r>
      <w:r w:rsidR="003B457C">
        <w:t xml:space="preserve"> Sob a finalidade da filosofia, Wittgenstein diz:</w:t>
      </w:r>
    </w:p>
    <w:p w:rsidR="003B457C" w:rsidRPr="003B457C" w:rsidRDefault="003B457C" w:rsidP="00282098">
      <w:pPr>
        <w:autoSpaceDE w:val="0"/>
        <w:autoSpaceDN w:val="0"/>
        <w:adjustRightInd w:val="0"/>
        <w:ind w:left="567"/>
        <w:jc w:val="both"/>
      </w:pPr>
      <w:r>
        <w:rPr>
          <w:sz w:val="22"/>
          <w:szCs w:val="22"/>
        </w:rPr>
        <w:t xml:space="preserve">A finalidade da filosofia é o esclarecimento lógico dos pensamentos. A filosofia não é teoria, mas atividade. Uma obra filosófica consiste essencialmente em comentários. A filosofia não resulta em "proposições filosóficas", mas em tornar claras as proposições. </w:t>
      </w:r>
      <w:r w:rsidRPr="003B457C">
        <w:rPr>
          <w:sz w:val="22"/>
          <w:szCs w:val="22"/>
        </w:rPr>
        <w:t>A filosofia deve tomar os pensamentos que, por assim dizer, são vagos e obscuros e torná-los claros e bem delimitados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Tractatus,</w:t>
      </w:r>
      <w:r>
        <w:rPr>
          <w:sz w:val="22"/>
          <w:szCs w:val="22"/>
        </w:rPr>
        <w:t>4.112).</w:t>
      </w:r>
    </w:p>
    <w:p w:rsidR="001478AF" w:rsidRDefault="00827A53" w:rsidP="00160878">
      <w:pPr>
        <w:spacing w:before="240" w:after="240"/>
        <w:jc w:val="both"/>
      </w:pPr>
      <w:r>
        <w:t xml:space="preserve">Como fica explícito na citação acima, no lugar de construções especulativas, a filosofia agora teria como finalidade o esclarecimento lógico dos pensamentos, em outras palavras, o esclarecimento da estrutura lógica da linguagem. </w:t>
      </w:r>
      <w:r w:rsidR="009D41ED">
        <w:t xml:space="preserve">Mas qual seria a estrutura </w:t>
      </w:r>
      <w:r w:rsidR="009D41ED">
        <w:lastRenderedPageBreak/>
        <w:t>lógica da linguagem? Como salienta Scruton</w:t>
      </w:r>
      <w:r>
        <w:t xml:space="preserve"> (1982, p. 273)</w:t>
      </w:r>
      <w:r w:rsidR="004B305C">
        <w:t xml:space="preserve">, </w:t>
      </w:r>
      <w:r w:rsidR="009D41ED">
        <w:t xml:space="preserve">Wittgenstein dividiu </w:t>
      </w:r>
      <w:r>
        <w:t>a estrutura lógica da linguagem em sentenças</w:t>
      </w:r>
      <w:r w:rsidR="00992EF7">
        <w:t xml:space="preserve"> de dois tipos</w:t>
      </w:r>
      <w:r>
        <w:t>, a saber, sentenças</w:t>
      </w:r>
      <w:r w:rsidR="009D41ED">
        <w:t xml:space="preserve"> complexas e</w:t>
      </w:r>
      <w:r>
        <w:t xml:space="preserve"> sentenças</w:t>
      </w:r>
      <w:r w:rsidR="009D41ED">
        <w:t xml:space="preserve"> atômicas, sendo as prime</w:t>
      </w:r>
      <w:r w:rsidR="001478AF">
        <w:t>iras constituídas das segundas.</w:t>
      </w:r>
    </w:p>
    <w:p w:rsidR="008E65AC" w:rsidRDefault="00220D36" w:rsidP="00160878">
      <w:pPr>
        <w:spacing w:before="240" w:after="240"/>
        <w:jc w:val="both"/>
      </w:pPr>
      <w:r>
        <w:t>A</w:t>
      </w:r>
      <w:r w:rsidR="009D41ED">
        <w:t xml:space="preserve">s sentenças atômicas seriam aquelas que empregam os ‘primitivos’ da linguagem, i.e., os nomes e predicados elementares que servem para descrever o que Wittgenstein denominou de </w:t>
      </w:r>
      <w:r w:rsidR="009D41ED" w:rsidRPr="00812D41">
        <w:t>fatos atômicos</w:t>
      </w:r>
      <w:r w:rsidR="009D41ED">
        <w:rPr>
          <w:i/>
        </w:rPr>
        <w:t>.</w:t>
      </w:r>
      <w:r w:rsidR="009D41ED">
        <w:t xml:space="preserve"> Nesse sentido, o constituinte mais básico do mundo é o correspondente à sentença atômica, que é o fato atômico.</w:t>
      </w:r>
      <w:r w:rsidR="001478AF" w:rsidRPr="001478AF">
        <w:rPr>
          <w:rStyle w:val="Refdenotaderodap"/>
        </w:rPr>
        <w:t xml:space="preserve"> </w:t>
      </w:r>
    </w:p>
    <w:p w:rsidR="008E65AC" w:rsidRDefault="00817806" w:rsidP="00160878">
      <w:pPr>
        <w:spacing w:before="240" w:after="240"/>
        <w:jc w:val="both"/>
      </w:pPr>
      <w:r>
        <w:t>Por sua vez, os fatos complexos correspondem às prop</w:t>
      </w:r>
      <w:r w:rsidR="00B8459B">
        <w:t>osições complexas e é necessária</w:t>
      </w:r>
      <w:r>
        <w:t xml:space="preserve"> </w:t>
      </w:r>
      <w:r w:rsidR="00B8459B">
        <w:t>a compreensão da</w:t>
      </w:r>
      <w:r>
        <w:t xml:space="preserve"> complexidade da linguagem usada para expressá-los. Tal complexidade é inteiramente proporcionada pela lógica fregeana e russeliana.</w:t>
      </w:r>
      <w:r w:rsidR="008E65AC">
        <w:t xml:space="preserve"> Sobre as proposi</w:t>
      </w:r>
      <w:r w:rsidR="001478AF">
        <w:t>ções complexas</w:t>
      </w:r>
      <w:r w:rsidR="00A5494A">
        <w:t>, adverte-se</w:t>
      </w:r>
      <w:r w:rsidR="001478AF">
        <w:t>:</w:t>
      </w:r>
    </w:p>
    <w:p w:rsidR="00E25DFF" w:rsidRPr="001478AF" w:rsidRDefault="008E65AC" w:rsidP="00282098">
      <w:pPr>
        <w:spacing w:before="240" w:after="240"/>
        <w:ind w:left="567"/>
        <w:jc w:val="both"/>
        <w:rPr>
          <w:sz w:val="22"/>
          <w:szCs w:val="22"/>
        </w:rPr>
      </w:pPr>
      <w:r w:rsidRPr="001478AF">
        <w:rPr>
          <w:sz w:val="22"/>
          <w:szCs w:val="22"/>
        </w:rPr>
        <w:t>A característica mais importante das sentenças complexas é que os conectivos usados para construí-las devem ser veri-funcionais, ou seja, devem ser tais que o valor-de-verdade da sentença complexa seja inteiramente determinado pelos valores-de-verdade de suas partes. Trata-se do “princípio de extensionalidade” (...) que, de acordo com Wittgenstein, é uma precondição do</w:t>
      </w:r>
      <w:r w:rsidR="00817384">
        <w:rPr>
          <w:sz w:val="22"/>
          <w:szCs w:val="22"/>
        </w:rPr>
        <w:t xml:space="preserve"> pensamento e da análise lógica</w:t>
      </w:r>
      <w:r w:rsidRPr="001478AF">
        <w:rPr>
          <w:sz w:val="22"/>
          <w:szCs w:val="22"/>
        </w:rPr>
        <w:t xml:space="preserve"> (SCRUTON, 1982, p. 273)</w:t>
      </w:r>
      <w:r w:rsidR="00817384">
        <w:rPr>
          <w:sz w:val="22"/>
          <w:szCs w:val="22"/>
        </w:rPr>
        <w:t>.</w:t>
      </w:r>
    </w:p>
    <w:p w:rsidR="001E2205" w:rsidRDefault="006D44F3" w:rsidP="00160878">
      <w:pPr>
        <w:spacing w:before="240" w:after="240"/>
        <w:jc w:val="both"/>
      </w:pPr>
      <w:r>
        <w:t>Observa-se que a veracidade de uma sentença pode ser retirada de imediato das condições-de-verdades de suas partes, devido ao caráter veri-funcional das partes usadas em uma proposição. Em outras palavras, se houver a compreensão das partes veri-funcionais usadas em uma sentença, compreende-se a sentença por completo, i.e., compreendendo-se as partes compreende-se o todo.</w:t>
      </w:r>
    </w:p>
    <w:p w:rsidR="00343519" w:rsidRDefault="00343519" w:rsidP="00160878">
      <w:pPr>
        <w:spacing w:before="240" w:after="240"/>
        <w:jc w:val="both"/>
      </w:pPr>
      <w:r>
        <w:t>De acordo com o princípio de extensionalidade veri-funcional, para uma sentença ser uma verdade lógica ela deve, ao haver a substituição de seus termos por componentes primitivos,</w:t>
      </w:r>
      <w:r>
        <w:rPr>
          <w:rStyle w:val="Refdenotaderodap"/>
        </w:rPr>
        <w:footnoteReference w:id="5"/>
      </w:r>
      <w:r>
        <w:t xml:space="preserve"> continuar sendo verdadeira. Disso resulta o paradigma da verdade lógica do </w:t>
      </w:r>
      <w:r>
        <w:rPr>
          <w:i/>
        </w:rPr>
        <w:t>Tractatus,</w:t>
      </w:r>
      <w:r>
        <w:t xml:space="preserve"> a saber, a tautologia veri-funcional:</w:t>
      </w:r>
    </w:p>
    <w:p w:rsidR="00500578" w:rsidRPr="00E14D85" w:rsidRDefault="00282098" w:rsidP="00E14D85">
      <w:pPr>
        <w:spacing w:before="240" w:after="240"/>
        <w:ind w:left="567"/>
        <w:jc w:val="both"/>
        <w:rPr>
          <w:sz w:val="22"/>
          <w:szCs w:val="22"/>
        </w:rPr>
      </w:pPr>
      <w:r w:rsidRPr="00282098">
        <w:rPr>
          <w:sz w:val="22"/>
          <w:szCs w:val="22"/>
        </w:rPr>
        <w:t>Consideremos a sentença "p 0o q". A definição de "ou" é: p ou q é falso se tanto p quanto q forem falsos e, em caso contrário, verdadeiro. A definição de "não" é a seguinte: não-p é verdadeiro se p é falso, e falso se p é verdadeiro. Isso quer dizer que a sentença "p ou não-p" é sempre verdadeira, qualquer que seja o valor-de-verdade de "p". Desse modo não importa como substituímos o termo primitivo "p", pois isso resultará sempre numa sentença verdadeira. As sentenças que assumirem tal forma são</w:t>
      </w:r>
      <w:r w:rsidR="00E14D85">
        <w:rPr>
          <w:sz w:val="22"/>
          <w:szCs w:val="22"/>
        </w:rPr>
        <w:t>,</w:t>
      </w:r>
      <w:r w:rsidRPr="00282098">
        <w:rPr>
          <w:sz w:val="22"/>
          <w:szCs w:val="22"/>
        </w:rPr>
        <w:t xml:space="preserve"> portanto, necessariamente verdadeiras, podendo ser consideradas verdadeiras </w:t>
      </w:r>
      <w:r w:rsidRPr="00E14D85">
        <w:rPr>
          <w:i/>
          <w:sz w:val="22"/>
          <w:szCs w:val="22"/>
        </w:rPr>
        <w:t>a priori</w:t>
      </w:r>
      <w:r w:rsidRPr="00282098">
        <w:rPr>
          <w:sz w:val="22"/>
          <w:szCs w:val="22"/>
        </w:rPr>
        <w:t xml:space="preserve"> por qualquer um que compreenda as operações lógicas da linguagem</w:t>
      </w:r>
      <w:r w:rsidR="00343519" w:rsidRPr="0028209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478AF">
        <w:rPr>
          <w:sz w:val="22"/>
          <w:szCs w:val="22"/>
        </w:rPr>
        <w:t>(SCRUTON, 1982, p. 273)</w:t>
      </w:r>
      <w:r>
        <w:rPr>
          <w:sz w:val="22"/>
          <w:szCs w:val="22"/>
        </w:rPr>
        <w:t>.</w:t>
      </w:r>
    </w:p>
    <w:p w:rsidR="00EE352C" w:rsidRDefault="00773482" w:rsidP="00160878">
      <w:pPr>
        <w:spacing w:before="240" w:after="240"/>
        <w:jc w:val="both"/>
      </w:pPr>
      <w:r>
        <w:t>Por meio</w:t>
      </w:r>
      <w:r w:rsidR="0034303E">
        <w:t xml:space="preserve"> dessa idéia</w:t>
      </w:r>
      <w:r w:rsidR="00500578">
        <w:t xml:space="preserve"> de linguagem</w:t>
      </w:r>
      <w:r w:rsidR="0034303E">
        <w:t>, Wittgenstein conclui</w:t>
      </w:r>
      <w:r w:rsidR="00913F93">
        <w:t>u</w:t>
      </w:r>
      <w:r w:rsidR="0034303E">
        <w:t xml:space="preserve"> – como foi dito anteriormente -</w:t>
      </w:r>
      <w:r>
        <w:t xml:space="preserve"> que a filosofia</w:t>
      </w:r>
      <w:r w:rsidR="00EE352C">
        <w:t xml:space="preserve"> serv</w:t>
      </w:r>
      <w:r w:rsidR="00913F93">
        <w:t>iria</w:t>
      </w:r>
      <w:r w:rsidR="00EE352C">
        <w:t xml:space="preserve"> apenas como tentativa de elucida</w:t>
      </w:r>
      <w:r w:rsidR="00913F93">
        <w:t>ção das confusões lingüísticas,</w:t>
      </w:r>
      <w:r w:rsidR="00913F93" w:rsidRPr="00913F93">
        <w:t xml:space="preserve"> </w:t>
      </w:r>
      <w:r w:rsidR="00913F93">
        <w:t>não mais como teorização universal do mundo ou da vida humana.</w:t>
      </w:r>
      <w:r w:rsidR="00EE352C">
        <w:t xml:space="preserve"> </w:t>
      </w:r>
      <w:r w:rsidR="007D7E72">
        <w:t xml:space="preserve">Os problemas filosóficos seriam pseudo-problemas pois não poderiam ser transcritos corretamente segundo o princípio de extensionalidade proposto pelo </w:t>
      </w:r>
      <w:r w:rsidR="007D7E72">
        <w:rPr>
          <w:i/>
        </w:rPr>
        <w:t>Tractatus,</w:t>
      </w:r>
      <w:r w:rsidR="007D7E72">
        <w:t xml:space="preserve"> não haveria componentes primitivos para tais problemas. Desse modo, n</w:t>
      </w:r>
      <w:r w:rsidR="00EE352C">
        <w:t xml:space="preserve">ão haveria, assim, </w:t>
      </w:r>
      <w:r w:rsidR="00817384">
        <w:t>problemas</w:t>
      </w:r>
      <w:r w:rsidR="00EE352C">
        <w:t xml:space="preserve"> filosófic</w:t>
      </w:r>
      <w:r w:rsidR="007D7E72">
        <w:t>os, somente elucidação de fatos:</w:t>
      </w:r>
    </w:p>
    <w:p w:rsidR="00EE352C" w:rsidRPr="00A54F38" w:rsidRDefault="00EE352C" w:rsidP="00282098">
      <w:pPr>
        <w:autoSpaceDE w:val="0"/>
        <w:autoSpaceDN w:val="0"/>
        <w:adjustRightInd w:val="0"/>
        <w:ind w:left="567"/>
        <w:jc w:val="both"/>
      </w:pPr>
      <w:r w:rsidRPr="005616AB">
        <w:rPr>
          <w:sz w:val="22"/>
          <w:szCs w:val="22"/>
        </w:rPr>
        <w:lastRenderedPageBreak/>
        <w:t xml:space="preserve">Sentimos que, mesmo que </w:t>
      </w:r>
      <w:r w:rsidRPr="00913F93">
        <w:rPr>
          <w:i/>
          <w:iCs/>
          <w:sz w:val="22"/>
          <w:szCs w:val="22"/>
        </w:rPr>
        <w:t xml:space="preserve">tôdas as possíveis </w:t>
      </w:r>
      <w:r w:rsidRPr="00913F93">
        <w:rPr>
          <w:sz w:val="22"/>
          <w:szCs w:val="22"/>
        </w:rPr>
        <w:t>questões</w:t>
      </w:r>
      <w:r w:rsidRPr="005616AB">
        <w:rPr>
          <w:sz w:val="22"/>
          <w:szCs w:val="22"/>
        </w:rPr>
        <w:t xml:space="preserve"> científicas fôssem respondidas, nossos problemas vitais não teriam sido tocados. Sem dúvida, não cabe mais pergunta alguma, e esta é precisamente a resposta (WITTGENSTEIN, 1968, p. 129)</w:t>
      </w:r>
      <w:r w:rsidR="00E14D85">
        <w:rPr>
          <w:sz w:val="22"/>
          <w:szCs w:val="22"/>
        </w:rPr>
        <w:t>.</w:t>
      </w:r>
    </w:p>
    <w:p w:rsidR="00E14D85" w:rsidRPr="00773482" w:rsidRDefault="00773482" w:rsidP="00160878">
      <w:pPr>
        <w:spacing w:before="240" w:after="240"/>
        <w:jc w:val="both"/>
      </w:pPr>
      <w:r>
        <w:t>Devido a esta posição, a teoria de Wittgenstein pode ser aproximada dos ideais defendidos pelo positivismo lógico</w:t>
      </w:r>
      <w:r w:rsidR="00E32382">
        <w:t xml:space="preserve"> do Círculo de Viena</w:t>
      </w:r>
      <w:r>
        <w:t xml:space="preserve">, pelo qual todas as doutrinas metafísicas, éticas e teológicas seriam sem sentido, uma vez que não poderiam ser verificadas através do princípio de extensionalidade. Ressalta-se, ainda, que o ideal máximo do positivismo lógico, que prega que </w:t>
      </w:r>
      <w:r w:rsidRPr="00773482">
        <w:rPr>
          <w:rStyle w:val="nfase"/>
          <w:b w:val="0"/>
          <w:color w:val="000000"/>
        </w:rPr>
        <w:t>o sentido de uma sentença</w:t>
      </w:r>
      <w:r w:rsidRPr="00773482">
        <w:rPr>
          <w:b/>
          <w:color w:val="000000"/>
        </w:rPr>
        <w:t xml:space="preserve"> </w:t>
      </w:r>
      <w:r w:rsidRPr="00773482">
        <w:rPr>
          <w:color w:val="000000"/>
        </w:rPr>
        <w:t>consiste em</w:t>
      </w:r>
      <w:r w:rsidRPr="00773482">
        <w:rPr>
          <w:b/>
          <w:color w:val="000000"/>
        </w:rPr>
        <w:t xml:space="preserve"> </w:t>
      </w:r>
      <w:r w:rsidRPr="00773482">
        <w:rPr>
          <w:rStyle w:val="nfase"/>
          <w:b w:val="0"/>
          <w:color w:val="000000"/>
        </w:rPr>
        <w:t>seu método de verificação</w:t>
      </w:r>
      <w:r>
        <w:rPr>
          <w:rStyle w:val="nfase"/>
          <w:b w:val="0"/>
          <w:color w:val="000000"/>
        </w:rPr>
        <w:t xml:space="preserve">, foi retirado do </w:t>
      </w:r>
      <w:r>
        <w:rPr>
          <w:rStyle w:val="nfase"/>
          <w:b w:val="0"/>
          <w:i/>
          <w:color w:val="000000"/>
        </w:rPr>
        <w:t xml:space="preserve">Tractatus </w:t>
      </w:r>
      <w:r>
        <w:rPr>
          <w:rStyle w:val="nfase"/>
          <w:b w:val="0"/>
          <w:color w:val="000000"/>
        </w:rPr>
        <w:t xml:space="preserve">e </w:t>
      </w:r>
      <w:r w:rsidR="00E32382">
        <w:rPr>
          <w:rStyle w:val="nfase"/>
          <w:b w:val="0"/>
          <w:color w:val="000000"/>
        </w:rPr>
        <w:t>tem</w:t>
      </w:r>
      <w:r>
        <w:rPr>
          <w:rStyle w:val="nfase"/>
          <w:b w:val="0"/>
          <w:color w:val="000000"/>
        </w:rPr>
        <w:t xml:space="preserve"> com</w:t>
      </w:r>
      <w:r w:rsidR="00E32382">
        <w:rPr>
          <w:rStyle w:val="nfase"/>
          <w:b w:val="0"/>
          <w:color w:val="000000"/>
        </w:rPr>
        <w:t xml:space="preserve">o objetivo maior indicar a refutação do âmbito meramente especulativo da atividade filosófica. </w:t>
      </w:r>
    </w:p>
    <w:p w:rsidR="00566394" w:rsidRDefault="001478AF" w:rsidP="00160878">
      <w:pPr>
        <w:spacing w:before="240" w:after="240"/>
        <w:jc w:val="both"/>
      </w:pPr>
      <w:r w:rsidRPr="004B305C">
        <w:t>No entanto</w:t>
      </w:r>
      <w:r w:rsidR="008E65AC" w:rsidRPr="004B305C">
        <w:t>,</w:t>
      </w:r>
      <w:r w:rsidR="008275E4">
        <w:t xml:space="preserve"> no concernente a teoria da linguagem do</w:t>
      </w:r>
      <w:r w:rsidR="008275E4">
        <w:rPr>
          <w:i/>
        </w:rPr>
        <w:t xml:space="preserve"> Tractatus,</w:t>
      </w:r>
      <w:r w:rsidR="008275E4">
        <w:t xml:space="preserve"> percebe-se que </w:t>
      </w:r>
      <w:r w:rsidR="008E65AC" w:rsidRPr="004B305C">
        <w:t xml:space="preserve"> </w:t>
      </w:r>
      <w:r w:rsidR="00C531DF">
        <w:t>a</w:t>
      </w:r>
      <w:r w:rsidR="008E65AC" w:rsidRPr="004B305C">
        <w:t xml:space="preserve"> </w:t>
      </w:r>
      <w:r w:rsidR="00C531DF" w:rsidRPr="004B305C">
        <w:t>avaliação</w:t>
      </w:r>
      <w:r w:rsidR="00C531DF">
        <w:t xml:space="preserve"> feita por Wittgenstein</w:t>
      </w:r>
      <w:r w:rsidR="008E65AC" w:rsidRPr="004B305C">
        <w:t xml:space="preserve"> sobre a linguagem gera profundos problemas </w:t>
      </w:r>
      <w:r w:rsidR="00913F93">
        <w:t>teóricos e de compreensão</w:t>
      </w:r>
      <w:r w:rsidR="008E65AC" w:rsidRPr="004B305C">
        <w:t>.</w:t>
      </w:r>
      <w:r w:rsidR="004D46F2" w:rsidRPr="004B305C">
        <w:t xml:space="preserve"> Um deles diz respeito </w:t>
      </w:r>
      <w:r w:rsidRPr="004B305C">
        <w:t>à</w:t>
      </w:r>
      <w:r w:rsidR="004D46F2" w:rsidRPr="004B305C">
        <w:t xml:space="preserve"> relação de figuração, </w:t>
      </w:r>
      <w:r w:rsidR="004B305C" w:rsidRPr="004B305C">
        <w:t>ou seja</w:t>
      </w:r>
      <w:r w:rsidR="004D46F2" w:rsidRPr="004B305C">
        <w:t>, relação entre sentenças atômicas</w:t>
      </w:r>
      <w:r w:rsidR="004B305C">
        <w:t xml:space="preserve"> (frases)</w:t>
      </w:r>
      <w:r w:rsidR="004D46F2" w:rsidRPr="004B305C">
        <w:t xml:space="preserve"> e fatos atômicos</w:t>
      </w:r>
      <w:r w:rsidR="004B305C">
        <w:t xml:space="preserve"> (coisas no mundo)</w:t>
      </w:r>
      <w:r w:rsidR="004D46F2">
        <w:t>.</w:t>
      </w:r>
      <w:r w:rsidR="00FD30FA">
        <w:rPr>
          <w:rStyle w:val="Refdenotaderodap"/>
        </w:rPr>
        <w:footnoteReference w:id="6"/>
      </w:r>
      <w:r w:rsidR="00961440">
        <w:t xml:space="preserve"> </w:t>
      </w:r>
      <w:r w:rsidR="004D46F2">
        <w:t xml:space="preserve">Segundo Wittgenstein, tal relação não poderia ser descrita, mas apenas mostrada: deve-se mostrar o que é mais básico ou não será possível começar a descrição. Contudo, não fica claro na obra a noção que o autor tem </w:t>
      </w:r>
      <w:r w:rsidR="00913F93">
        <w:t>do conceito</w:t>
      </w:r>
      <w:r w:rsidR="004D46F2">
        <w:t xml:space="preserve"> “mostrar”. </w:t>
      </w:r>
      <w:r w:rsidR="006F6A91">
        <w:t>Segundo</w:t>
      </w:r>
      <w:r w:rsidR="00DA0263">
        <w:t xml:space="preserve"> Scruton</w:t>
      </w:r>
      <w:r w:rsidR="00913F93">
        <w:t xml:space="preserve"> (1982, p. 274)</w:t>
      </w:r>
      <w:r w:rsidR="00DA0263">
        <w:t>, a melhor maneira de compreender essa teoria – por vezes chamada de teoria figurativa do significado – “seja negar que podemos usar a linguagem para nos situarmos entre a linguagem e o mundo”</w:t>
      </w:r>
      <w:r>
        <w:t>.</w:t>
      </w:r>
      <w:r w:rsidR="00DA0263">
        <w:rPr>
          <w:rStyle w:val="Refdenotaderodap"/>
        </w:rPr>
        <w:footnoteReference w:id="7"/>
      </w:r>
      <w:r w:rsidR="00DA0263">
        <w:t xml:space="preserve"> </w:t>
      </w:r>
      <w:r>
        <w:t>H</w:t>
      </w:r>
      <w:r w:rsidR="00DA0263">
        <w:t xml:space="preserve">á uma impossibilidade de avaliação pelas palavras da relação entre um fato atômico e uma preposição atômica, com exceção de quando se usa a preposição cuja validade se está a explicar. </w:t>
      </w:r>
      <w:r w:rsidR="00566394">
        <w:t xml:space="preserve">Será nessa lacuna </w:t>
      </w:r>
      <w:r w:rsidR="00913F93">
        <w:t>deixada</w:t>
      </w:r>
      <w:r w:rsidR="00566394">
        <w:t xml:space="preserve"> pela relação entre “dizer/mostrar” (“linguagem/mundo”) que Cabrera questionará a possibilidade da arte ser um caminho possível</w:t>
      </w:r>
      <w:r w:rsidR="00913F93">
        <w:t xml:space="preserve"> de solução</w:t>
      </w:r>
      <w:r w:rsidR="00566394">
        <w:t>, como se verá adiante.</w:t>
      </w:r>
    </w:p>
    <w:p w:rsidR="00282098" w:rsidRDefault="00282098" w:rsidP="00160878">
      <w:pPr>
        <w:spacing w:before="240" w:after="240"/>
        <w:jc w:val="both"/>
      </w:pPr>
    </w:p>
    <w:p w:rsidR="00A65A35" w:rsidRDefault="006D44F3" w:rsidP="00160878">
      <w:pPr>
        <w:spacing w:before="240" w:after="240"/>
        <w:jc w:val="both"/>
        <w:rPr>
          <w:b/>
        </w:rPr>
      </w:pPr>
      <w:r>
        <w:rPr>
          <w:b/>
        </w:rPr>
        <w:t xml:space="preserve">A arte, o </w:t>
      </w:r>
      <w:r>
        <w:rPr>
          <w:b/>
          <w:i/>
        </w:rPr>
        <w:t xml:space="preserve">Tractatus </w:t>
      </w:r>
      <w:r>
        <w:rPr>
          <w:b/>
        </w:rPr>
        <w:t>e</w:t>
      </w:r>
      <w:r w:rsidR="00A65A35" w:rsidRPr="00A65A35">
        <w:rPr>
          <w:b/>
        </w:rPr>
        <w:t xml:space="preserve"> os limites da linguagem</w:t>
      </w:r>
    </w:p>
    <w:p w:rsidR="00E802C5" w:rsidRDefault="0053043E" w:rsidP="00160878">
      <w:pPr>
        <w:spacing w:before="240" w:after="240"/>
        <w:jc w:val="both"/>
      </w:pPr>
      <w:r>
        <w:t>Como</w:t>
      </w:r>
      <w:r w:rsidR="00AB5B62">
        <w:t xml:space="preserve"> visto anteriormente</w:t>
      </w:r>
      <w:r>
        <w:t xml:space="preserve">, Wittgenstein acreditava que elementos relacionados à sensibilidade ou à emoção não poderiam ser expressos logicamente em uma proposição articulada, uma vez que tais problemas </w:t>
      </w:r>
      <w:r w:rsidR="000E49DA">
        <w:t xml:space="preserve">estariam </w:t>
      </w:r>
      <w:r>
        <w:t>fora dos limites da linguagem</w:t>
      </w:r>
      <w:r w:rsidR="00114100">
        <w:t>.</w:t>
      </w:r>
      <w:r w:rsidR="000E49DA">
        <w:rPr>
          <w:rStyle w:val="Refdenotaderodap"/>
        </w:rPr>
        <w:footnoteReference w:id="8"/>
      </w:r>
      <w:r w:rsidR="00114100">
        <w:t xml:space="preserve"> Em outras palavras, </w:t>
      </w:r>
      <w:r w:rsidR="00D86849">
        <w:t>questões</w:t>
      </w:r>
      <w:r w:rsidR="00114100">
        <w:t xml:space="preserve"> éticas</w:t>
      </w:r>
      <w:r w:rsidR="000E49DA">
        <w:t xml:space="preserve"> ou metafísicas, por exemplo,</w:t>
      </w:r>
      <w:r w:rsidR="00114100">
        <w:t xml:space="preserve"> careceriam de sentido referencial</w:t>
      </w:r>
      <w:r w:rsidR="00D86849">
        <w:t xml:space="preserve"> e seriam pseudo-problemas</w:t>
      </w:r>
      <w:r w:rsidR="00114100">
        <w:t>.</w:t>
      </w:r>
      <w:r w:rsidR="00CD1C6E">
        <w:t xml:space="preserve"> </w:t>
      </w:r>
      <w:r w:rsidR="005C54A3">
        <w:t>Assim,</w:t>
      </w:r>
      <w:r w:rsidR="00D11C5A">
        <w:t xml:space="preserve"> a</w:t>
      </w:r>
      <w:r w:rsidR="00CD1C6E">
        <w:t xml:space="preserve"> partir de sua crítica </w:t>
      </w:r>
      <w:r w:rsidR="00D11C5A">
        <w:t>da</w:t>
      </w:r>
      <w:r w:rsidR="00CD1C6E">
        <w:t>s inadequaç</w:t>
      </w:r>
      <w:r w:rsidR="00D11C5A">
        <w:t xml:space="preserve">ões e confusões geradas pela linguagem, Wittgenstein propôs um meio </w:t>
      </w:r>
      <w:r w:rsidR="005C54A3">
        <w:t>de superá-las</w:t>
      </w:r>
      <w:r w:rsidR="00D11C5A">
        <w:t xml:space="preserve"> através de um simbolismo apropriado, um isomorfismo entre a linguagem e o mundo.</w:t>
      </w:r>
      <w:r w:rsidR="001478AF">
        <w:rPr>
          <w:rStyle w:val="Refdenotaderodap"/>
        </w:rPr>
        <w:footnoteReference w:id="9"/>
      </w:r>
    </w:p>
    <w:p w:rsidR="005B0122" w:rsidRDefault="005B0122" w:rsidP="00160878">
      <w:pPr>
        <w:spacing w:before="240" w:after="240"/>
        <w:jc w:val="both"/>
      </w:pPr>
      <w:r>
        <w:t>A questão que se coloca</w:t>
      </w:r>
      <w:r w:rsidR="00186633">
        <w:t xml:space="preserve"> agora</w:t>
      </w:r>
      <w:r>
        <w:t>, no entanto,</w:t>
      </w:r>
      <w:r w:rsidR="00186633">
        <w:t xml:space="preserve"> é a seguinte: sobre que argumentos se </w:t>
      </w:r>
      <w:r w:rsidR="00B8459B">
        <w:t>sustenta</w:t>
      </w:r>
      <w:r w:rsidR="00186633">
        <w:t xml:space="preserve"> a afirmação de que temas éticos</w:t>
      </w:r>
      <w:r w:rsidR="000E49DA">
        <w:t xml:space="preserve"> (e alguns outros temas filosóficos)</w:t>
      </w:r>
      <w:r w:rsidR="00186633">
        <w:t xml:space="preserve"> não podem </w:t>
      </w:r>
      <w:r w:rsidR="00186633">
        <w:lastRenderedPageBreak/>
        <w:t>ser expressos com pleno sentido na linguagem articulada das proposições? O que se perde ao fazê-lo?</w:t>
      </w:r>
      <w:r w:rsidR="00490507">
        <w:t xml:space="preserve"> Poderia a arte tratar de problemas éticos e metafísicos?</w:t>
      </w:r>
      <w:r w:rsidR="00186633">
        <w:t xml:space="preserve"> Estes são os problemas</w:t>
      </w:r>
      <w:r w:rsidR="000E49DA">
        <w:t xml:space="preserve"> e as perspectivas</w:t>
      </w:r>
      <w:r w:rsidR="00186633">
        <w:t xml:space="preserve"> principais que Julio</w:t>
      </w:r>
      <w:r w:rsidR="000E49DA">
        <w:t xml:space="preserve"> Cabrera abordo</w:t>
      </w:r>
      <w:r w:rsidR="008B3E09">
        <w:t>u</w:t>
      </w:r>
      <w:r w:rsidR="00186633">
        <w:t xml:space="preserve"> em seu livro </w:t>
      </w:r>
      <w:r w:rsidR="00186633">
        <w:rPr>
          <w:i/>
        </w:rPr>
        <w:t>O cinema pensa,</w:t>
      </w:r>
      <w:r w:rsidR="00186633">
        <w:t xml:space="preserve"> em um capítulo dedicado especialmente a</w:t>
      </w:r>
      <w:r w:rsidR="000E49DA">
        <w:t xml:space="preserve"> filosofia de</w:t>
      </w:r>
      <w:r w:rsidR="00186633">
        <w:t xml:space="preserve"> Wittgenstein</w:t>
      </w:r>
      <w:r w:rsidR="00490507">
        <w:t>.</w:t>
      </w:r>
      <w:r w:rsidR="00B8459B">
        <w:rPr>
          <w:rStyle w:val="Refdenotaderodap"/>
        </w:rPr>
        <w:footnoteReference w:id="10"/>
      </w:r>
    </w:p>
    <w:p w:rsidR="00186633" w:rsidRDefault="000E49DA" w:rsidP="00160878">
      <w:pPr>
        <w:spacing w:before="240" w:after="240"/>
        <w:jc w:val="both"/>
      </w:pPr>
      <w:r>
        <w:t>Ainda respeito dos temas éticos, u</w:t>
      </w:r>
      <w:r w:rsidR="00C75EB2">
        <w:t>ma interessante passagem de Janik e Toulmin esclar</w:t>
      </w:r>
      <w:r>
        <w:t>ece  a posição de Wittgenstein</w:t>
      </w:r>
      <w:r w:rsidR="00C75EB2">
        <w:t>:</w:t>
      </w:r>
    </w:p>
    <w:p w:rsidR="00AB5B62" w:rsidRPr="00490507" w:rsidRDefault="00C75EB2" w:rsidP="00282098">
      <w:pPr>
        <w:spacing w:before="240" w:after="240"/>
        <w:ind w:left="567"/>
        <w:jc w:val="both"/>
        <w:rPr>
          <w:sz w:val="22"/>
          <w:szCs w:val="22"/>
        </w:rPr>
      </w:pPr>
      <w:r w:rsidRPr="00490507">
        <w:rPr>
          <w:sz w:val="22"/>
          <w:szCs w:val="22"/>
        </w:rPr>
        <w:t xml:space="preserve">Na ciência, pretendemos conhecer os fatos; nos problemas da vida, os fatos carecem de importância. Na vida, o que importa é a capacidade de responder ao sofrimento do próximo. A questão é sentir corretamente. A filosofia do </w:t>
      </w:r>
      <w:r w:rsidRPr="00490507">
        <w:rPr>
          <w:i/>
          <w:sz w:val="22"/>
          <w:szCs w:val="22"/>
        </w:rPr>
        <w:t>Tractatus</w:t>
      </w:r>
      <w:r w:rsidRPr="00490507">
        <w:rPr>
          <w:sz w:val="22"/>
          <w:szCs w:val="22"/>
        </w:rPr>
        <w:t xml:space="preserve"> aponta para a direção de mostrar como é possível o ‘conhecimento’. Mas, em sua visão de mundo, este conhecimento é relegado a segundo plano. O veículo com o qual transmitir o sentido, coisa que está no </w:t>
      </w:r>
      <w:r w:rsidRPr="00F30BD2">
        <w:rPr>
          <w:sz w:val="22"/>
          <w:szCs w:val="22"/>
        </w:rPr>
        <w:t>primeiro plano da vida, é o poema ou a fábula, Os contos de Tolstoi impressionaram Wittgensten de uma forma especial, a este respeito [...] o mesmo pode ser dito dos primeiros filmes do Oeste americano, que ele viu como fábulas ou moralidades” (JANIK e TOULMIN apud CABRERA, 2006, p. 389).</w:t>
      </w:r>
    </w:p>
    <w:p w:rsidR="00C75EB2" w:rsidRDefault="00C75EB2" w:rsidP="00160878">
      <w:pPr>
        <w:spacing w:before="240" w:after="240"/>
        <w:jc w:val="both"/>
      </w:pPr>
      <w:r>
        <w:t xml:space="preserve">Na linguagem do </w:t>
      </w:r>
      <w:r>
        <w:rPr>
          <w:i/>
        </w:rPr>
        <w:t>Tractatus</w:t>
      </w:r>
      <w:r>
        <w:t xml:space="preserve"> não poderiam ser colocados temas éticos, como os problemas morais mostrados pelos poemas de Tolst</w:t>
      </w:r>
      <w:r w:rsidR="00B8459B">
        <w:t>ó</w:t>
      </w:r>
      <w:r>
        <w:t>i</w:t>
      </w:r>
      <w:r w:rsidR="00490507">
        <w:t xml:space="preserve"> (1828-1910)</w:t>
      </w:r>
      <w:r>
        <w:t xml:space="preserve"> ou pelos filmes de faroeste </w:t>
      </w:r>
      <w:r w:rsidR="00490507">
        <w:t>norte-</w:t>
      </w:r>
      <w:r>
        <w:t>americanos. Esta impossibilidade se dá não por ser impossível de se es</w:t>
      </w:r>
      <w:r w:rsidR="00490507">
        <w:t xml:space="preserve">crever tais problemas no papel, </w:t>
      </w:r>
      <w:r>
        <w:t>pois isso certamente é possível</w:t>
      </w:r>
      <w:r w:rsidR="00451E52">
        <w:t xml:space="preserve">, </w:t>
      </w:r>
      <w:r w:rsidR="002F7147">
        <w:t>mas por ser impossível a compreensão desses problemas somente com o que está pres</w:t>
      </w:r>
      <w:r w:rsidR="004071CC">
        <w:t>ente no discurso</w:t>
      </w:r>
      <w:r w:rsidR="00490507">
        <w:t xml:space="preserve"> escrito (referencial)</w:t>
      </w:r>
      <w:r w:rsidR="004071CC">
        <w:t>: necessita-se de</w:t>
      </w:r>
      <w:r w:rsidR="00490507">
        <w:t xml:space="preserve"> uma mediação com algo sensível, provindo da experiência, mas que</w:t>
      </w:r>
      <w:r w:rsidR="008B3E09">
        <w:t>, no entanto,</w:t>
      </w:r>
      <w:r w:rsidR="00490507">
        <w:t xml:space="preserve"> não pode ser referenciado (não há objeto referencial).</w:t>
      </w:r>
    </w:p>
    <w:p w:rsidR="004071CC" w:rsidRDefault="004071CC" w:rsidP="00160878">
      <w:pPr>
        <w:spacing w:before="240" w:after="240"/>
        <w:jc w:val="both"/>
      </w:pPr>
      <w:r>
        <w:t>Cabrera ressalta essa necessidade da sensibilidade</w:t>
      </w:r>
      <w:r w:rsidR="00032974">
        <w:t xml:space="preserve"> para se tratar as questões éticas</w:t>
      </w:r>
      <w:r>
        <w:t xml:space="preserve"> e disserta nesse ponto sua tese: “É na mediação com algo sensível que consiste o ‘</w:t>
      </w:r>
      <w:r w:rsidR="000E49DA">
        <w:t>dizer</w:t>
      </w:r>
      <w:r>
        <w:t xml:space="preserve"> do cinema” (CABRERA, 2006, p. 389).</w:t>
      </w:r>
      <w:r w:rsidR="008B3E09">
        <w:t xml:space="preserve"> O ‘mostrar’ artístico teria a função de ‘referenciar’ aquilo que a linguagem escrita não consegue. A arte (e não somente o cinema) poderia dar a sensibilidade que falta para a linguagem referencial.</w:t>
      </w:r>
      <w:r>
        <w:t xml:space="preserve"> </w:t>
      </w:r>
      <w:r w:rsidR="004D08CC">
        <w:t xml:space="preserve">Para Cabrera, o cinema não somente apresenta personagens e fatos, mas </w:t>
      </w:r>
      <w:r w:rsidR="00490507">
        <w:t>também</w:t>
      </w:r>
      <w:r w:rsidR="004D08CC">
        <w:t xml:space="preserve"> ‘dramatiza’ e os ‘coloca em cena’ e, dessa forma, cria um cenário narrativo que torna possível </w:t>
      </w:r>
      <w:r w:rsidR="00490507">
        <w:t>‘</w:t>
      </w:r>
      <w:r w:rsidR="004D08CC">
        <w:t>vivenciar</w:t>
      </w:r>
      <w:r w:rsidR="00490507">
        <w:t>’</w:t>
      </w:r>
      <w:r w:rsidR="004D08CC">
        <w:t xml:space="preserve"> os personagens e os problemas </w:t>
      </w:r>
      <w:r w:rsidR="00490507">
        <w:t>morais</w:t>
      </w:r>
      <w:r w:rsidR="004D08CC">
        <w:t xml:space="preserve"> </w:t>
      </w:r>
      <w:r w:rsidR="000E49DA">
        <w:t>ali representeados</w:t>
      </w:r>
      <w:r w:rsidR="004D08CC">
        <w:t>.</w:t>
      </w:r>
      <w:r w:rsidR="00490507">
        <w:t xml:space="preserve"> Dessa maneira,</w:t>
      </w:r>
      <w:r w:rsidR="004D08CC">
        <w:t xml:space="preserve"> o cinema não só ofereceria um relatório objetivo dos acontecimentos, mas abriria uma forma de discurso que torna possível o entendimento de problemas éticos.</w:t>
      </w:r>
    </w:p>
    <w:p w:rsidR="00C74C8C" w:rsidRPr="00D86849" w:rsidRDefault="00D86849" w:rsidP="00160878">
      <w:pPr>
        <w:spacing w:before="240" w:after="240"/>
        <w:jc w:val="both"/>
      </w:pPr>
      <w:r w:rsidRPr="00D86849">
        <w:t>Ao tomar</w:t>
      </w:r>
      <w:r w:rsidR="00C74C8C" w:rsidRPr="00D86849">
        <w:t xml:space="preserve"> como base o filme </w:t>
      </w:r>
      <w:r w:rsidR="00C74C8C" w:rsidRPr="00D86849">
        <w:rPr>
          <w:i/>
        </w:rPr>
        <w:t xml:space="preserve">No tempo das diligências </w:t>
      </w:r>
      <w:r w:rsidR="00C74C8C" w:rsidRPr="00D86849">
        <w:t>(1939), de John Ford</w:t>
      </w:r>
      <w:r w:rsidR="000E49DA">
        <w:t>,</w:t>
      </w:r>
      <w:r w:rsidR="00451E52" w:rsidRPr="00D86849">
        <w:rPr>
          <w:rStyle w:val="Refdenotaderodap"/>
        </w:rPr>
        <w:footnoteReference w:id="11"/>
      </w:r>
      <w:r w:rsidR="008B3E09" w:rsidRPr="00D86849">
        <w:t xml:space="preserve"> Cabrera afirma que filmes conseguiriam não somente</w:t>
      </w:r>
      <w:r w:rsidR="00C74C8C" w:rsidRPr="00D86849">
        <w:t xml:space="preserve"> </w:t>
      </w:r>
      <w:r w:rsidR="00490507" w:rsidRPr="00D86849">
        <w:t>‘</w:t>
      </w:r>
      <w:r w:rsidR="00C74C8C" w:rsidRPr="00D86849">
        <w:t>mostrar</w:t>
      </w:r>
      <w:r w:rsidR="00490507" w:rsidRPr="00D86849">
        <w:t>’</w:t>
      </w:r>
      <w:r w:rsidR="008B3E09" w:rsidRPr="00D86849">
        <w:t xml:space="preserve"> mas também ‘dizer’ (no sentido wittgensteiniano)</w:t>
      </w:r>
      <w:r w:rsidR="00C74C8C" w:rsidRPr="00D86849">
        <w:t xml:space="preserve"> algumas coisas que não podem ser ditas</w:t>
      </w:r>
      <w:r w:rsidR="00490507" w:rsidRPr="00D86849">
        <w:t xml:space="preserve"> segundo a teoria da linguagem do </w:t>
      </w:r>
      <w:r w:rsidR="00490507" w:rsidRPr="00D86849">
        <w:rPr>
          <w:i/>
        </w:rPr>
        <w:t>Tractatus</w:t>
      </w:r>
      <w:r w:rsidR="000E49DA">
        <w:rPr>
          <w:i/>
        </w:rPr>
        <w:t>.</w:t>
      </w:r>
      <w:r w:rsidR="00C74C8C" w:rsidRPr="00D86849">
        <w:rPr>
          <w:rStyle w:val="Refdenotaderodap"/>
        </w:rPr>
        <w:footnoteReference w:id="12"/>
      </w:r>
      <w:r w:rsidR="000E49DA">
        <w:rPr>
          <w:i/>
        </w:rPr>
        <w:t xml:space="preserve"> </w:t>
      </w:r>
      <w:r w:rsidR="00C74C8C" w:rsidRPr="00D86849">
        <w:t>Isto é possível devido ao caráter não literal do ‘silêncio’ fílmico</w:t>
      </w:r>
      <w:r w:rsidR="00446B91" w:rsidRPr="00D86849">
        <w:t xml:space="preserve">: </w:t>
      </w:r>
    </w:p>
    <w:p w:rsidR="00446B91" w:rsidRPr="00D86849" w:rsidRDefault="00446B91" w:rsidP="00282098">
      <w:pPr>
        <w:spacing w:before="240" w:after="240"/>
        <w:ind w:left="567"/>
        <w:jc w:val="both"/>
        <w:rPr>
          <w:sz w:val="22"/>
          <w:szCs w:val="22"/>
        </w:rPr>
      </w:pPr>
      <w:r w:rsidRPr="00D86849">
        <w:rPr>
          <w:sz w:val="22"/>
          <w:szCs w:val="22"/>
        </w:rPr>
        <w:t xml:space="preserve">O silêncio de filmes como este </w:t>
      </w:r>
      <w:r w:rsidR="001A0881">
        <w:rPr>
          <w:sz w:val="22"/>
          <w:szCs w:val="22"/>
        </w:rPr>
        <w:t>[</w:t>
      </w:r>
      <w:r w:rsidRPr="00D86849">
        <w:rPr>
          <w:i/>
          <w:sz w:val="22"/>
          <w:szCs w:val="22"/>
        </w:rPr>
        <w:t>No tempo das diligências</w:t>
      </w:r>
      <w:r w:rsidR="001A0881">
        <w:rPr>
          <w:sz w:val="22"/>
          <w:szCs w:val="22"/>
        </w:rPr>
        <w:t>]</w:t>
      </w:r>
      <w:r w:rsidRPr="00D86849">
        <w:rPr>
          <w:sz w:val="22"/>
          <w:szCs w:val="22"/>
        </w:rPr>
        <w:t xml:space="preserve"> não é literal, na verdade, eles guardam silêncio a respeito de atitudes volitivas diante do mundo que estariam, para </w:t>
      </w:r>
      <w:r w:rsidRPr="00D86849">
        <w:rPr>
          <w:sz w:val="22"/>
          <w:szCs w:val="22"/>
        </w:rPr>
        <w:lastRenderedPageBreak/>
        <w:t>Wittgenstein, fora dos limites da linguagem, tanto da muda como da falada (CABRERA, 2006, p.389).</w:t>
      </w:r>
      <w:r w:rsidR="00411D7E" w:rsidRPr="00D86849">
        <w:rPr>
          <w:sz w:val="22"/>
          <w:szCs w:val="22"/>
        </w:rPr>
        <w:t xml:space="preserve"> </w:t>
      </w:r>
    </w:p>
    <w:p w:rsidR="0037172E" w:rsidRDefault="00446B91" w:rsidP="00160878">
      <w:pPr>
        <w:spacing w:before="240" w:after="240"/>
        <w:jc w:val="both"/>
      </w:pPr>
      <w:r>
        <w:t>Para Cabrera, John Ford</w:t>
      </w:r>
      <w:r w:rsidR="000E49DA">
        <w:t xml:space="preserve"> (e outros diretores do cinema)</w:t>
      </w:r>
      <w:r>
        <w:t xml:space="preserve"> conseguiria dizer os temas que seriam sem sentido para </w:t>
      </w:r>
      <w:r w:rsidR="00451E52">
        <w:t>a linguagem escrita articulada</w:t>
      </w:r>
      <w:r>
        <w:rPr>
          <w:i/>
        </w:rPr>
        <w:t>.</w:t>
      </w:r>
      <w:r>
        <w:t xml:space="preserve"> </w:t>
      </w:r>
      <w:r w:rsidR="00D86849">
        <w:t>Por ir</w:t>
      </w:r>
      <w:r>
        <w:t xml:space="preserve"> além da distinção mudo/sonoro, a imagem cinematográfica, tanto no cinema mudo como no falado, conseguiria </w:t>
      </w:r>
      <w:r w:rsidR="00F149F9">
        <w:t>ir para</w:t>
      </w:r>
      <w:r>
        <w:t xml:space="preserve"> </w:t>
      </w:r>
      <w:r w:rsidRPr="00F149F9">
        <w:t xml:space="preserve">além da linguagem de palavras proposta pelo </w:t>
      </w:r>
      <w:r w:rsidRPr="00F149F9">
        <w:rPr>
          <w:i/>
        </w:rPr>
        <w:t>Tractatus</w:t>
      </w:r>
      <w:r w:rsidR="008B3E09" w:rsidRPr="00F149F9">
        <w:rPr>
          <w:i/>
        </w:rPr>
        <w:t>.</w:t>
      </w:r>
      <w:r w:rsidRPr="00F149F9">
        <w:rPr>
          <w:rStyle w:val="Refdenotaderodap"/>
        </w:rPr>
        <w:footnoteReference w:id="13"/>
      </w:r>
      <w:r>
        <w:t xml:space="preserve"> Logo, segundo a concepção de Cabrera, o cinema </w:t>
      </w:r>
      <w:r w:rsidR="00FC33A6">
        <w:t>transpassaria os</w:t>
      </w:r>
      <w:r>
        <w:t xml:space="preserve"> limites da linguagem proposicional</w:t>
      </w:r>
      <w:r w:rsidR="00FC33A6">
        <w:t>, uma vez que conseguiria</w:t>
      </w:r>
      <w:r>
        <w:t xml:space="preserve"> mostrar e dizer o que a linguagem escrita não consegue</w:t>
      </w:r>
      <w:r w:rsidR="008B3E09">
        <w:t>.</w:t>
      </w:r>
      <w:r w:rsidR="0037172E">
        <w:rPr>
          <w:rStyle w:val="Refdenotaderodap"/>
        </w:rPr>
        <w:footnoteReference w:id="14"/>
      </w:r>
    </w:p>
    <w:p w:rsidR="00D86849" w:rsidRDefault="00075208" w:rsidP="00160878">
      <w:pPr>
        <w:spacing w:before="240" w:after="240"/>
        <w:jc w:val="both"/>
      </w:pPr>
      <w:r>
        <w:t xml:space="preserve">Contudo, assim como na linguagem referencial proposta pelo </w:t>
      </w:r>
      <w:r>
        <w:rPr>
          <w:i/>
        </w:rPr>
        <w:t>Tractatus</w:t>
      </w:r>
      <w:r>
        <w:t xml:space="preserve">, há também limites na linguagem cinematográfica. </w:t>
      </w:r>
      <w:r w:rsidR="005821BC">
        <w:t>Cabrera ressalta esses limites ao usar o cinema mudo como exemplo: no cinema mudo</w:t>
      </w:r>
      <w:r>
        <w:t xml:space="preserve"> não há distinção entre o que o ator faz e o que ele diz: tudo que ele diz é o que faz. Isso certamente representa um</w:t>
      </w:r>
      <w:r w:rsidR="005821BC">
        <w:t xml:space="preserve"> tipo de ‘limite de linguagem’</w:t>
      </w:r>
      <w:r w:rsidR="005821BC">
        <w:rPr>
          <w:rStyle w:val="Refdenotaderodap"/>
        </w:rPr>
        <w:footnoteReference w:id="15"/>
      </w:r>
      <w:r w:rsidR="005821BC">
        <w:t>. Dessa forma, se encontrariam limites em todo tipo de linguagem e o cinema não seria uma exceção a regra:</w:t>
      </w:r>
    </w:p>
    <w:p w:rsidR="005821BC" w:rsidRPr="005821BC" w:rsidRDefault="005821BC" w:rsidP="00282098">
      <w:pPr>
        <w:spacing w:before="240" w:after="240"/>
        <w:ind w:left="567"/>
        <w:jc w:val="both"/>
        <w:rPr>
          <w:sz w:val="22"/>
          <w:szCs w:val="22"/>
        </w:rPr>
      </w:pPr>
      <w:r w:rsidRPr="005821BC">
        <w:rPr>
          <w:sz w:val="22"/>
          <w:szCs w:val="22"/>
        </w:rPr>
        <w:t>É claro que todos os contrastes expressivos entre som e imagem, que até hoje estão sendo descobertos, não estavam ao alcance do cinema mudo, mas há muitas coisas que o cinema, mesmo atualmente, não consegue fazer como, por exemplo, expressar tudo o que Proust diria a respeito dos matizes de uma interioridade atormentada</w:t>
      </w:r>
      <w:r>
        <w:rPr>
          <w:sz w:val="22"/>
          <w:szCs w:val="22"/>
        </w:rPr>
        <w:t xml:space="preserve"> </w:t>
      </w:r>
      <w:r w:rsidRPr="00D86849">
        <w:rPr>
          <w:sz w:val="22"/>
          <w:szCs w:val="22"/>
        </w:rPr>
        <w:t>(CABRERA, 2006, p.</w:t>
      </w:r>
      <w:r>
        <w:rPr>
          <w:sz w:val="22"/>
          <w:szCs w:val="22"/>
        </w:rPr>
        <w:t xml:space="preserve"> </w:t>
      </w:r>
      <w:r w:rsidRPr="00D86849">
        <w:rPr>
          <w:sz w:val="22"/>
          <w:szCs w:val="22"/>
        </w:rPr>
        <w:t>38</w:t>
      </w:r>
      <w:r>
        <w:rPr>
          <w:sz w:val="22"/>
          <w:szCs w:val="22"/>
        </w:rPr>
        <w:t>1</w:t>
      </w:r>
      <w:r w:rsidRPr="00D86849">
        <w:rPr>
          <w:sz w:val="22"/>
          <w:szCs w:val="22"/>
        </w:rPr>
        <w:t>).</w:t>
      </w:r>
    </w:p>
    <w:p w:rsidR="00075208" w:rsidRDefault="00D86849" w:rsidP="00160878">
      <w:pPr>
        <w:spacing w:before="240" w:after="240"/>
        <w:jc w:val="both"/>
      </w:pPr>
      <w:r>
        <w:t>Porém</w:t>
      </w:r>
      <w:r w:rsidR="00075208">
        <w:t>, há um grave problema quando se absolutiza</w:t>
      </w:r>
      <w:r w:rsidR="00A65A35">
        <w:t xml:space="preserve"> </w:t>
      </w:r>
      <w:r w:rsidR="005821BC">
        <w:t>um tipo de</w:t>
      </w:r>
      <w:r w:rsidR="00A65A35">
        <w:t xml:space="preserve"> linguagem</w:t>
      </w:r>
      <w:r w:rsidR="005821BC">
        <w:t xml:space="preserve"> juntamente com seus limites</w:t>
      </w:r>
      <w:r>
        <w:t>, como o fez Wittgenstein.</w:t>
      </w:r>
      <w:r w:rsidR="005821BC">
        <w:t xml:space="preserve"> É esse problema um dos pontos centrais da crítica feita por Cabrera. Sobre essa ‘absolutização da linguagem’, argumentou Cabrera:</w:t>
      </w:r>
    </w:p>
    <w:p w:rsidR="00A65A35" w:rsidRDefault="00A65A35" w:rsidP="00282098">
      <w:pPr>
        <w:spacing w:before="240" w:after="240"/>
        <w:ind w:left="567"/>
        <w:jc w:val="both"/>
      </w:pPr>
      <w:r>
        <w:t>As linguagens têm seus limites, é claro, mas o que não se pode dizer é que a ausência de palavras represente algum tipo de limite absoluto. Wittgenstein quis determinar os limites da linguagem de forma absoluta e definitiva. Mas os limites são relativos ao poder de expressão de cada linguagem e não existe uma linguagem privilegiada a partir da qual possamos julgar as capacidades de todas as outras</w:t>
      </w:r>
      <w:r w:rsidR="005821BC">
        <w:t xml:space="preserve"> </w:t>
      </w:r>
      <w:r w:rsidR="005821BC" w:rsidRPr="00D86849">
        <w:rPr>
          <w:sz w:val="22"/>
          <w:szCs w:val="22"/>
        </w:rPr>
        <w:t>(CABRERA, 2006, p.</w:t>
      </w:r>
      <w:r w:rsidR="005821BC">
        <w:rPr>
          <w:sz w:val="22"/>
          <w:szCs w:val="22"/>
        </w:rPr>
        <w:t xml:space="preserve"> </w:t>
      </w:r>
      <w:r w:rsidR="005821BC" w:rsidRPr="00D86849">
        <w:rPr>
          <w:sz w:val="22"/>
          <w:szCs w:val="22"/>
        </w:rPr>
        <w:t>38</w:t>
      </w:r>
      <w:r w:rsidR="005821BC">
        <w:rPr>
          <w:sz w:val="22"/>
          <w:szCs w:val="22"/>
        </w:rPr>
        <w:t>1</w:t>
      </w:r>
      <w:r w:rsidR="005821BC" w:rsidRPr="00D86849">
        <w:rPr>
          <w:sz w:val="22"/>
          <w:szCs w:val="22"/>
        </w:rPr>
        <w:t>).</w:t>
      </w:r>
    </w:p>
    <w:p w:rsidR="00032974" w:rsidRDefault="005821BC" w:rsidP="00160878">
      <w:pPr>
        <w:spacing w:before="240" w:after="240"/>
        <w:jc w:val="both"/>
      </w:pPr>
      <w:r>
        <w:t>Cabrera refuta a teoria de Wittgenstein devido a essa pretensa absolutização de um tipo específico de linguagem (linguagem referencial descritiva) e, contra iss</w:t>
      </w:r>
      <w:r w:rsidR="00D4219A">
        <w:t>o, ressalta a particularidade expressiva de cada linguagem. A linguagem formal, discursiva e racional, seria apenas um tipo de linguagem entre tantos outros e, por isso, não estaria em um nível superior aos outros tipos de linguagem. Daí procede à conclusão de Cabrera que afirma que não há uma linguagem privilegiada que tenha a capacidade de julgar às outras.</w:t>
      </w:r>
    </w:p>
    <w:p w:rsidR="00BD32F2" w:rsidRDefault="00BD32F2" w:rsidP="00160878">
      <w:pPr>
        <w:spacing w:before="240" w:after="240"/>
        <w:jc w:val="both"/>
      </w:pPr>
    </w:p>
    <w:p w:rsidR="00446B91" w:rsidRPr="00124938" w:rsidRDefault="00446B91" w:rsidP="00160878">
      <w:pPr>
        <w:spacing w:before="240" w:after="240"/>
        <w:jc w:val="both"/>
        <w:rPr>
          <w:b/>
        </w:rPr>
      </w:pPr>
      <w:r w:rsidRPr="001A02B5">
        <w:rPr>
          <w:b/>
        </w:rPr>
        <w:t>CONCLUSÃO</w:t>
      </w:r>
    </w:p>
    <w:p w:rsidR="00C44EBF" w:rsidRPr="00077957" w:rsidRDefault="000E49DA" w:rsidP="00160878">
      <w:pPr>
        <w:spacing w:before="240" w:after="240"/>
        <w:jc w:val="both"/>
      </w:pPr>
      <w:r>
        <w:t>Como foi visto ao decorrer do artigo, a</w:t>
      </w:r>
      <w:r w:rsidR="00C44EBF">
        <w:t xml:space="preserve"> tese que Wittgenstein sustentou em seu </w:t>
      </w:r>
      <w:r w:rsidR="00C44EBF">
        <w:rPr>
          <w:i/>
        </w:rPr>
        <w:t>Tractatus</w:t>
      </w:r>
      <w:r w:rsidR="00C44EBF">
        <w:t xml:space="preserve"> era a de que elementos</w:t>
      </w:r>
      <w:r w:rsidR="00DD5AF0">
        <w:t xml:space="preserve"> e problemas</w:t>
      </w:r>
      <w:r w:rsidR="00C44EBF">
        <w:t xml:space="preserve"> relacionados à sensibilidade ou à emoção</w:t>
      </w:r>
      <w:r w:rsidR="00DD5AF0">
        <w:t xml:space="preserve"> (temas valorativos)</w:t>
      </w:r>
      <w:r w:rsidR="00C44EBF">
        <w:t xml:space="preserve"> não poderiam ser expressos logicamente em uma pro</w:t>
      </w:r>
      <w:r w:rsidR="000F732B">
        <w:t xml:space="preserve">posição articulada, uma vez que </w:t>
      </w:r>
      <w:r w:rsidR="00C44EBF">
        <w:t xml:space="preserve">tais problemas estariam fora dos limites da linguagem e careceriam de sentido referencial. </w:t>
      </w:r>
      <w:r w:rsidR="0018514A">
        <w:t>Nesse âmbito</w:t>
      </w:r>
      <w:r w:rsidR="00C44EBF">
        <w:t>, Wittgenstein propôs um isomorfismo entre a linguagem e o mundo.</w:t>
      </w:r>
      <w:r w:rsidR="00077957">
        <w:t xml:space="preserve"> Segundo a tese do </w:t>
      </w:r>
      <w:r w:rsidR="00077957">
        <w:rPr>
          <w:i/>
        </w:rPr>
        <w:t>Tractatus</w:t>
      </w:r>
      <w:r w:rsidR="00077957">
        <w:t>, não existiriam ‘problemas filosóficos’ e, por isso, caberia a filosofia apenas esclarecer possíveis confusões provindas da linguagem.</w:t>
      </w:r>
    </w:p>
    <w:p w:rsidR="00077957" w:rsidRDefault="00077957" w:rsidP="00160878">
      <w:pPr>
        <w:spacing w:before="240" w:after="240"/>
        <w:jc w:val="both"/>
      </w:pPr>
      <w:r>
        <w:t xml:space="preserve">Contudo, percebeu-se que a tese do </w:t>
      </w:r>
      <w:r>
        <w:rPr>
          <w:i/>
        </w:rPr>
        <w:t xml:space="preserve">Tractatus </w:t>
      </w:r>
      <w:r>
        <w:t>abre margem pa</w:t>
      </w:r>
      <w:r w:rsidR="00620318">
        <w:t>ra alguns problemas que se encontram fora</w:t>
      </w:r>
      <w:r>
        <w:t xml:space="preserve"> dos limites da linguagem como, por exemplo, o problema da relação de figuração </w:t>
      </w:r>
      <w:r w:rsidR="00291C3F">
        <w:t>entre sentenças e fatos atômicos. Foi nessa lacuna que Cabrera desenvolveu sua tese que contra-argumenta as idéias expostas por Wittgenstein.</w:t>
      </w:r>
    </w:p>
    <w:p w:rsidR="00291C3F" w:rsidRPr="00077957" w:rsidRDefault="00291C3F" w:rsidP="00160878">
      <w:pPr>
        <w:spacing w:before="240" w:after="240"/>
        <w:jc w:val="both"/>
      </w:pPr>
      <w:r>
        <w:t>Uma vez que se observa a necessidade de algo sensível</w:t>
      </w:r>
      <w:r w:rsidR="00FB408C">
        <w:t xml:space="preserve"> -</w:t>
      </w:r>
      <w:r>
        <w:t xml:space="preserve"> que é impossível na linguagem referencial</w:t>
      </w:r>
      <w:r w:rsidR="00FB408C">
        <w:t xml:space="preserve"> -</w:t>
      </w:r>
      <w:r>
        <w:t xml:space="preserve"> para o tratamento da</w:t>
      </w:r>
      <w:r w:rsidR="008059E1">
        <w:t>s</w:t>
      </w:r>
      <w:r>
        <w:t xml:space="preserve"> questões éticas, Cabrera apontou a linguagem artística como uma linguagem que </w:t>
      </w:r>
      <w:r w:rsidR="00FB408C">
        <w:t xml:space="preserve">possibilita </w:t>
      </w:r>
      <w:r>
        <w:t>tratar tais questões, pois poderia se referenciar problemas éticos no cinema.</w:t>
      </w:r>
    </w:p>
    <w:p w:rsidR="0037172E" w:rsidRDefault="00C44EBF" w:rsidP="00160878">
      <w:pPr>
        <w:spacing w:before="240" w:after="240"/>
        <w:jc w:val="both"/>
      </w:pPr>
      <w:r>
        <w:t>O que Cabrera argument</w:t>
      </w:r>
      <w:r w:rsidR="00291C3F">
        <w:t>ou</w:t>
      </w:r>
      <w:r>
        <w:t xml:space="preserve"> em sua tese, entretanto, é que </w:t>
      </w:r>
      <w:r w:rsidR="0037172E">
        <w:t xml:space="preserve">o cinema conseguiria não apenas ‘mostrar’ no sentido </w:t>
      </w:r>
      <w:r w:rsidR="00DD5AF0">
        <w:t>wittgensteiniano</w:t>
      </w:r>
      <w:r w:rsidR="0037172E">
        <w:t xml:space="preserve"> </w:t>
      </w:r>
      <w:r w:rsidR="00DD5AF0">
        <w:t>d</w:t>
      </w:r>
      <w:r w:rsidR="0037172E">
        <w:t>o termo, mas também ‘dizer’ os problemas que ficariam fora da linguag</w:t>
      </w:r>
      <w:r w:rsidR="00B96FF2">
        <w:t>em proposicional</w:t>
      </w:r>
      <w:r w:rsidR="0037172E">
        <w:rPr>
          <w:i/>
        </w:rPr>
        <w:t>.</w:t>
      </w:r>
      <w:r w:rsidR="0037172E">
        <w:t xml:space="preserve"> Dessa forma, o cinema além de mostrar</w:t>
      </w:r>
      <w:r w:rsidR="000E49DA">
        <w:t xml:space="preserve"> alguns</w:t>
      </w:r>
      <w:r w:rsidR="0037172E">
        <w:t xml:space="preserve"> </w:t>
      </w:r>
      <w:r w:rsidR="000E49DA">
        <w:t>d</w:t>
      </w:r>
      <w:r w:rsidR="0037172E">
        <w:t xml:space="preserve">os problemas filosóficos (problemas éticos, por exemplo), também serviria como caminho de discussão e debate de tais temas e fundamentaria, por sua vez, os discursos filosóficos renegados pelo </w:t>
      </w:r>
      <w:r w:rsidR="0037172E">
        <w:rPr>
          <w:i/>
        </w:rPr>
        <w:t>Tractatus.</w:t>
      </w:r>
    </w:p>
    <w:p w:rsidR="0018514A" w:rsidRDefault="000E49DA" w:rsidP="00160878">
      <w:pPr>
        <w:spacing w:before="240" w:after="240"/>
        <w:jc w:val="both"/>
      </w:pPr>
      <w:r>
        <w:t>P</w:t>
      </w:r>
      <w:r w:rsidR="00291C3F">
        <w:t xml:space="preserve">ercebe-se que é aceitável a crítica da Cabrera ao primeiro Wittgenstein, principalmente no que se refere </w:t>
      </w:r>
      <w:r w:rsidR="0018514A">
        <w:t>à</w:t>
      </w:r>
      <w:r w:rsidR="00291C3F">
        <w:t xml:space="preserve"> absolutização de um tipo de linguagem. Logo, </w:t>
      </w:r>
      <w:r>
        <w:t>nota-se</w:t>
      </w:r>
      <w:r w:rsidR="00291C3F">
        <w:t xml:space="preserve"> que a</w:t>
      </w:r>
      <w:r w:rsidR="00291C3F" w:rsidRPr="00F85E7C">
        <w:t xml:space="preserve"> linguagem formal seria apenas um tipo de linguagem </w:t>
      </w:r>
      <w:r w:rsidR="00291C3F">
        <w:t>e</w:t>
      </w:r>
      <w:r w:rsidR="0018514A">
        <w:t>, por este motivo,</w:t>
      </w:r>
      <w:r w:rsidR="00291C3F">
        <w:t xml:space="preserve"> </w:t>
      </w:r>
      <w:r w:rsidR="00291C3F" w:rsidRPr="00F85E7C">
        <w:t>não estaria em um nível superior</w:t>
      </w:r>
      <w:r w:rsidR="00291C3F">
        <w:t xml:space="preserve"> </w:t>
      </w:r>
      <w:r w:rsidR="0018514A">
        <w:t>em relação aos outros tipos de linguagem. Salienta-se ainda que o</w:t>
      </w:r>
      <w:r w:rsidR="00291C3F">
        <w:t xml:space="preserve">s limites de uma </w:t>
      </w:r>
      <w:r w:rsidR="00291C3F" w:rsidRPr="00D71787">
        <w:t>linguagem não podem e não devem ser passados para outro tipo de linguagem.</w:t>
      </w:r>
      <w:r w:rsidR="0018514A">
        <w:t xml:space="preserve"> </w:t>
      </w:r>
    </w:p>
    <w:p w:rsidR="00291C3F" w:rsidRPr="0018514A" w:rsidRDefault="0018514A" w:rsidP="00160878">
      <w:pPr>
        <w:spacing w:before="240" w:after="240"/>
        <w:jc w:val="both"/>
      </w:pPr>
      <w:r>
        <w:t xml:space="preserve">Por fim, deixa-se uma abertura em relação à aproximação teórica da tese de Julio Cabrera, exposta na obra </w:t>
      </w:r>
      <w:r>
        <w:rPr>
          <w:i/>
        </w:rPr>
        <w:t>O Cinema Pensa,</w:t>
      </w:r>
      <w:r>
        <w:t xml:space="preserve"> e a do segundo Wittgenstein, exposta nas </w:t>
      </w:r>
      <w:r>
        <w:rPr>
          <w:i/>
        </w:rPr>
        <w:t xml:space="preserve">Investigações Filosóficas. </w:t>
      </w:r>
      <w:r>
        <w:t>Nesse sentido, a linguagem artística cinematográfica teria uma íntima relação com a idéia de ‘jogo de linguagem’ proposto pelo filósofo de Viena, principalmente devido à estrutura lógica particular da</w:t>
      </w:r>
      <w:r w:rsidR="0024652E">
        <w:t xml:space="preserve"> linguagem da</w:t>
      </w:r>
      <w:r>
        <w:t xml:space="preserve"> arte</w:t>
      </w:r>
      <w:r w:rsidR="0024652E">
        <w:t xml:space="preserve"> e por suas aberturas epistemológicas e de interpretação.</w:t>
      </w:r>
    </w:p>
    <w:p w:rsidR="00FB408C" w:rsidRPr="00B96FF2" w:rsidRDefault="00FB408C" w:rsidP="00160878">
      <w:pPr>
        <w:spacing w:before="240" w:after="240"/>
        <w:jc w:val="both"/>
      </w:pPr>
    </w:p>
    <w:p w:rsidR="006A033F" w:rsidRPr="009D41ED" w:rsidRDefault="006A033F" w:rsidP="00160878">
      <w:pPr>
        <w:spacing w:before="240" w:after="240"/>
        <w:jc w:val="both"/>
        <w:rPr>
          <w:b/>
        </w:rPr>
      </w:pPr>
      <w:r w:rsidRPr="00D71787">
        <w:rPr>
          <w:b/>
        </w:rPr>
        <w:t>REFERÊNCIAS</w:t>
      </w:r>
      <w:r w:rsidR="003124B6">
        <w:rPr>
          <w:b/>
        </w:rPr>
        <w:t xml:space="preserve"> BIBLIOGRÁFICAS</w:t>
      </w:r>
    </w:p>
    <w:p w:rsidR="00AB5B62" w:rsidRDefault="00AB5B62" w:rsidP="00160878">
      <w:pPr>
        <w:spacing w:before="240" w:after="240"/>
        <w:jc w:val="both"/>
      </w:pPr>
      <w:r>
        <w:t xml:space="preserve">CABRERA, Julio. </w:t>
      </w:r>
      <w:r w:rsidRPr="00FD6593">
        <w:rPr>
          <w:i/>
        </w:rPr>
        <w:t xml:space="preserve">O cinema pensa: uma introdução à filosofia através dos filmes. </w:t>
      </w:r>
      <w:r>
        <w:t>Trad. Ryta Vinagre.</w:t>
      </w:r>
      <w:r w:rsidR="00EE7ACF">
        <w:t xml:space="preserve"> Rio de Janeiro</w:t>
      </w:r>
      <w:r w:rsidR="00F11542">
        <w:t>, Ed. Rocco</w:t>
      </w:r>
      <w:r>
        <w:t xml:space="preserve"> 2006.</w:t>
      </w:r>
    </w:p>
    <w:p w:rsidR="00FD30FA" w:rsidRPr="00C8015D" w:rsidRDefault="00FD30FA" w:rsidP="00160878">
      <w:pPr>
        <w:spacing w:before="240" w:after="240"/>
        <w:jc w:val="both"/>
      </w:pPr>
      <w:r w:rsidRPr="00C8015D">
        <w:lastRenderedPageBreak/>
        <w:t xml:space="preserve">CORRÊA, Rogerio. </w:t>
      </w:r>
      <w:r w:rsidR="00C8015D" w:rsidRPr="00FD6593">
        <w:rPr>
          <w:i/>
        </w:rPr>
        <w:t>Pensamento e figuração no</w:t>
      </w:r>
      <w:r w:rsidR="00C8015D" w:rsidRPr="00EF6A40">
        <w:t xml:space="preserve"> </w:t>
      </w:r>
      <w:r w:rsidR="00C8015D" w:rsidRPr="00EF6A40">
        <w:rPr>
          <w:i/>
        </w:rPr>
        <w:t>Tractatus Logico-Philosophicus</w:t>
      </w:r>
      <w:r w:rsidR="00EF6A40" w:rsidRPr="00EF6A40">
        <w:rPr>
          <w:i/>
        </w:rPr>
        <w:t>.</w:t>
      </w:r>
      <w:r w:rsidR="00EF6A40">
        <w:rPr>
          <w:b/>
          <w:i/>
        </w:rPr>
        <w:t xml:space="preserve"> </w:t>
      </w:r>
      <w:r w:rsidR="00C8015D" w:rsidRPr="00FD6593">
        <w:t>Revista de Filosofia Aurora</w:t>
      </w:r>
      <w:r w:rsidR="00C8015D">
        <w:t>,</w:t>
      </w:r>
      <w:r w:rsidR="00EF6A40">
        <w:t xml:space="preserve"> Curitiba,</w:t>
      </w:r>
      <w:r w:rsidR="00C8015D" w:rsidRPr="00C8015D">
        <w:rPr>
          <w:rFonts w:ascii="Times" w:hAnsi="Times" w:cs="Times"/>
          <w:sz w:val="18"/>
          <w:szCs w:val="18"/>
        </w:rPr>
        <w:t xml:space="preserve"> </w:t>
      </w:r>
      <w:r w:rsidR="00C8015D" w:rsidRPr="00C8015D">
        <w:t>v. 21, n. 29, p. 425-435, 2009</w:t>
      </w:r>
    </w:p>
    <w:p w:rsidR="006A033F" w:rsidRPr="00124938" w:rsidRDefault="006A033F" w:rsidP="00160878">
      <w:pPr>
        <w:spacing w:before="240" w:after="240"/>
        <w:jc w:val="both"/>
      </w:pPr>
      <w:r w:rsidRPr="00C8015D">
        <w:t xml:space="preserve">HÜBNER, Haulf. </w:t>
      </w:r>
      <w:r w:rsidRPr="00FD6593">
        <w:rPr>
          <w:i/>
        </w:rPr>
        <w:t>Ponto de Vista. Wittgenstein ou o fim da filosofia</w:t>
      </w:r>
      <w:r w:rsidRPr="00FD6593">
        <w:t>.</w:t>
      </w:r>
      <w:r w:rsidRPr="00FD6593">
        <w:rPr>
          <w:i/>
        </w:rPr>
        <w:t xml:space="preserve"> </w:t>
      </w:r>
      <w:r w:rsidRPr="00FD6593">
        <w:t>Revista</w:t>
      </w:r>
      <w:r w:rsidRPr="00FD6593">
        <w:rPr>
          <w:i/>
        </w:rPr>
        <w:t xml:space="preserve"> </w:t>
      </w:r>
      <w:r w:rsidRPr="00FD6593">
        <w:t>Psicologia USP</w:t>
      </w:r>
      <w:r w:rsidRPr="00124938">
        <w:t>, 195-198. São Paulo. 1990.</w:t>
      </w:r>
    </w:p>
    <w:p w:rsidR="00F11542" w:rsidRPr="009E6644" w:rsidRDefault="00F11542" w:rsidP="00160878">
      <w:pPr>
        <w:spacing w:before="240" w:after="240"/>
        <w:jc w:val="both"/>
        <w:rPr>
          <w:lang w:val="en-US"/>
        </w:rPr>
      </w:pPr>
      <w:r w:rsidRPr="009E6644">
        <w:t xml:space="preserve">SCRUTON, Roger. </w:t>
      </w:r>
      <w:r w:rsidRPr="00FD6593">
        <w:rPr>
          <w:bCs/>
          <w:i/>
        </w:rPr>
        <w:t>Introdução a filosofia moderna de Descartes a Wittgenstein</w:t>
      </w:r>
      <w:r>
        <w:rPr>
          <w:b/>
          <w:bCs/>
        </w:rPr>
        <w:t xml:space="preserve">. </w:t>
      </w:r>
      <w:r w:rsidRPr="009E6644">
        <w:rPr>
          <w:lang w:val="en-US"/>
        </w:rPr>
        <w:t>Rio de Janeiro: Zahar, 1982.</w:t>
      </w:r>
    </w:p>
    <w:p w:rsidR="006D7CAC" w:rsidRPr="00BF3B05" w:rsidRDefault="006D7CAC" w:rsidP="00FD6593">
      <w:pPr>
        <w:autoSpaceDE w:val="0"/>
        <w:autoSpaceDN w:val="0"/>
        <w:adjustRightInd w:val="0"/>
        <w:jc w:val="both"/>
      </w:pPr>
      <w:r w:rsidRPr="009E6644">
        <w:rPr>
          <w:lang w:val="en-US"/>
        </w:rPr>
        <w:t xml:space="preserve">STERN, David. </w:t>
      </w:r>
      <w:r w:rsidRPr="00FD6593">
        <w:rPr>
          <w:i/>
          <w:iCs/>
          <w:lang w:val="en-US"/>
        </w:rPr>
        <w:t>Wittgenstein.  Philosophical Investigations. An Introduction</w:t>
      </w:r>
      <w:r w:rsidRPr="00FD6593">
        <w:rPr>
          <w:i/>
          <w:lang w:val="en-US"/>
        </w:rPr>
        <w:t>.</w:t>
      </w:r>
      <w:r w:rsidR="00FD6593">
        <w:rPr>
          <w:i/>
          <w:lang w:val="en-US"/>
        </w:rPr>
        <w:t xml:space="preserve"> </w:t>
      </w:r>
      <w:r w:rsidRPr="00BF3B05">
        <w:t>Cambridge: Cambridge U.P. 2004.</w:t>
      </w:r>
    </w:p>
    <w:p w:rsidR="00F11542" w:rsidRPr="00F11542" w:rsidRDefault="00F11542" w:rsidP="00160878">
      <w:pPr>
        <w:spacing w:before="240"/>
        <w:jc w:val="both"/>
      </w:pPr>
      <w:r>
        <w:t xml:space="preserve">SILVA, José Fernando da. </w:t>
      </w:r>
      <w:r w:rsidRPr="00FD6593">
        <w:rPr>
          <w:i/>
        </w:rPr>
        <w:t>Wittgenstein e o Empirismo Lógico: Considerações sobre o papel da Filosofia</w:t>
      </w:r>
      <w:r w:rsidRPr="00EF6A40">
        <w:t>.</w:t>
      </w:r>
      <w:r>
        <w:t xml:space="preserve"> </w:t>
      </w:r>
      <w:r w:rsidRPr="00FD6593">
        <w:t>Revista Técnica IPEP</w:t>
      </w:r>
      <w:r>
        <w:t>. São Paulo, v.6, n.2, p 61-74, ago/dez 2006.</w:t>
      </w:r>
    </w:p>
    <w:p w:rsidR="00EE7ACF" w:rsidRPr="00EE7ACF" w:rsidRDefault="00EE7ACF" w:rsidP="00160878">
      <w:pPr>
        <w:spacing w:before="240" w:after="240"/>
        <w:jc w:val="both"/>
      </w:pPr>
      <w:r w:rsidRPr="00EE7ACF">
        <w:rPr>
          <w:lang w:val="en-US"/>
        </w:rPr>
        <w:t xml:space="preserve">WITTGENSTEIN, Ludwig. </w:t>
      </w:r>
      <w:r w:rsidRPr="00FD6593">
        <w:rPr>
          <w:i/>
          <w:lang w:val="en-US"/>
        </w:rPr>
        <w:t>Tractatus Logico-Philosophicus</w:t>
      </w:r>
      <w:r w:rsidRPr="00EE7ACF">
        <w:rPr>
          <w:b/>
          <w:lang w:val="en-US"/>
        </w:rPr>
        <w:t xml:space="preserve">. </w:t>
      </w:r>
      <w:r w:rsidRPr="00EE7ACF">
        <w:rPr>
          <w:lang w:val="en-US"/>
        </w:rPr>
        <w:t xml:space="preserve">Trad. </w:t>
      </w:r>
      <w:r w:rsidRPr="00EE7ACF">
        <w:t>José Arthur Giannotti.</w:t>
      </w:r>
      <w:r w:rsidR="00F11542" w:rsidRPr="00F11542">
        <w:t xml:space="preserve"> </w:t>
      </w:r>
      <w:r w:rsidR="00F11542">
        <w:t>São Paulo</w:t>
      </w:r>
      <w:r>
        <w:t>,</w:t>
      </w:r>
      <w:r w:rsidR="00F11542">
        <w:t xml:space="preserve"> Ed. USP,</w:t>
      </w:r>
      <w:r>
        <w:t xml:space="preserve"> 1968.</w:t>
      </w:r>
    </w:p>
    <w:sectPr w:rsidR="00EE7ACF" w:rsidRPr="00EE7ACF" w:rsidSect="001817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0A" w:rsidRDefault="004F0F0A" w:rsidP="00E25DFF">
      <w:r>
        <w:separator/>
      </w:r>
    </w:p>
  </w:endnote>
  <w:endnote w:type="continuationSeparator" w:id="0">
    <w:p w:rsidR="004F0F0A" w:rsidRDefault="004F0F0A" w:rsidP="00E25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0A" w:rsidRDefault="004F0F0A" w:rsidP="00E25DFF">
      <w:r>
        <w:separator/>
      </w:r>
    </w:p>
  </w:footnote>
  <w:footnote w:type="continuationSeparator" w:id="0">
    <w:p w:rsidR="004F0F0A" w:rsidRDefault="004F0F0A" w:rsidP="00E25DFF">
      <w:r>
        <w:continuationSeparator/>
      </w:r>
    </w:p>
  </w:footnote>
  <w:footnote w:id="1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STERN, 2004, p. 19.</w:t>
      </w:r>
    </w:p>
  </w:footnote>
  <w:footnote w:id="2">
    <w:p w:rsidR="002C5886" w:rsidRPr="00FD30FA" w:rsidRDefault="002C5886" w:rsidP="002C5886">
      <w:pPr>
        <w:pStyle w:val="Textodenotaderodap"/>
        <w:jc w:val="both"/>
        <w:rPr>
          <w:i/>
        </w:rPr>
      </w:pPr>
      <w:r w:rsidRPr="00FD30FA">
        <w:rPr>
          <w:rStyle w:val="Refdenotaderodap"/>
        </w:rPr>
        <w:footnoteRef/>
      </w:r>
      <w:r w:rsidRPr="00FD30FA">
        <w:t xml:space="preserve"> Daqui em diante citado apenas como </w:t>
      </w:r>
      <w:r w:rsidRPr="00FD30FA">
        <w:rPr>
          <w:i/>
        </w:rPr>
        <w:t>Tractatus.</w:t>
      </w:r>
    </w:p>
  </w:footnote>
  <w:footnote w:id="3">
    <w:p w:rsidR="002C5886" w:rsidRPr="00FD30FA" w:rsidRDefault="002C5886" w:rsidP="002C5886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CABRERA, Julio. </w:t>
      </w:r>
      <w:r w:rsidRPr="00FD30FA">
        <w:rPr>
          <w:b/>
        </w:rPr>
        <w:t>O cinema pensa: uma introdução à filosofia através dos filmes.</w:t>
      </w:r>
      <w:r w:rsidRPr="00FD30FA">
        <w:rPr>
          <w:b/>
          <w:i/>
        </w:rPr>
        <w:t xml:space="preserve"> </w:t>
      </w:r>
      <w:r w:rsidRPr="00FD30FA">
        <w:t>Trad. Ryta Vinagre. Rio de Janeiro, Ed. Rocco 2006</w:t>
      </w:r>
    </w:p>
  </w:footnote>
  <w:footnote w:id="4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HÜBNER, 1990, p. 195.</w:t>
      </w:r>
    </w:p>
  </w:footnote>
  <w:footnote w:id="5">
    <w:p w:rsidR="00773482" w:rsidRDefault="00773482">
      <w:pPr>
        <w:pStyle w:val="Textodenotaderodap"/>
      </w:pPr>
      <w:r>
        <w:rPr>
          <w:rStyle w:val="Refdenotaderodap"/>
        </w:rPr>
        <w:footnoteRef/>
      </w:r>
      <w:r>
        <w:t xml:space="preserve"> Entende-se “componentes primitivos” como aquela parte que não admite qualquer definição anterior, ou seja, é o constituinte meramente dado na realidade.</w:t>
      </w:r>
    </w:p>
  </w:footnote>
  <w:footnote w:id="6">
    <w:p w:rsidR="00773482" w:rsidRPr="00FD30FA" w:rsidRDefault="00773482" w:rsidP="0070233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30FA">
        <w:rPr>
          <w:rStyle w:val="Refdenotaderodap"/>
          <w:sz w:val="20"/>
          <w:szCs w:val="20"/>
        </w:rPr>
        <w:footnoteRef/>
      </w:r>
      <w:r w:rsidRPr="00FD30FA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Pr="00FD30FA">
        <w:rPr>
          <w:sz w:val="20"/>
          <w:szCs w:val="20"/>
        </w:rPr>
        <w:t>Como o pensamento relaciona-se com o mundo e com a linguagem?</w:t>
      </w:r>
      <w:r>
        <w:rPr>
          <w:sz w:val="20"/>
          <w:szCs w:val="20"/>
        </w:rPr>
        <w:t>[...]</w:t>
      </w:r>
      <w:r w:rsidRPr="00FD30FA">
        <w:rPr>
          <w:sz w:val="20"/>
          <w:szCs w:val="20"/>
        </w:rPr>
        <w:t xml:space="preserve"> De alguma maneira, que não temos como saber, os símbolos são capazes de estabelecer as relações afigurantes a partir deles mesmos com o mundo. Outra maneira de responder à questão é dizer que quem estabelece as relações afigurantes entre os símbolos e o mundo é o sujeito. Não se trata, porém, de qualquer sujeito, mas do sujeito transcendental</w:t>
      </w:r>
      <w:r>
        <w:rPr>
          <w:sz w:val="20"/>
          <w:szCs w:val="20"/>
        </w:rPr>
        <w:t>” (CORRÊA, 2009, 431-432).</w:t>
      </w:r>
    </w:p>
  </w:footnote>
  <w:footnote w:id="7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>
        <w:t xml:space="preserve"> SCRUTON</w:t>
      </w:r>
      <w:r w:rsidRPr="00FD30FA">
        <w:t>, 1982, p. 274.</w:t>
      </w:r>
    </w:p>
  </w:footnote>
  <w:footnote w:id="8">
    <w:p w:rsidR="00773482" w:rsidRDefault="00773482">
      <w:pPr>
        <w:pStyle w:val="Textodenotaderodap"/>
      </w:pPr>
      <w:r>
        <w:rPr>
          <w:rStyle w:val="Refdenotaderodap"/>
        </w:rPr>
        <w:footnoteRef/>
      </w:r>
      <w:r>
        <w:t>CABRERA, 2006, p. 366.</w:t>
      </w:r>
    </w:p>
  </w:footnote>
  <w:footnote w:id="9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Sobre a noção de isomorfismo, o termo, em seu sentido literal, remete a uma correspondência biunívoca entre dois conjuntos, preservando as característica de cada um: </w:t>
      </w:r>
      <w:r w:rsidRPr="00FD30FA">
        <w:rPr>
          <w:i/>
        </w:rPr>
        <w:t xml:space="preserve">isomorfismo </w:t>
      </w:r>
      <w:r w:rsidRPr="00FD30FA">
        <w:t xml:space="preserve">satisfaz a idéia de uma figura capaz de reproduzir fielmente, traço a traço, aquilo que é figurado, sem alterar </w:t>
      </w:r>
      <w:r>
        <w:t>as características deste último</w:t>
      </w:r>
      <w:r w:rsidRPr="00FD30FA">
        <w:t xml:space="preserve"> (SILVA, 2006, p. 63)</w:t>
      </w:r>
      <w:r>
        <w:t>.</w:t>
      </w:r>
    </w:p>
  </w:footnote>
  <w:footnote w:id="10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</w:t>
      </w:r>
      <w:r w:rsidRPr="00FD30FA">
        <w:rPr>
          <w:b/>
        </w:rPr>
        <w:t>Wittgenstein, o cinema mudo e a diligência: o que é dito e o que só é mostrado (a questão dos limites da linguagem</w:t>
      </w:r>
      <w:r w:rsidRPr="008B3E09">
        <w:rPr>
          <w:b/>
        </w:rPr>
        <w:t>)</w:t>
      </w:r>
      <w:r w:rsidRPr="008B3E09">
        <w:t xml:space="preserve"> </w:t>
      </w:r>
      <w:r w:rsidRPr="008B3E09">
        <w:rPr>
          <w:i/>
        </w:rPr>
        <w:t xml:space="preserve">in </w:t>
      </w:r>
      <w:r w:rsidRPr="008B3E09">
        <w:t>CABRERA, 2006, p. 367-395.</w:t>
      </w:r>
    </w:p>
  </w:footnote>
  <w:footnote w:id="11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John Ford (1894-1973) foi um cineasta norte-americano de grande renome da década de 1930 a 1960, conhecido principalmente pelos seus filmes westerns (faroeste).</w:t>
      </w:r>
    </w:p>
  </w:footnote>
  <w:footnote w:id="12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CABRERA, 2006, p.389.</w:t>
      </w:r>
    </w:p>
  </w:footnote>
  <w:footnote w:id="13">
    <w:p w:rsidR="00773482" w:rsidRPr="00FD30FA" w:rsidRDefault="00773482" w:rsidP="0070233E">
      <w:pPr>
        <w:pStyle w:val="Textodenotaderodap"/>
        <w:jc w:val="both"/>
      </w:pPr>
      <w:r w:rsidRPr="00FD30FA">
        <w:rPr>
          <w:rStyle w:val="Refdenotaderodap"/>
        </w:rPr>
        <w:footnoteRef/>
      </w:r>
      <w:r w:rsidRPr="00FD30FA">
        <w:t xml:space="preserve"> Uma possível associação poderia ser feita aqui com a teoria dos “jogos de linguagem”, proposta pelo segundo Wittgenstein, em sua obra póstuma </w:t>
      </w:r>
      <w:r w:rsidRPr="00FD30FA">
        <w:rPr>
          <w:i/>
        </w:rPr>
        <w:t>Investigações Filosóficas.</w:t>
      </w:r>
      <w:r w:rsidRPr="00FD30FA">
        <w:t xml:space="preserve"> A linguagem do cinema poderia, dessa forma, ser um tipo “jogo de linguagem” específico, com regras próprias e que se diverge da linguagem escrita referencial proposta pelo primeiro Wittgenstein, no </w:t>
      </w:r>
      <w:r w:rsidRPr="00FD30FA">
        <w:rPr>
          <w:i/>
        </w:rPr>
        <w:t>Tractatus.</w:t>
      </w:r>
    </w:p>
  </w:footnote>
  <w:footnote w:id="14">
    <w:p w:rsidR="00773482" w:rsidRPr="00FD30FA" w:rsidRDefault="00773482" w:rsidP="0070233E">
      <w:pPr>
        <w:spacing w:after="240"/>
        <w:jc w:val="both"/>
        <w:rPr>
          <w:sz w:val="20"/>
          <w:szCs w:val="20"/>
        </w:rPr>
      </w:pPr>
      <w:r w:rsidRPr="00FD30FA">
        <w:rPr>
          <w:rStyle w:val="Refdenotaderodap"/>
          <w:sz w:val="20"/>
          <w:szCs w:val="20"/>
        </w:rPr>
        <w:footnoteRef/>
      </w:r>
      <w:r w:rsidRPr="00FD30FA">
        <w:rPr>
          <w:sz w:val="20"/>
          <w:szCs w:val="20"/>
        </w:rPr>
        <w:t xml:space="preserve"> Deve-se considerar que a tese de Cabrera se aproxima muito das idéias expostas por Wittgenstein na obra </w:t>
      </w:r>
      <w:r w:rsidRPr="00FD30FA">
        <w:rPr>
          <w:i/>
          <w:sz w:val="20"/>
          <w:szCs w:val="20"/>
        </w:rPr>
        <w:t xml:space="preserve">Investigações Filosóficas </w:t>
      </w:r>
      <w:r w:rsidRPr="00FD30FA">
        <w:rPr>
          <w:sz w:val="20"/>
          <w:szCs w:val="20"/>
        </w:rPr>
        <w:t>(segundo Wittgenstein). Pode-se fazer menção ao cinema como ‘jogo de linguagem’. No entanto, devido ao espaço, tal apontamento não será aqui trabalhado.</w:t>
      </w:r>
    </w:p>
    <w:p w:rsidR="00773482" w:rsidRPr="00FD30FA" w:rsidRDefault="00773482" w:rsidP="0070233E">
      <w:pPr>
        <w:pStyle w:val="Textodenotaderodap"/>
        <w:jc w:val="both"/>
      </w:pPr>
    </w:p>
  </w:footnote>
  <w:footnote w:id="15">
    <w:p w:rsidR="00773482" w:rsidRDefault="00773482" w:rsidP="0070233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CABRERA, 2006, p.381.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172"/>
      <w:docPartObj>
        <w:docPartGallery w:val="Page Numbers (Top of Page)"/>
        <w:docPartUnique/>
      </w:docPartObj>
    </w:sdtPr>
    <w:sdtContent>
      <w:p w:rsidR="00773482" w:rsidRDefault="006D7539">
        <w:pPr>
          <w:pStyle w:val="Cabealho"/>
          <w:jc w:val="right"/>
        </w:pPr>
        <w:fldSimple w:instr=" PAGE   \* MERGEFORMAT ">
          <w:r w:rsidR="0024652E">
            <w:rPr>
              <w:noProof/>
            </w:rPr>
            <w:t>8</w:t>
          </w:r>
        </w:fldSimple>
      </w:p>
    </w:sdtContent>
  </w:sdt>
  <w:p w:rsidR="00773482" w:rsidRDefault="0077348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56F"/>
    <w:rsid w:val="00032974"/>
    <w:rsid w:val="00057D17"/>
    <w:rsid w:val="00075208"/>
    <w:rsid w:val="00077957"/>
    <w:rsid w:val="00092C45"/>
    <w:rsid w:val="0009556F"/>
    <w:rsid w:val="000A1FC5"/>
    <w:rsid w:val="000C311C"/>
    <w:rsid w:val="000D3123"/>
    <w:rsid w:val="000E49DA"/>
    <w:rsid w:val="000F732B"/>
    <w:rsid w:val="00114100"/>
    <w:rsid w:val="00124938"/>
    <w:rsid w:val="00126C73"/>
    <w:rsid w:val="00133D23"/>
    <w:rsid w:val="001403E8"/>
    <w:rsid w:val="001478AF"/>
    <w:rsid w:val="00160878"/>
    <w:rsid w:val="00176FE3"/>
    <w:rsid w:val="001817BB"/>
    <w:rsid w:val="0018514A"/>
    <w:rsid w:val="00186633"/>
    <w:rsid w:val="00196C95"/>
    <w:rsid w:val="001A02B5"/>
    <w:rsid w:val="001A0881"/>
    <w:rsid w:val="001E2205"/>
    <w:rsid w:val="001F43E1"/>
    <w:rsid w:val="001F60BE"/>
    <w:rsid w:val="00220D36"/>
    <w:rsid w:val="0023192A"/>
    <w:rsid w:val="002320EA"/>
    <w:rsid w:val="0024652E"/>
    <w:rsid w:val="00251873"/>
    <w:rsid w:val="00257ED7"/>
    <w:rsid w:val="002632F5"/>
    <w:rsid w:val="00281BB4"/>
    <w:rsid w:val="00282098"/>
    <w:rsid w:val="00286BAA"/>
    <w:rsid w:val="00291C3F"/>
    <w:rsid w:val="002A220C"/>
    <w:rsid w:val="002A7D1F"/>
    <w:rsid w:val="002C5886"/>
    <w:rsid w:val="002E0DF3"/>
    <w:rsid w:val="002F2A89"/>
    <w:rsid w:val="002F7147"/>
    <w:rsid w:val="003124B6"/>
    <w:rsid w:val="0032463E"/>
    <w:rsid w:val="00324A98"/>
    <w:rsid w:val="00331323"/>
    <w:rsid w:val="00336247"/>
    <w:rsid w:val="0034303E"/>
    <w:rsid w:val="00343519"/>
    <w:rsid w:val="00357478"/>
    <w:rsid w:val="0037172E"/>
    <w:rsid w:val="00384C36"/>
    <w:rsid w:val="003A13FF"/>
    <w:rsid w:val="003A6372"/>
    <w:rsid w:val="003B457C"/>
    <w:rsid w:val="004071CC"/>
    <w:rsid w:val="00411999"/>
    <w:rsid w:val="00411D7E"/>
    <w:rsid w:val="00414EC3"/>
    <w:rsid w:val="004376BA"/>
    <w:rsid w:val="00443F71"/>
    <w:rsid w:val="00446B91"/>
    <w:rsid w:val="00450D1D"/>
    <w:rsid w:val="00451E52"/>
    <w:rsid w:val="004745A4"/>
    <w:rsid w:val="00490507"/>
    <w:rsid w:val="004B305C"/>
    <w:rsid w:val="004B46D2"/>
    <w:rsid w:val="004B6D30"/>
    <w:rsid w:val="004D08CC"/>
    <w:rsid w:val="004D37F3"/>
    <w:rsid w:val="004D46F2"/>
    <w:rsid w:val="004D7B20"/>
    <w:rsid w:val="004E3290"/>
    <w:rsid w:val="004E5236"/>
    <w:rsid w:val="004F0F0A"/>
    <w:rsid w:val="004F2EB0"/>
    <w:rsid w:val="00500578"/>
    <w:rsid w:val="0053043E"/>
    <w:rsid w:val="00552794"/>
    <w:rsid w:val="005616AB"/>
    <w:rsid w:val="00566394"/>
    <w:rsid w:val="0056690E"/>
    <w:rsid w:val="0058204E"/>
    <w:rsid w:val="005821BC"/>
    <w:rsid w:val="0058253B"/>
    <w:rsid w:val="005B0122"/>
    <w:rsid w:val="005B7353"/>
    <w:rsid w:val="005C12A0"/>
    <w:rsid w:val="005C54A3"/>
    <w:rsid w:val="005C57DB"/>
    <w:rsid w:val="005D30CD"/>
    <w:rsid w:val="005D66D2"/>
    <w:rsid w:val="005D67EB"/>
    <w:rsid w:val="005F4A30"/>
    <w:rsid w:val="00601309"/>
    <w:rsid w:val="00602B98"/>
    <w:rsid w:val="00620318"/>
    <w:rsid w:val="00631DB2"/>
    <w:rsid w:val="00637F7F"/>
    <w:rsid w:val="00643BDD"/>
    <w:rsid w:val="00660F54"/>
    <w:rsid w:val="00676D5F"/>
    <w:rsid w:val="0068611C"/>
    <w:rsid w:val="006A033F"/>
    <w:rsid w:val="006C7770"/>
    <w:rsid w:val="006C7A60"/>
    <w:rsid w:val="006D2714"/>
    <w:rsid w:val="006D44F3"/>
    <w:rsid w:val="006D7539"/>
    <w:rsid w:val="006D7CAC"/>
    <w:rsid w:val="006E1513"/>
    <w:rsid w:val="006F1457"/>
    <w:rsid w:val="006F6A91"/>
    <w:rsid w:val="0070233E"/>
    <w:rsid w:val="007277E8"/>
    <w:rsid w:val="0074367E"/>
    <w:rsid w:val="00751C74"/>
    <w:rsid w:val="00773482"/>
    <w:rsid w:val="00784D7A"/>
    <w:rsid w:val="007A1360"/>
    <w:rsid w:val="007D7E72"/>
    <w:rsid w:val="007E0520"/>
    <w:rsid w:val="007E1142"/>
    <w:rsid w:val="007F4509"/>
    <w:rsid w:val="008059E1"/>
    <w:rsid w:val="00812D41"/>
    <w:rsid w:val="00817384"/>
    <w:rsid w:val="00817806"/>
    <w:rsid w:val="008275E4"/>
    <w:rsid w:val="00827A53"/>
    <w:rsid w:val="00851094"/>
    <w:rsid w:val="00862AE4"/>
    <w:rsid w:val="008664BC"/>
    <w:rsid w:val="008B3E09"/>
    <w:rsid w:val="008B4499"/>
    <w:rsid w:val="008B6C71"/>
    <w:rsid w:val="008D227D"/>
    <w:rsid w:val="008E65AC"/>
    <w:rsid w:val="00913F93"/>
    <w:rsid w:val="00942A93"/>
    <w:rsid w:val="0094546F"/>
    <w:rsid w:val="00961440"/>
    <w:rsid w:val="00992EF7"/>
    <w:rsid w:val="009B2A7C"/>
    <w:rsid w:val="009D091A"/>
    <w:rsid w:val="009D17A1"/>
    <w:rsid w:val="009D41ED"/>
    <w:rsid w:val="009E6644"/>
    <w:rsid w:val="009F6686"/>
    <w:rsid w:val="00A25320"/>
    <w:rsid w:val="00A33A9C"/>
    <w:rsid w:val="00A5494A"/>
    <w:rsid w:val="00A54F38"/>
    <w:rsid w:val="00A65A35"/>
    <w:rsid w:val="00A801C0"/>
    <w:rsid w:val="00A97144"/>
    <w:rsid w:val="00AB5B62"/>
    <w:rsid w:val="00AC2110"/>
    <w:rsid w:val="00B53546"/>
    <w:rsid w:val="00B60182"/>
    <w:rsid w:val="00B8459B"/>
    <w:rsid w:val="00B96FF2"/>
    <w:rsid w:val="00BA6B4D"/>
    <w:rsid w:val="00BC20A6"/>
    <w:rsid w:val="00BD32F2"/>
    <w:rsid w:val="00BF3B05"/>
    <w:rsid w:val="00C22BBD"/>
    <w:rsid w:val="00C31E0C"/>
    <w:rsid w:val="00C37A6A"/>
    <w:rsid w:val="00C44EBF"/>
    <w:rsid w:val="00C531DF"/>
    <w:rsid w:val="00C70441"/>
    <w:rsid w:val="00C74C8C"/>
    <w:rsid w:val="00C75D76"/>
    <w:rsid w:val="00C75EB2"/>
    <w:rsid w:val="00C8015D"/>
    <w:rsid w:val="00CA5149"/>
    <w:rsid w:val="00CB7891"/>
    <w:rsid w:val="00CD1C6E"/>
    <w:rsid w:val="00CE1249"/>
    <w:rsid w:val="00D11C5A"/>
    <w:rsid w:val="00D16BD7"/>
    <w:rsid w:val="00D27A98"/>
    <w:rsid w:val="00D3316C"/>
    <w:rsid w:val="00D373A9"/>
    <w:rsid w:val="00D4219A"/>
    <w:rsid w:val="00D55BEB"/>
    <w:rsid w:val="00D57735"/>
    <w:rsid w:val="00D60A23"/>
    <w:rsid w:val="00D65093"/>
    <w:rsid w:val="00D7110D"/>
    <w:rsid w:val="00D71787"/>
    <w:rsid w:val="00D86849"/>
    <w:rsid w:val="00DA0263"/>
    <w:rsid w:val="00DD5AF0"/>
    <w:rsid w:val="00DF216C"/>
    <w:rsid w:val="00E11D6A"/>
    <w:rsid w:val="00E14D85"/>
    <w:rsid w:val="00E15DC7"/>
    <w:rsid w:val="00E25DFF"/>
    <w:rsid w:val="00E32382"/>
    <w:rsid w:val="00E57B8B"/>
    <w:rsid w:val="00E8028D"/>
    <w:rsid w:val="00E802C5"/>
    <w:rsid w:val="00E846AF"/>
    <w:rsid w:val="00E9610B"/>
    <w:rsid w:val="00EB793A"/>
    <w:rsid w:val="00EE352C"/>
    <w:rsid w:val="00EE7ACF"/>
    <w:rsid w:val="00EF6A40"/>
    <w:rsid w:val="00F11542"/>
    <w:rsid w:val="00F127DF"/>
    <w:rsid w:val="00F149F9"/>
    <w:rsid w:val="00F30BD2"/>
    <w:rsid w:val="00FB408C"/>
    <w:rsid w:val="00FC33A6"/>
    <w:rsid w:val="00FD30FA"/>
    <w:rsid w:val="00FD6593"/>
    <w:rsid w:val="00FF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7B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E25D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5DFF"/>
  </w:style>
  <w:style w:type="character" w:styleId="Refdenotaderodap">
    <w:name w:val="footnote reference"/>
    <w:basedOn w:val="Fontepargpadro"/>
    <w:rsid w:val="00E25DFF"/>
    <w:rPr>
      <w:vertAlign w:val="superscript"/>
    </w:rPr>
  </w:style>
  <w:style w:type="character" w:customStyle="1" w:styleId="spelle">
    <w:name w:val="spelle"/>
    <w:basedOn w:val="Fontepargpadro"/>
    <w:rsid w:val="00124938"/>
  </w:style>
  <w:style w:type="character" w:styleId="Nmerodelinha">
    <w:name w:val="line number"/>
    <w:basedOn w:val="Fontepargpadro"/>
    <w:rsid w:val="004D7B20"/>
  </w:style>
  <w:style w:type="paragraph" w:styleId="Cabealho">
    <w:name w:val="header"/>
    <w:basedOn w:val="Normal"/>
    <w:link w:val="CabealhoChar"/>
    <w:uiPriority w:val="99"/>
    <w:rsid w:val="004D7B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B20"/>
    <w:rPr>
      <w:sz w:val="24"/>
      <w:szCs w:val="24"/>
    </w:rPr>
  </w:style>
  <w:style w:type="paragraph" w:styleId="Rodap">
    <w:name w:val="footer"/>
    <w:basedOn w:val="Normal"/>
    <w:link w:val="RodapChar"/>
    <w:rsid w:val="004D7B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7B20"/>
    <w:rPr>
      <w:sz w:val="24"/>
      <w:szCs w:val="24"/>
    </w:rPr>
  </w:style>
  <w:style w:type="character" w:styleId="Refdecomentrio">
    <w:name w:val="annotation reference"/>
    <w:basedOn w:val="Fontepargpadro"/>
    <w:rsid w:val="00220D3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0D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0D36"/>
  </w:style>
  <w:style w:type="paragraph" w:styleId="Assuntodocomentrio">
    <w:name w:val="annotation subject"/>
    <w:basedOn w:val="Textodecomentrio"/>
    <w:next w:val="Textodecomentrio"/>
    <w:link w:val="AssuntodocomentrioChar"/>
    <w:rsid w:val="0022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20D36"/>
    <w:rPr>
      <w:b/>
      <w:bCs/>
    </w:rPr>
  </w:style>
  <w:style w:type="paragraph" w:styleId="Textodebalo">
    <w:name w:val="Balloon Text"/>
    <w:basedOn w:val="Normal"/>
    <w:link w:val="TextodebaloChar"/>
    <w:rsid w:val="00220D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20D36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773482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85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094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28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123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09B8-A4B6-4A24-B685-4C887FBF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9</Pages>
  <Words>3695</Words>
  <Characters>19955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Wittgenstein e os problemas éticos: o cinema como alternativa</vt:lpstr>
    </vt:vector>
  </TitlesOfParts>
  <Company>ACN</Company>
  <LinksUpToDate>false</LinksUpToDate>
  <CharactersWithSpaces>23603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Filicio</cp:lastModifiedBy>
  <cp:revision>94</cp:revision>
  <dcterms:created xsi:type="dcterms:W3CDTF">2010-07-05T20:54:00Z</dcterms:created>
  <dcterms:modified xsi:type="dcterms:W3CDTF">2010-08-16T03:12:00Z</dcterms:modified>
</cp:coreProperties>
</file>