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B5B53" w14:textId="77777777" w:rsidR="001E1F40" w:rsidRDefault="00247558" w:rsidP="00247558">
      <w:pPr>
        <w:pStyle w:val="Referncias"/>
        <w:spacing w:after="0" w:line="360" w:lineRule="auto"/>
        <w:jc w:val="center"/>
        <w:rPr>
          <w:b/>
          <w:sz w:val="28"/>
          <w:szCs w:val="24"/>
        </w:rPr>
      </w:pPr>
      <w:r w:rsidRPr="00247558">
        <w:rPr>
          <w:b/>
          <w:sz w:val="28"/>
          <w:szCs w:val="24"/>
        </w:rPr>
        <w:t xml:space="preserve">CRENÇAS DE AUTOEFICÁCIA NA EDUCAÇÃO: </w:t>
      </w:r>
    </w:p>
    <w:p w14:paraId="043A14E3" w14:textId="1498CADE" w:rsidR="00247558" w:rsidRPr="00247558" w:rsidRDefault="00247558" w:rsidP="00247558">
      <w:pPr>
        <w:pStyle w:val="Referncias"/>
        <w:spacing w:after="0" w:line="360" w:lineRule="auto"/>
        <w:jc w:val="center"/>
        <w:rPr>
          <w:b/>
          <w:sz w:val="28"/>
          <w:szCs w:val="24"/>
        </w:rPr>
      </w:pPr>
      <w:r w:rsidRPr="00247558">
        <w:rPr>
          <w:b/>
          <w:sz w:val="28"/>
          <w:szCs w:val="24"/>
        </w:rPr>
        <w:t>REVISÃO SISTEMÁTICA DO PERÍODO 2007-2017</w:t>
      </w:r>
    </w:p>
    <w:p w14:paraId="452B348A" w14:textId="3144559E" w:rsidR="001D5E7D" w:rsidRDefault="001D5E7D" w:rsidP="00247558">
      <w:pPr>
        <w:spacing w:after="0"/>
        <w:jc w:val="both"/>
      </w:pPr>
    </w:p>
    <w:p w14:paraId="61D91C5B" w14:textId="4AE78A48" w:rsidR="00247558" w:rsidRPr="00BB56E1" w:rsidRDefault="00247558" w:rsidP="00247558">
      <w:pPr>
        <w:pStyle w:val="Referncias"/>
        <w:spacing w:after="0" w:line="360" w:lineRule="auto"/>
        <w:jc w:val="right"/>
        <w:rPr>
          <w:b/>
        </w:rPr>
      </w:pPr>
      <w:r w:rsidRPr="00BB56E1">
        <w:rPr>
          <w:b/>
        </w:rPr>
        <w:t>COSTA</w:t>
      </w:r>
      <w:r>
        <w:rPr>
          <w:b/>
        </w:rPr>
        <w:t>,</w:t>
      </w:r>
      <w:r w:rsidRPr="00BB56E1">
        <w:rPr>
          <w:b/>
        </w:rPr>
        <w:t xml:space="preserve"> Elis Regina da</w:t>
      </w:r>
      <w:r>
        <w:rPr>
          <w:rStyle w:val="Refdenotaderodap"/>
          <w:b/>
        </w:rPr>
        <w:footnoteReference w:customMarkFollows="1" w:id="1"/>
        <w:t>*</w:t>
      </w:r>
    </w:p>
    <w:p w14:paraId="6121AA65" w14:textId="1205FD52" w:rsidR="00247558" w:rsidRPr="00BB56E1" w:rsidRDefault="00247558" w:rsidP="00247558">
      <w:pPr>
        <w:pStyle w:val="Referncias"/>
        <w:spacing w:after="0" w:line="360" w:lineRule="auto"/>
        <w:jc w:val="right"/>
        <w:rPr>
          <w:b/>
        </w:rPr>
      </w:pPr>
      <w:r w:rsidRPr="00BB56E1">
        <w:rPr>
          <w:b/>
        </w:rPr>
        <w:t>ASSIS</w:t>
      </w:r>
      <w:r>
        <w:rPr>
          <w:b/>
        </w:rPr>
        <w:t>,</w:t>
      </w:r>
      <w:r w:rsidRPr="00BB56E1">
        <w:rPr>
          <w:b/>
        </w:rPr>
        <w:t xml:space="preserve"> Maria Paulina de</w:t>
      </w:r>
      <w:r>
        <w:rPr>
          <w:rStyle w:val="Refdenotaderodap"/>
          <w:b/>
        </w:rPr>
        <w:footnoteReference w:customMarkFollows="1" w:id="2"/>
        <w:t>**</w:t>
      </w:r>
    </w:p>
    <w:p w14:paraId="25955B80" w14:textId="0070685D" w:rsidR="00247558" w:rsidRDefault="00247558" w:rsidP="00247558">
      <w:pPr>
        <w:spacing w:after="0"/>
        <w:jc w:val="both"/>
      </w:pPr>
    </w:p>
    <w:p w14:paraId="73607706" w14:textId="77777777" w:rsidR="002C12C0" w:rsidRPr="0031440D" w:rsidRDefault="002C12C0" w:rsidP="00247558">
      <w:pPr>
        <w:spacing w:after="0"/>
        <w:jc w:val="both"/>
      </w:pPr>
    </w:p>
    <w:p w14:paraId="70EADEED" w14:textId="58764D8E" w:rsidR="00F865F2" w:rsidRPr="00247558" w:rsidRDefault="000329A1" w:rsidP="00D92067">
      <w:pPr>
        <w:spacing w:after="0"/>
        <w:rPr>
          <w:b/>
          <w:color w:val="FF0000"/>
          <w:sz w:val="22"/>
          <w:szCs w:val="22"/>
        </w:rPr>
      </w:pPr>
      <w:r w:rsidRPr="00247558">
        <w:rPr>
          <w:b/>
          <w:sz w:val="22"/>
          <w:szCs w:val="22"/>
        </w:rPr>
        <w:t>RESUMO</w:t>
      </w:r>
      <w:r w:rsidR="001D5E7D" w:rsidRPr="00247558">
        <w:rPr>
          <w:b/>
          <w:sz w:val="22"/>
          <w:szCs w:val="22"/>
        </w:rPr>
        <w:t xml:space="preserve"> </w:t>
      </w:r>
    </w:p>
    <w:p w14:paraId="0F037A5D" w14:textId="6AAC91B5" w:rsidR="002C12C0" w:rsidRPr="002C12C0" w:rsidRDefault="002C12C0" w:rsidP="002C12C0">
      <w:pPr>
        <w:jc w:val="both"/>
        <w:rPr>
          <w:sz w:val="22"/>
          <w:szCs w:val="22"/>
        </w:rPr>
      </w:pPr>
      <w:r w:rsidRPr="002C12C0">
        <w:rPr>
          <w:sz w:val="22"/>
          <w:szCs w:val="22"/>
        </w:rPr>
        <w:t xml:space="preserve">Considerando a importância das crenças de autoeficácia no processo de ensino e </w:t>
      </w:r>
      <w:r w:rsidR="00E56E0B">
        <w:rPr>
          <w:sz w:val="22"/>
          <w:szCs w:val="22"/>
        </w:rPr>
        <w:t xml:space="preserve">de </w:t>
      </w:r>
      <w:r w:rsidRPr="002C12C0">
        <w:rPr>
          <w:sz w:val="22"/>
          <w:szCs w:val="22"/>
        </w:rPr>
        <w:t xml:space="preserve">aprendizagem, o presente artigo propõe uma revisão sistemática das publicações de teses e dissertações sobre crenças de autoeficácia e educação apresentadas para defesa no período de 2007-2017, catalogadas na base de dados da </w:t>
      </w:r>
      <w:r w:rsidRPr="002C12C0">
        <w:rPr>
          <w:rFonts w:eastAsia="Yu Gothic"/>
          <w:sz w:val="22"/>
          <w:szCs w:val="22"/>
          <w:shd w:val="clear" w:color="auto" w:fill="FFFFFF"/>
        </w:rPr>
        <w:t>Coordenação de Aperfeiçoamento de Pessoal de Nível Superior (CAPES)</w:t>
      </w:r>
      <w:r w:rsidRPr="002C12C0">
        <w:rPr>
          <w:rFonts w:eastAsia="Yu Gothic"/>
          <w:sz w:val="22"/>
          <w:szCs w:val="22"/>
        </w:rPr>
        <w:t>.</w:t>
      </w:r>
      <w:r w:rsidRPr="002C12C0">
        <w:rPr>
          <w:sz w:val="22"/>
          <w:szCs w:val="22"/>
        </w:rPr>
        <w:t xml:space="preserve"> Após análise a partir de critérios baseados na revisão sistemática</w:t>
      </w:r>
      <w:r w:rsidR="001E1F40">
        <w:rPr>
          <w:sz w:val="22"/>
          <w:szCs w:val="22"/>
        </w:rPr>
        <w:t>,</w:t>
      </w:r>
      <w:r w:rsidRPr="002C12C0">
        <w:rPr>
          <w:sz w:val="22"/>
          <w:szCs w:val="22"/>
        </w:rPr>
        <w:t xml:space="preserve"> foram selecionados 92 trabalhos, sendo 30 teses e 62 dissertações, apresentadas em bancas de defesa em 33 universidades brasileiras, sendo 22 públicas e 11 privadas. Destacam-se com o maior número de trabalhos as universidades públicas das regiões Sudeste e Sul, sendo a Universidade Estadual de Campinas (</w:t>
      </w:r>
      <w:r w:rsidR="00562678" w:rsidRPr="002C12C0">
        <w:rPr>
          <w:sz w:val="22"/>
          <w:szCs w:val="22"/>
        </w:rPr>
        <w:t>UNICAMP</w:t>
      </w:r>
      <w:r w:rsidRPr="002C12C0">
        <w:rPr>
          <w:sz w:val="22"/>
          <w:szCs w:val="22"/>
        </w:rPr>
        <w:t>) a com o maior número (26), seguida pela Universidade Federal do Rio Grande do Sul (UFRGS), com nove trabalhos. Assim, cerca de 40% das pesquisas efetuadas no período estudado foram realizadas nes</w:t>
      </w:r>
      <w:r w:rsidR="001E1F40">
        <w:rPr>
          <w:sz w:val="22"/>
          <w:szCs w:val="22"/>
        </w:rPr>
        <w:t>s</w:t>
      </w:r>
      <w:r w:rsidRPr="002C12C0">
        <w:rPr>
          <w:sz w:val="22"/>
          <w:szCs w:val="22"/>
        </w:rPr>
        <w:t xml:space="preserve">as duas universidades. A análise dos dados mostra um crescimento dos trabalhos a partir de 2014, sendo 2017 o ano com o maior número de defesas (22) no período considerado. Uma análise qualitativa preliminar destaca que a maioria dos trabalhos trata das crenças de autoeficácia docente, sendo as disciplinas Matemática, Física e Música </w:t>
      </w:r>
      <w:r w:rsidR="001E1F40">
        <w:rPr>
          <w:sz w:val="22"/>
          <w:szCs w:val="22"/>
        </w:rPr>
        <w:t xml:space="preserve">as que </w:t>
      </w:r>
      <w:r w:rsidRPr="002C12C0">
        <w:rPr>
          <w:sz w:val="22"/>
          <w:szCs w:val="22"/>
        </w:rPr>
        <w:t xml:space="preserve">aparecem como temas de pesquisa em vários trabalhos. Além disso, verificou-se a escassez de pesquisas sobre crenças de autoeficácia na educação familiar e de estudos de caráter quase experimental e experimental na construção de crenças de autoeficácia. Por fim, aponta-se a necessidade de intervenções e estudos desenvolvimentais </w:t>
      </w:r>
      <w:r w:rsidR="001E1F40">
        <w:rPr>
          <w:sz w:val="22"/>
          <w:szCs w:val="22"/>
        </w:rPr>
        <w:t xml:space="preserve">que </w:t>
      </w:r>
      <w:r w:rsidRPr="002C12C0">
        <w:rPr>
          <w:sz w:val="22"/>
          <w:szCs w:val="22"/>
        </w:rPr>
        <w:t>utiliz</w:t>
      </w:r>
      <w:r w:rsidR="001E1F40">
        <w:rPr>
          <w:sz w:val="22"/>
          <w:szCs w:val="22"/>
        </w:rPr>
        <w:t>em</w:t>
      </w:r>
      <w:r w:rsidRPr="002C12C0">
        <w:rPr>
          <w:sz w:val="22"/>
          <w:szCs w:val="22"/>
        </w:rPr>
        <w:t xml:space="preserve"> essa temática. Este trabalho mostra a importância da universidade pública no fomento à pesquisa sobre as crenças de autoeficácia na educação.</w:t>
      </w:r>
    </w:p>
    <w:p w14:paraId="608D330F" w14:textId="77777777" w:rsidR="002B36F5" w:rsidRPr="004513D6" w:rsidRDefault="002B36F5" w:rsidP="00B61DBD">
      <w:pPr>
        <w:spacing w:after="0"/>
        <w:jc w:val="both"/>
        <w:rPr>
          <w:sz w:val="22"/>
          <w:szCs w:val="22"/>
        </w:rPr>
      </w:pPr>
    </w:p>
    <w:p w14:paraId="3266B8F9" w14:textId="0FD89049" w:rsidR="002C12C0" w:rsidRPr="00E56E0B" w:rsidRDefault="002C12C0" w:rsidP="002C12C0">
      <w:pPr>
        <w:spacing w:after="0"/>
        <w:jc w:val="both"/>
        <w:rPr>
          <w:szCs w:val="24"/>
          <w:lang w:val="en-US"/>
        </w:rPr>
      </w:pPr>
      <w:r w:rsidRPr="004513D6">
        <w:rPr>
          <w:b/>
          <w:sz w:val="22"/>
          <w:szCs w:val="22"/>
        </w:rPr>
        <w:t>Palavras-</w:t>
      </w:r>
      <w:r>
        <w:rPr>
          <w:b/>
          <w:sz w:val="22"/>
          <w:szCs w:val="22"/>
        </w:rPr>
        <w:t>c</w:t>
      </w:r>
      <w:r w:rsidRPr="004513D6">
        <w:rPr>
          <w:b/>
          <w:sz w:val="22"/>
          <w:szCs w:val="22"/>
        </w:rPr>
        <w:t>have</w:t>
      </w:r>
      <w:r w:rsidR="002A28D2" w:rsidRPr="002C12C0">
        <w:rPr>
          <w:b/>
          <w:sz w:val="22"/>
          <w:szCs w:val="22"/>
        </w:rPr>
        <w:t>:</w:t>
      </w:r>
      <w:r w:rsidR="002A28D2" w:rsidRPr="002C12C0">
        <w:rPr>
          <w:sz w:val="22"/>
          <w:szCs w:val="22"/>
        </w:rPr>
        <w:t xml:space="preserve"> </w:t>
      </w:r>
      <w:r>
        <w:rPr>
          <w:sz w:val="22"/>
          <w:szCs w:val="22"/>
        </w:rPr>
        <w:t>C</w:t>
      </w:r>
      <w:r w:rsidRPr="002C12C0">
        <w:rPr>
          <w:sz w:val="22"/>
          <w:szCs w:val="22"/>
        </w:rPr>
        <w:t>renças de autoeficácia</w:t>
      </w:r>
      <w:r>
        <w:rPr>
          <w:sz w:val="22"/>
          <w:szCs w:val="22"/>
        </w:rPr>
        <w:t xml:space="preserve">. </w:t>
      </w:r>
      <w:r w:rsidRPr="00E56E0B">
        <w:rPr>
          <w:sz w:val="22"/>
          <w:szCs w:val="22"/>
          <w:lang w:val="en-US"/>
        </w:rPr>
        <w:t>Educação. Revisão sistemática.</w:t>
      </w:r>
    </w:p>
    <w:p w14:paraId="23ECB113" w14:textId="0A8F3165" w:rsidR="00B61DBD" w:rsidRPr="00E56E0B" w:rsidRDefault="00B61DBD" w:rsidP="00B61DBD">
      <w:pPr>
        <w:spacing w:after="0"/>
        <w:jc w:val="both"/>
        <w:rPr>
          <w:color w:val="FF0000"/>
          <w:sz w:val="22"/>
          <w:szCs w:val="22"/>
          <w:lang w:val="en-US"/>
        </w:rPr>
      </w:pPr>
    </w:p>
    <w:p w14:paraId="4A51EB96" w14:textId="77777777" w:rsidR="004F1E7E" w:rsidRPr="00E56E0B" w:rsidRDefault="004F1E7E" w:rsidP="00B61DBD">
      <w:pPr>
        <w:spacing w:after="0"/>
        <w:jc w:val="both"/>
        <w:rPr>
          <w:sz w:val="22"/>
          <w:szCs w:val="22"/>
          <w:lang w:val="en-US"/>
        </w:rPr>
      </w:pPr>
    </w:p>
    <w:p w14:paraId="6379FAE4" w14:textId="77777777" w:rsidR="002C12C0" w:rsidRPr="00E56E0B" w:rsidRDefault="002C12C0" w:rsidP="002C12C0">
      <w:pPr>
        <w:spacing w:after="0"/>
        <w:rPr>
          <w:i/>
          <w:sz w:val="24"/>
          <w:szCs w:val="24"/>
          <w:lang w:val="en-US"/>
        </w:rPr>
      </w:pPr>
    </w:p>
    <w:p w14:paraId="276EAA29" w14:textId="77777777" w:rsidR="002C12C0" w:rsidRPr="00E56E0B" w:rsidRDefault="002C12C0" w:rsidP="002C12C0">
      <w:pPr>
        <w:spacing w:after="0"/>
        <w:rPr>
          <w:i/>
          <w:sz w:val="24"/>
          <w:szCs w:val="24"/>
          <w:lang w:val="en-US"/>
        </w:rPr>
      </w:pPr>
    </w:p>
    <w:p w14:paraId="40992FF2" w14:textId="77777777" w:rsidR="002C12C0" w:rsidRPr="00E56E0B" w:rsidRDefault="002C12C0" w:rsidP="002C12C0">
      <w:pPr>
        <w:spacing w:after="0"/>
        <w:rPr>
          <w:i/>
          <w:sz w:val="24"/>
          <w:szCs w:val="24"/>
          <w:lang w:val="en-US"/>
        </w:rPr>
      </w:pPr>
    </w:p>
    <w:p w14:paraId="26D25317" w14:textId="77777777" w:rsidR="002C12C0" w:rsidRPr="00E56E0B" w:rsidRDefault="002C12C0" w:rsidP="002C12C0">
      <w:pPr>
        <w:spacing w:after="0"/>
        <w:rPr>
          <w:i/>
          <w:sz w:val="24"/>
          <w:szCs w:val="24"/>
          <w:lang w:val="en-US"/>
        </w:rPr>
      </w:pPr>
    </w:p>
    <w:p w14:paraId="07341F0F" w14:textId="77777777" w:rsidR="002C12C0" w:rsidRPr="00E56E0B" w:rsidRDefault="002C12C0" w:rsidP="002C12C0">
      <w:pPr>
        <w:spacing w:after="0"/>
        <w:rPr>
          <w:i/>
          <w:sz w:val="24"/>
          <w:szCs w:val="24"/>
          <w:lang w:val="en-US"/>
        </w:rPr>
      </w:pPr>
    </w:p>
    <w:p w14:paraId="6DA3FC62" w14:textId="77777777" w:rsidR="002C12C0" w:rsidRPr="00E56E0B" w:rsidRDefault="002C12C0" w:rsidP="002C12C0">
      <w:pPr>
        <w:spacing w:after="0"/>
        <w:rPr>
          <w:i/>
          <w:sz w:val="24"/>
          <w:szCs w:val="24"/>
          <w:lang w:val="en-US"/>
        </w:rPr>
      </w:pPr>
    </w:p>
    <w:p w14:paraId="3B741A69" w14:textId="77777777" w:rsidR="002C12C0" w:rsidRPr="00E56E0B" w:rsidRDefault="002C12C0" w:rsidP="002C12C0">
      <w:pPr>
        <w:spacing w:after="0"/>
        <w:rPr>
          <w:i/>
          <w:sz w:val="24"/>
          <w:szCs w:val="24"/>
          <w:lang w:val="en-US"/>
        </w:rPr>
      </w:pPr>
    </w:p>
    <w:p w14:paraId="6391CB59" w14:textId="77777777" w:rsidR="002C12C0" w:rsidRPr="00E56E0B" w:rsidRDefault="002C12C0" w:rsidP="00E56E0B">
      <w:pPr>
        <w:spacing w:after="0"/>
        <w:jc w:val="both"/>
        <w:rPr>
          <w:i/>
          <w:sz w:val="24"/>
          <w:szCs w:val="24"/>
          <w:lang w:val="en-US"/>
        </w:rPr>
      </w:pPr>
    </w:p>
    <w:p w14:paraId="0FF4FAD3" w14:textId="77777777" w:rsidR="00FE0C51" w:rsidRDefault="002C12C0" w:rsidP="002C12C0">
      <w:pPr>
        <w:spacing w:after="0"/>
        <w:rPr>
          <w:i/>
          <w:sz w:val="24"/>
          <w:szCs w:val="24"/>
          <w:lang w:val="en-GB"/>
        </w:rPr>
      </w:pPr>
      <w:r w:rsidRPr="002C12C0">
        <w:rPr>
          <w:i/>
          <w:sz w:val="24"/>
          <w:szCs w:val="24"/>
          <w:lang w:val="en-GB"/>
        </w:rPr>
        <w:t xml:space="preserve">BELIEFS OF SELF-EFFICACY IN EDUCATION: </w:t>
      </w:r>
    </w:p>
    <w:p w14:paraId="0B8CF8E8" w14:textId="7FB64EAB" w:rsidR="002C12C0" w:rsidRPr="002C12C0" w:rsidRDefault="002C12C0" w:rsidP="002C12C0">
      <w:pPr>
        <w:spacing w:after="0"/>
        <w:rPr>
          <w:i/>
          <w:sz w:val="24"/>
          <w:szCs w:val="24"/>
          <w:lang w:val="en-GB"/>
        </w:rPr>
      </w:pPr>
      <w:r w:rsidRPr="002C12C0">
        <w:rPr>
          <w:i/>
          <w:sz w:val="24"/>
          <w:szCs w:val="24"/>
          <w:lang w:val="en-GB"/>
        </w:rPr>
        <w:t>SYSTEMATIC REVIEW OF THE PERIOD 2007-2017</w:t>
      </w:r>
    </w:p>
    <w:p w14:paraId="1424D90A" w14:textId="77777777" w:rsidR="002C12C0" w:rsidRPr="00FE0C51" w:rsidRDefault="002C12C0" w:rsidP="002C12C0">
      <w:pPr>
        <w:pStyle w:val="Referncias"/>
        <w:spacing w:after="0" w:line="360" w:lineRule="auto"/>
        <w:jc w:val="right"/>
        <w:rPr>
          <w:b/>
          <w:lang w:val="en-US"/>
        </w:rPr>
      </w:pPr>
    </w:p>
    <w:p w14:paraId="282406DB" w14:textId="060E5979" w:rsidR="002C12C0" w:rsidRPr="002C12C0" w:rsidRDefault="002C12C0" w:rsidP="00FE0C51">
      <w:pPr>
        <w:pStyle w:val="Referncias"/>
        <w:spacing w:after="0" w:line="360" w:lineRule="auto"/>
        <w:jc w:val="right"/>
        <w:rPr>
          <w:bCs/>
          <w:i/>
          <w:iCs/>
        </w:rPr>
      </w:pPr>
      <w:r w:rsidRPr="002C12C0">
        <w:rPr>
          <w:bCs/>
          <w:i/>
          <w:iCs/>
        </w:rPr>
        <w:t>COSTA, Elis Regina da</w:t>
      </w:r>
      <w:r w:rsidRPr="002C12C0">
        <w:rPr>
          <w:rStyle w:val="Refdenotaderodap"/>
          <w:bCs/>
          <w:i/>
          <w:iCs/>
        </w:rPr>
        <w:footnoteReference w:customMarkFollows="1" w:id="3"/>
        <w:t>*</w:t>
      </w:r>
    </w:p>
    <w:p w14:paraId="0927D7FA" w14:textId="77777777" w:rsidR="002C12C0" w:rsidRPr="002C12C0" w:rsidRDefault="002C12C0" w:rsidP="002C12C0">
      <w:pPr>
        <w:pStyle w:val="Referncias"/>
        <w:spacing w:after="0" w:line="360" w:lineRule="auto"/>
        <w:jc w:val="right"/>
        <w:rPr>
          <w:bCs/>
          <w:i/>
          <w:iCs/>
        </w:rPr>
      </w:pPr>
      <w:r w:rsidRPr="002C12C0">
        <w:rPr>
          <w:bCs/>
          <w:i/>
          <w:iCs/>
        </w:rPr>
        <w:t>ASSIS, Maria Paulina de</w:t>
      </w:r>
      <w:r w:rsidRPr="002C12C0">
        <w:rPr>
          <w:rStyle w:val="Refdenotaderodap"/>
          <w:bCs/>
          <w:i/>
          <w:iCs/>
        </w:rPr>
        <w:footnoteReference w:customMarkFollows="1" w:id="4"/>
        <w:t>**</w:t>
      </w:r>
    </w:p>
    <w:p w14:paraId="13FD63C5" w14:textId="7E3B4183" w:rsidR="00661210" w:rsidRDefault="00661210" w:rsidP="000C6C6E">
      <w:pPr>
        <w:spacing w:after="0"/>
        <w:rPr>
          <w:i/>
          <w:sz w:val="24"/>
          <w:szCs w:val="24"/>
        </w:rPr>
      </w:pPr>
    </w:p>
    <w:p w14:paraId="424D3CD8" w14:textId="77777777" w:rsidR="002C12C0" w:rsidRPr="004513D6" w:rsidRDefault="002C12C0" w:rsidP="000C6C6E">
      <w:pPr>
        <w:spacing w:after="0"/>
        <w:rPr>
          <w:i/>
          <w:sz w:val="24"/>
          <w:szCs w:val="24"/>
        </w:rPr>
      </w:pPr>
    </w:p>
    <w:p w14:paraId="7AE93C8D" w14:textId="46D3BE98" w:rsidR="00E14479" w:rsidRPr="002C12C0" w:rsidRDefault="00980A3A" w:rsidP="001F5422">
      <w:pPr>
        <w:spacing w:after="0"/>
        <w:rPr>
          <w:bCs/>
          <w:i/>
          <w:color w:val="FF0000"/>
          <w:sz w:val="22"/>
          <w:szCs w:val="22"/>
          <w:lang w:val="en-US"/>
        </w:rPr>
      </w:pPr>
      <w:r w:rsidRPr="002C12C0">
        <w:rPr>
          <w:bCs/>
          <w:i/>
          <w:sz w:val="22"/>
          <w:szCs w:val="22"/>
          <w:lang w:val="en-US"/>
        </w:rPr>
        <w:t>ABSTRACT</w:t>
      </w:r>
      <w:r w:rsidR="00FA380C" w:rsidRPr="002C12C0">
        <w:rPr>
          <w:bCs/>
          <w:i/>
          <w:sz w:val="22"/>
          <w:szCs w:val="22"/>
          <w:lang w:val="en-US"/>
        </w:rPr>
        <w:t xml:space="preserve"> </w:t>
      </w:r>
    </w:p>
    <w:p w14:paraId="4A63BE6D" w14:textId="3B4F6898" w:rsidR="001969EC" w:rsidRPr="00FE0C51" w:rsidRDefault="00FE0C51" w:rsidP="00FE0C51">
      <w:pPr>
        <w:jc w:val="both"/>
        <w:rPr>
          <w:sz w:val="22"/>
          <w:szCs w:val="22"/>
          <w:lang w:val="en-US"/>
        </w:rPr>
      </w:pPr>
      <w:r w:rsidRPr="002C12C0">
        <w:rPr>
          <w:i/>
          <w:sz w:val="22"/>
          <w:szCs w:val="22"/>
          <w:lang w:val="en-GB"/>
        </w:rPr>
        <w:t xml:space="preserve">Considering the importance of the beliefs of self-efficacy in the teaching-learning process, this article presents a systematic review of the thesis </w:t>
      </w:r>
      <w:r w:rsidRPr="00FE0C51">
        <w:rPr>
          <w:i/>
          <w:sz w:val="22"/>
          <w:szCs w:val="22"/>
          <w:lang w:val="en-GB"/>
        </w:rPr>
        <w:t xml:space="preserve">and dissertations on self-efficacy and education beliefs presented for defense in the 2007-2017 period catalogued in the </w:t>
      </w:r>
      <w:bookmarkStart w:id="0" w:name="_Hlk12796320"/>
      <w:r w:rsidRPr="00FE0C51">
        <w:rPr>
          <w:i/>
          <w:sz w:val="22"/>
          <w:szCs w:val="22"/>
          <w:lang w:val="en-US"/>
        </w:rPr>
        <w:t>Coordination for the Improvement of Higher Education Personnel</w:t>
      </w:r>
      <w:bookmarkEnd w:id="0"/>
      <w:r w:rsidRPr="00FE0C51">
        <w:rPr>
          <w:i/>
          <w:sz w:val="22"/>
          <w:szCs w:val="22"/>
          <w:lang w:val="en-GB"/>
        </w:rPr>
        <w:t xml:space="preserve"> (CAPES) database.</w:t>
      </w:r>
      <w:r>
        <w:rPr>
          <w:sz w:val="22"/>
          <w:szCs w:val="22"/>
          <w:lang w:val="en-US"/>
        </w:rPr>
        <w:t xml:space="preserve"> </w:t>
      </w:r>
      <w:r w:rsidRPr="002C12C0">
        <w:rPr>
          <w:i/>
          <w:sz w:val="22"/>
          <w:szCs w:val="22"/>
          <w:lang w:val="en-GB"/>
        </w:rPr>
        <w:t>After analysing with criteria based on the methodology of the systematic review, 92 papers were selected</w:t>
      </w:r>
      <w:r w:rsidRPr="00FE0C51">
        <w:rPr>
          <w:i/>
          <w:sz w:val="22"/>
          <w:szCs w:val="22"/>
          <w:lang w:val="en-GB"/>
        </w:rPr>
        <w:t xml:space="preserve"> 30 theses and 62 dissertations </w:t>
      </w:r>
      <w:r w:rsidRPr="002C12C0">
        <w:rPr>
          <w:i/>
          <w:sz w:val="22"/>
          <w:szCs w:val="22"/>
          <w:lang w:val="en-GB"/>
        </w:rPr>
        <w:t>presented in university databases, in 33 Brazilian universities, of which 22 were public and 11</w:t>
      </w:r>
      <w:r>
        <w:rPr>
          <w:i/>
          <w:sz w:val="22"/>
          <w:szCs w:val="22"/>
          <w:lang w:val="en-GB"/>
        </w:rPr>
        <w:t xml:space="preserve"> were</w:t>
      </w:r>
      <w:r w:rsidRPr="002C12C0">
        <w:rPr>
          <w:i/>
          <w:sz w:val="22"/>
          <w:szCs w:val="22"/>
          <w:lang w:val="en-GB"/>
        </w:rPr>
        <w:t xml:space="preserve"> private. The highest number of papers are from public universities in the Southeast and South regions, being </w:t>
      </w:r>
      <w:r>
        <w:rPr>
          <w:i/>
          <w:sz w:val="22"/>
          <w:szCs w:val="22"/>
          <w:lang w:val="en-GB"/>
        </w:rPr>
        <w:t xml:space="preserve">the </w:t>
      </w:r>
      <w:r w:rsidRPr="00FE0C51">
        <w:rPr>
          <w:i/>
          <w:sz w:val="22"/>
          <w:szCs w:val="22"/>
          <w:lang w:val="en-GB"/>
        </w:rPr>
        <w:t>Campinas State University</w:t>
      </w:r>
      <w:r>
        <w:rPr>
          <w:i/>
          <w:sz w:val="22"/>
          <w:szCs w:val="22"/>
          <w:lang w:val="en-GB"/>
        </w:rPr>
        <w:t xml:space="preserve"> (</w:t>
      </w:r>
      <w:r w:rsidRPr="002C12C0">
        <w:rPr>
          <w:i/>
          <w:sz w:val="22"/>
          <w:szCs w:val="22"/>
          <w:lang w:val="en-GB"/>
        </w:rPr>
        <w:t>UNICAMP</w:t>
      </w:r>
      <w:r>
        <w:rPr>
          <w:i/>
          <w:sz w:val="22"/>
          <w:szCs w:val="22"/>
          <w:lang w:val="en-GB"/>
        </w:rPr>
        <w:t>)</w:t>
      </w:r>
      <w:r w:rsidRPr="002C12C0">
        <w:rPr>
          <w:i/>
          <w:sz w:val="22"/>
          <w:szCs w:val="22"/>
          <w:lang w:val="en-GB"/>
        </w:rPr>
        <w:t xml:space="preserve"> the </w:t>
      </w:r>
      <w:r>
        <w:rPr>
          <w:i/>
          <w:sz w:val="22"/>
          <w:szCs w:val="22"/>
          <w:lang w:val="en-GB"/>
        </w:rPr>
        <w:t>one</w:t>
      </w:r>
      <w:r w:rsidRPr="002C12C0">
        <w:rPr>
          <w:i/>
          <w:sz w:val="22"/>
          <w:szCs w:val="22"/>
          <w:lang w:val="en-GB"/>
        </w:rPr>
        <w:t xml:space="preserve"> with the highest number of papers (26), followed by </w:t>
      </w:r>
      <w:r>
        <w:rPr>
          <w:i/>
          <w:sz w:val="22"/>
          <w:szCs w:val="22"/>
          <w:lang w:val="en-GB"/>
        </w:rPr>
        <w:t>Federal University of</w:t>
      </w:r>
      <w:r w:rsidRPr="00FE0C51">
        <w:rPr>
          <w:sz w:val="22"/>
          <w:szCs w:val="22"/>
          <w:lang w:val="en-US"/>
        </w:rPr>
        <w:t xml:space="preserve"> </w:t>
      </w:r>
      <w:r w:rsidRPr="00FE0C51">
        <w:rPr>
          <w:i/>
          <w:iCs/>
          <w:sz w:val="22"/>
          <w:szCs w:val="22"/>
          <w:lang w:val="en-US"/>
        </w:rPr>
        <w:t>Rio Grande do Sul</w:t>
      </w:r>
      <w:r>
        <w:rPr>
          <w:i/>
          <w:sz w:val="22"/>
          <w:szCs w:val="22"/>
          <w:lang w:val="en-GB"/>
        </w:rPr>
        <w:t xml:space="preserve"> (</w:t>
      </w:r>
      <w:r w:rsidRPr="002C12C0">
        <w:rPr>
          <w:i/>
          <w:sz w:val="22"/>
          <w:szCs w:val="22"/>
          <w:lang w:val="en-GB"/>
        </w:rPr>
        <w:t>UFRGS</w:t>
      </w:r>
      <w:r>
        <w:rPr>
          <w:i/>
          <w:sz w:val="22"/>
          <w:szCs w:val="22"/>
          <w:lang w:val="en-GB"/>
        </w:rPr>
        <w:t>)</w:t>
      </w:r>
      <w:r w:rsidRPr="002C12C0">
        <w:rPr>
          <w:i/>
          <w:sz w:val="22"/>
          <w:szCs w:val="22"/>
          <w:lang w:val="en-GB"/>
        </w:rPr>
        <w:t xml:space="preserve"> with 9 papers.</w:t>
      </w:r>
      <w:r>
        <w:rPr>
          <w:i/>
          <w:sz w:val="22"/>
          <w:szCs w:val="22"/>
          <w:lang w:val="en-GB"/>
        </w:rPr>
        <w:t xml:space="preserve"> </w:t>
      </w:r>
      <w:r w:rsidRPr="002C12C0">
        <w:rPr>
          <w:i/>
          <w:sz w:val="22"/>
          <w:szCs w:val="22"/>
          <w:lang w:val="en-GB"/>
        </w:rPr>
        <w:t xml:space="preserve">Thus, about 40% of the </w:t>
      </w:r>
      <w:r>
        <w:rPr>
          <w:i/>
          <w:sz w:val="22"/>
          <w:szCs w:val="22"/>
          <w:lang w:val="en-GB"/>
        </w:rPr>
        <w:t>research</w:t>
      </w:r>
      <w:r w:rsidRPr="002C12C0">
        <w:rPr>
          <w:i/>
          <w:sz w:val="22"/>
          <w:szCs w:val="22"/>
          <w:lang w:val="en-GB"/>
        </w:rPr>
        <w:t xml:space="preserve"> in the period </w:t>
      </w:r>
      <w:r>
        <w:rPr>
          <w:i/>
          <w:sz w:val="22"/>
          <w:szCs w:val="22"/>
          <w:lang w:val="en-GB"/>
        </w:rPr>
        <w:t>investigated</w:t>
      </w:r>
      <w:r w:rsidRPr="002C12C0">
        <w:rPr>
          <w:i/>
          <w:sz w:val="22"/>
          <w:szCs w:val="22"/>
          <w:lang w:val="en-GB"/>
        </w:rPr>
        <w:t xml:space="preserve"> were carried out in these two universities. The analysis of the data shows a growth of the papers from 2014 on, being 2017 the year with the largest number of defenses (22) in the period studied. A preliminary qualitative analysis emphasises that most of the works deal with the beliefs of teacher self-efficacy, </w:t>
      </w:r>
      <w:r>
        <w:rPr>
          <w:i/>
          <w:sz w:val="22"/>
          <w:szCs w:val="22"/>
          <w:lang w:val="en-GB"/>
        </w:rPr>
        <w:t xml:space="preserve">and </w:t>
      </w:r>
      <w:r w:rsidRPr="00FE0C51">
        <w:rPr>
          <w:i/>
          <w:sz w:val="22"/>
          <w:szCs w:val="22"/>
          <w:lang w:val="en-GB"/>
        </w:rPr>
        <w:t xml:space="preserve">Mathematics, Physics and Music are those that appear as research </w:t>
      </w:r>
      <w:r w:rsidRPr="002C12C0">
        <w:rPr>
          <w:i/>
          <w:sz w:val="22"/>
          <w:szCs w:val="22"/>
          <w:lang w:val="en-GB"/>
        </w:rPr>
        <w:t>themes in several works.</w:t>
      </w:r>
      <w:r>
        <w:rPr>
          <w:sz w:val="22"/>
          <w:szCs w:val="22"/>
          <w:lang w:val="en-US"/>
        </w:rPr>
        <w:t xml:space="preserve"> </w:t>
      </w:r>
      <w:r w:rsidR="002C12C0" w:rsidRPr="002C12C0">
        <w:rPr>
          <w:i/>
          <w:sz w:val="22"/>
          <w:szCs w:val="22"/>
          <w:lang w:val="en-GB"/>
        </w:rPr>
        <w:t>It was also observed there was a shortage of research on beliefs about self-efficacy in family education, and almost experimental and experimental studies in the construction of self-efficacy beliefs. Finally, it is pointed out the necessity of interventions and developmental studies using this theme. This article shows the importance of the public university in fostering research on the beliefs of self-efficacy in education.</w:t>
      </w:r>
    </w:p>
    <w:p w14:paraId="1A7836A2" w14:textId="77777777" w:rsidR="001969EC" w:rsidRPr="00247558" w:rsidRDefault="001969EC" w:rsidP="00E14479">
      <w:pPr>
        <w:spacing w:after="0"/>
        <w:jc w:val="both"/>
        <w:rPr>
          <w:i/>
          <w:sz w:val="22"/>
          <w:szCs w:val="22"/>
          <w:lang w:val="en-US"/>
        </w:rPr>
      </w:pPr>
    </w:p>
    <w:p w14:paraId="606DF76F" w14:textId="33A8ED2D" w:rsidR="002C12C0" w:rsidRPr="00E56E0B" w:rsidRDefault="002C12C0" w:rsidP="002C12C0">
      <w:pPr>
        <w:spacing w:after="0"/>
        <w:jc w:val="both"/>
        <w:rPr>
          <w:i/>
          <w:sz w:val="22"/>
          <w:szCs w:val="22"/>
          <w:lang w:val="es-AR"/>
        </w:rPr>
      </w:pPr>
      <w:r w:rsidRPr="002C12C0">
        <w:rPr>
          <w:bCs/>
          <w:i/>
          <w:sz w:val="22"/>
          <w:szCs w:val="22"/>
          <w:lang w:val="en-US"/>
        </w:rPr>
        <w:t>Keywords</w:t>
      </w:r>
      <w:r w:rsidR="008F0837" w:rsidRPr="002C12C0">
        <w:rPr>
          <w:b/>
          <w:i/>
          <w:sz w:val="22"/>
          <w:szCs w:val="22"/>
          <w:lang w:val="en-US"/>
        </w:rPr>
        <w:t xml:space="preserve">: </w:t>
      </w:r>
      <w:r>
        <w:rPr>
          <w:i/>
          <w:sz w:val="22"/>
          <w:szCs w:val="22"/>
          <w:lang w:val="en-GB"/>
        </w:rPr>
        <w:t>S</w:t>
      </w:r>
      <w:r w:rsidRPr="002C12C0">
        <w:rPr>
          <w:i/>
          <w:sz w:val="22"/>
          <w:szCs w:val="22"/>
          <w:lang w:val="en-GB"/>
        </w:rPr>
        <w:t>elf-efficacy beliefs</w:t>
      </w:r>
      <w:r>
        <w:rPr>
          <w:i/>
          <w:sz w:val="22"/>
          <w:szCs w:val="22"/>
          <w:lang w:val="en-GB"/>
        </w:rPr>
        <w:t>. E</w:t>
      </w:r>
      <w:r w:rsidRPr="002C12C0">
        <w:rPr>
          <w:i/>
          <w:sz w:val="22"/>
          <w:szCs w:val="22"/>
          <w:lang w:val="en-GB"/>
        </w:rPr>
        <w:t>ducation</w:t>
      </w:r>
      <w:r>
        <w:rPr>
          <w:i/>
          <w:sz w:val="22"/>
          <w:szCs w:val="22"/>
          <w:lang w:val="en-GB"/>
        </w:rPr>
        <w:t xml:space="preserve">. </w:t>
      </w:r>
      <w:r w:rsidRPr="00E56E0B">
        <w:rPr>
          <w:i/>
          <w:sz w:val="22"/>
          <w:szCs w:val="22"/>
          <w:lang w:val="es-AR"/>
        </w:rPr>
        <w:t>Systematic review.</w:t>
      </w:r>
    </w:p>
    <w:p w14:paraId="411D4B02" w14:textId="1BD36977" w:rsidR="002C12C0" w:rsidRPr="00E56E0B" w:rsidRDefault="002C12C0" w:rsidP="002C12C0">
      <w:pPr>
        <w:spacing w:after="0"/>
        <w:jc w:val="both"/>
        <w:rPr>
          <w:i/>
          <w:sz w:val="22"/>
          <w:szCs w:val="22"/>
          <w:lang w:val="es-AR"/>
        </w:rPr>
      </w:pPr>
    </w:p>
    <w:p w14:paraId="1881B6A0" w14:textId="4347DB09" w:rsidR="002C12C0" w:rsidRPr="00E56E0B" w:rsidRDefault="002C12C0" w:rsidP="002C12C0">
      <w:pPr>
        <w:spacing w:after="0"/>
        <w:jc w:val="both"/>
        <w:rPr>
          <w:i/>
          <w:sz w:val="22"/>
          <w:szCs w:val="22"/>
          <w:lang w:val="es-AR"/>
        </w:rPr>
      </w:pPr>
    </w:p>
    <w:p w14:paraId="36AAC9FA" w14:textId="51135044" w:rsidR="002C12C0" w:rsidRPr="00E56E0B" w:rsidRDefault="002C12C0" w:rsidP="002C12C0">
      <w:pPr>
        <w:spacing w:after="0"/>
        <w:jc w:val="both"/>
        <w:rPr>
          <w:i/>
          <w:sz w:val="22"/>
          <w:szCs w:val="22"/>
          <w:lang w:val="es-AR"/>
        </w:rPr>
      </w:pPr>
    </w:p>
    <w:p w14:paraId="6CFB0F60" w14:textId="7689CB6F" w:rsidR="002C12C0" w:rsidRPr="00E56E0B" w:rsidRDefault="002C12C0" w:rsidP="002C12C0">
      <w:pPr>
        <w:spacing w:after="0"/>
        <w:jc w:val="both"/>
        <w:rPr>
          <w:i/>
          <w:sz w:val="22"/>
          <w:szCs w:val="22"/>
          <w:lang w:val="es-AR"/>
        </w:rPr>
      </w:pPr>
    </w:p>
    <w:p w14:paraId="1F4E6161" w14:textId="1CFA8A0D" w:rsidR="002C12C0" w:rsidRPr="00E56E0B" w:rsidRDefault="002C12C0" w:rsidP="002C12C0">
      <w:pPr>
        <w:spacing w:after="0"/>
        <w:jc w:val="both"/>
        <w:rPr>
          <w:i/>
          <w:sz w:val="22"/>
          <w:szCs w:val="22"/>
          <w:lang w:val="es-AR"/>
        </w:rPr>
      </w:pPr>
    </w:p>
    <w:p w14:paraId="528ED6F5" w14:textId="4CD964B9" w:rsidR="002C12C0" w:rsidRPr="00E56E0B" w:rsidRDefault="002C12C0" w:rsidP="002C12C0">
      <w:pPr>
        <w:spacing w:after="0"/>
        <w:jc w:val="both"/>
        <w:rPr>
          <w:i/>
          <w:sz w:val="22"/>
          <w:szCs w:val="22"/>
          <w:lang w:val="es-AR"/>
        </w:rPr>
      </w:pPr>
    </w:p>
    <w:p w14:paraId="4AF9E061" w14:textId="6F21B48A" w:rsidR="002C12C0" w:rsidRPr="00E56E0B" w:rsidRDefault="002C12C0" w:rsidP="002C12C0">
      <w:pPr>
        <w:spacing w:after="0"/>
        <w:jc w:val="both"/>
        <w:rPr>
          <w:i/>
          <w:sz w:val="22"/>
          <w:szCs w:val="22"/>
          <w:lang w:val="es-AR"/>
        </w:rPr>
      </w:pPr>
    </w:p>
    <w:p w14:paraId="7B180106" w14:textId="62EC3CC9" w:rsidR="002C12C0" w:rsidRPr="00E56E0B" w:rsidRDefault="002C12C0" w:rsidP="002C12C0">
      <w:pPr>
        <w:spacing w:after="0"/>
        <w:jc w:val="both"/>
        <w:rPr>
          <w:i/>
          <w:sz w:val="22"/>
          <w:szCs w:val="22"/>
          <w:lang w:val="es-AR"/>
        </w:rPr>
      </w:pPr>
    </w:p>
    <w:p w14:paraId="1BE4E3BB" w14:textId="37014850" w:rsidR="002C12C0" w:rsidRPr="00E56E0B" w:rsidRDefault="002C12C0" w:rsidP="002C12C0">
      <w:pPr>
        <w:spacing w:after="0"/>
        <w:jc w:val="both"/>
        <w:rPr>
          <w:i/>
          <w:sz w:val="22"/>
          <w:szCs w:val="22"/>
          <w:lang w:val="es-AR"/>
        </w:rPr>
      </w:pPr>
    </w:p>
    <w:p w14:paraId="473FF490" w14:textId="7B96076F" w:rsidR="002C12C0" w:rsidRPr="00E56E0B" w:rsidRDefault="002C12C0" w:rsidP="002C12C0">
      <w:pPr>
        <w:spacing w:after="0"/>
        <w:jc w:val="both"/>
        <w:rPr>
          <w:i/>
          <w:sz w:val="22"/>
          <w:szCs w:val="22"/>
          <w:lang w:val="es-AR"/>
        </w:rPr>
      </w:pPr>
    </w:p>
    <w:p w14:paraId="45A82655" w14:textId="5ED37234" w:rsidR="002C12C0" w:rsidRPr="00E56E0B" w:rsidRDefault="002C12C0" w:rsidP="002C12C0">
      <w:pPr>
        <w:spacing w:after="0"/>
        <w:jc w:val="both"/>
        <w:rPr>
          <w:i/>
          <w:sz w:val="22"/>
          <w:szCs w:val="22"/>
          <w:lang w:val="es-AR"/>
        </w:rPr>
      </w:pPr>
    </w:p>
    <w:p w14:paraId="70D1213C" w14:textId="21F4EDAA" w:rsidR="002C12C0" w:rsidRPr="00E56E0B" w:rsidRDefault="002C12C0" w:rsidP="002C12C0">
      <w:pPr>
        <w:spacing w:after="0"/>
        <w:jc w:val="both"/>
        <w:rPr>
          <w:i/>
          <w:sz w:val="22"/>
          <w:szCs w:val="22"/>
          <w:lang w:val="es-AR"/>
        </w:rPr>
      </w:pPr>
    </w:p>
    <w:p w14:paraId="4C4E57C4" w14:textId="77777777" w:rsidR="002C12C0" w:rsidRPr="00E56E0B" w:rsidRDefault="002C12C0" w:rsidP="002C12C0">
      <w:pPr>
        <w:spacing w:after="0"/>
        <w:jc w:val="both"/>
        <w:rPr>
          <w:i/>
          <w:sz w:val="22"/>
          <w:szCs w:val="22"/>
          <w:lang w:val="es-AR"/>
        </w:rPr>
      </w:pPr>
    </w:p>
    <w:p w14:paraId="170178C5" w14:textId="77144A29" w:rsidR="00661210" w:rsidRPr="00E56E0B" w:rsidRDefault="00661210" w:rsidP="002C12C0">
      <w:pPr>
        <w:spacing w:after="0"/>
        <w:jc w:val="both"/>
        <w:rPr>
          <w:i/>
          <w:sz w:val="22"/>
          <w:szCs w:val="22"/>
          <w:lang w:val="es-AR"/>
        </w:rPr>
      </w:pPr>
    </w:p>
    <w:p w14:paraId="726EBAD7" w14:textId="77777777" w:rsidR="002C12C0" w:rsidRPr="002C12C0" w:rsidRDefault="002C12C0" w:rsidP="002C12C0">
      <w:pPr>
        <w:spacing w:after="0"/>
        <w:rPr>
          <w:i/>
          <w:sz w:val="24"/>
          <w:szCs w:val="24"/>
          <w:lang w:val="es-AR"/>
        </w:rPr>
      </w:pPr>
      <w:r w:rsidRPr="002C12C0">
        <w:rPr>
          <w:i/>
          <w:sz w:val="24"/>
          <w:szCs w:val="24"/>
          <w:lang w:val="es-AR"/>
        </w:rPr>
        <w:t>CREENCIAS DE AUTOEFICACIA EN LA EDUCACIÓN: REVISIÓN SISTEMÁTICA DEL PERÍODO 2007-2017</w:t>
      </w:r>
    </w:p>
    <w:p w14:paraId="585D474D" w14:textId="77777777" w:rsidR="002C12C0" w:rsidRDefault="002C12C0" w:rsidP="001F5422">
      <w:pPr>
        <w:spacing w:after="0"/>
        <w:rPr>
          <w:i/>
          <w:sz w:val="24"/>
          <w:szCs w:val="24"/>
          <w:lang w:val="es-AR"/>
        </w:rPr>
      </w:pPr>
    </w:p>
    <w:p w14:paraId="6468F744" w14:textId="77777777" w:rsidR="002C12C0" w:rsidRPr="002C12C0" w:rsidRDefault="002C12C0" w:rsidP="002C12C0">
      <w:pPr>
        <w:pStyle w:val="Referncias"/>
        <w:spacing w:after="0" w:line="360" w:lineRule="auto"/>
        <w:jc w:val="right"/>
        <w:rPr>
          <w:bCs/>
          <w:i/>
          <w:iCs/>
        </w:rPr>
      </w:pPr>
      <w:r w:rsidRPr="002C12C0">
        <w:rPr>
          <w:bCs/>
          <w:i/>
          <w:iCs/>
        </w:rPr>
        <w:t>COSTA, Elis Regina da</w:t>
      </w:r>
      <w:r w:rsidRPr="002C12C0">
        <w:rPr>
          <w:rStyle w:val="Refdenotaderodap"/>
          <w:bCs/>
          <w:i/>
          <w:iCs/>
        </w:rPr>
        <w:footnoteReference w:customMarkFollows="1" w:id="5"/>
        <w:t>*</w:t>
      </w:r>
    </w:p>
    <w:p w14:paraId="29E2C6D1" w14:textId="77777777" w:rsidR="002C12C0" w:rsidRPr="002C12C0" w:rsidRDefault="002C12C0" w:rsidP="002C12C0">
      <w:pPr>
        <w:pStyle w:val="Referncias"/>
        <w:spacing w:after="0" w:line="360" w:lineRule="auto"/>
        <w:jc w:val="right"/>
        <w:rPr>
          <w:bCs/>
          <w:i/>
          <w:iCs/>
        </w:rPr>
      </w:pPr>
      <w:r w:rsidRPr="002C12C0">
        <w:rPr>
          <w:bCs/>
          <w:i/>
          <w:iCs/>
        </w:rPr>
        <w:t>ASSIS, Maria Paulina de</w:t>
      </w:r>
      <w:r w:rsidRPr="002C12C0">
        <w:rPr>
          <w:rStyle w:val="Refdenotaderodap"/>
          <w:bCs/>
          <w:i/>
          <w:iCs/>
        </w:rPr>
        <w:footnoteReference w:customMarkFollows="1" w:id="6"/>
        <w:t>**</w:t>
      </w:r>
    </w:p>
    <w:p w14:paraId="49AC6FDF" w14:textId="77777777" w:rsidR="002C12C0" w:rsidRPr="002C12C0" w:rsidRDefault="002C12C0" w:rsidP="001F5422">
      <w:pPr>
        <w:spacing w:after="0"/>
        <w:rPr>
          <w:i/>
          <w:sz w:val="24"/>
          <w:szCs w:val="24"/>
        </w:rPr>
      </w:pPr>
    </w:p>
    <w:p w14:paraId="2D49460B" w14:textId="5189CAEF" w:rsidR="00E14479" w:rsidRPr="00E56E0B" w:rsidRDefault="00B61DBD" w:rsidP="001F5422">
      <w:pPr>
        <w:spacing w:after="0"/>
        <w:rPr>
          <w:b/>
          <w:i/>
          <w:color w:val="FF0000"/>
          <w:sz w:val="22"/>
          <w:szCs w:val="22"/>
          <w:lang w:val="es-AR"/>
        </w:rPr>
      </w:pPr>
      <w:r w:rsidRPr="00E56E0B">
        <w:rPr>
          <w:bCs/>
          <w:i/>
          <w:sz w:val="22"/>
          <w:szCs w:val="22"/>
          <w:lang w:val="es-AR"/>
        </w:rPr>
        <w:t>RESUMEN</w:t>
      </w:r>
      <w:r w:rsidRPr="00E56E0B">
        <w:rPr>
          <w:b/>
          <w:i/>
          <w:sz w:val="22"/>
          <w:szCs w:val="22"/>
          <w:lang w:val="es-AR"/>
        </w:rPr>
        <w:t xml:space="preserve"> </w:t>
      </w:r>
    </w:p>
    <w:p w14:paraId="7F868F30" w14:textId="4251A28D" w:rsidR="002C12C0" w:rsidRPr="002C12C0" w:rsidRDefault="002C12C0" w:rsidP="002C12C0">
      <w:pPr>
        <w:spacing w:after="0"/>
        <w:jc w:val="both"/>
        <w:rPr>
          <w:i/>
          <w:sz w:val="22"/>
          <w:szCs w:val="22"/>
          <w:lang w:val="es-AR"/>
        </w:rPr>
      </w:pPr>
      <w:r w:rsidRPr="002C12C0">
        <w:rPr>
          <w:i/>
          <w:sz w:val="22"/>
          <w:szCs w:val="22"/>
          <w:lang w:val="es-AR"/>
        </w:rPr>
        <w:t xml:space="preserve">Teniendo en cuenta la importancia de las creencias de autoeficacia en el proceso de enseñanza-aprendizaje, este artículo presenta una revisión sistemática de las tesis y disertaciones sobre la autoeficacia y las creencias educativas presentadas para defensa en el período 2007-2017 catalogados en la base de datos de </w:t>
      </w:r>
      <w:r w:rsidR="00E56E0B">
        <w:rPr>
          <w:i/>
          <w:sz w:val="22"/>
          <w:szCs w:val="22"/>
          <w:lang w:val="es-AR"/>
        </w:rPr>
        <w:t xml:space="preserve">la </w:t>
      </w:r>
      <w:r w:rsidR="00E56E0B" w:rsidRPr="00E56E0B">
        <w:rPr>
          <w:rStyle w:val="nfase"/>
          <w:sz w:val="22"/>
          <w:szCs w:val="22"/>
          <w:shd w:val="clear" w:color="auto" w:fill="FFFFFF"/>
          <w:lang w:val="es-AR"/>
        </w:rPr>
        <w:t>Coordinación</w:t>
      </w:r>
      <w:r w:rsidR="00E56E0B" w:rsidRPr="00E56E0B">
        <w:rPr>
          <w:sz w:val="22"/>
          <w:szCs w:val="22"/>
          <w:shd w:val="clear" w:color="auto" w:fill="FFFFFF"/>
          <w:lang w:val="es-AR"/>
        </w:rPr>
        <w:t> de </w:t>
      </w:r>
      <w:r w:rsidR="00E56E0B" w:rsidRPr="00E56E0B">
        <w:rPr>
          <w:rStyle w:val="nfase"/>
          <w:sz w:val="22"/>
          <w:szCs w:val="22"/>
          <w:shd w:val="clear" w:color="auto" w:fill="FFFFFF"/>
          <w:lang w:val="es-AR"/>
        </w:rPr>
        <w:t>Educación Superior</w:t>
      </w:r>
      <w:r w:rsidR="00E56E0B" w:rsidRPr="00E56E0B">
        <w:rPr>
          <w:sz w:val="22"/>
          <w:szCs w:val="22"/>
          <w:shd w:val="clear" w:color="auto" w:fill="FFFFFF"/>
          <w:lang w:val="es-AR"/>
        </w:rPr>
        <w:t> de </w:t>
      </w:r>
      <w:r w:rsidR="00E56E0B" w:rsidRPr="00E56E0B">
        <w:rPr>
          <w:rStyle w:val="nfase"/>
          <w:sz w:val="22"/>
          <w:szCs w:val="22"/>
          <w:shd w:val="clear" w:color="auto" w:fill="FFFFFF"/>
          <w:lang w:val="es-AR"/>
        </w:rPr>
        <w:t>Personal</w:t>
      </w:r>
      <w:r w:rsidR="00E56E0B" w:rsidRPr="00E56E0B">
        <w:rPr>
          <w:sz w:val="22"/>
          <w:szCs w:val="22"/>
          <w:shd w:val="clear" w:color="auto" w:fill="FFFFFF"/>
          <w:lang w:val="es-AR"/>
        </w:rPr>
        <w:t> de </w:t>
      </w:r>
      <w:r w:rsidR="00E56E0B" w:rsidRPr="00E56E0B">
        <w:rPr>
          <w:rStyle w:val="nfase"/>
          <w:sz w:val="22"/>
          <w:szCs w:val="22"/>
          <w:shd w:val="clear" w:color="auto" w:fill="FFFFFF"/>
          <w:lang w:val="es-AR"/>
        </w:rPr>
        <w:t>Mejora</w:t>
      </w:r>
      <w:r w:rsidR="00E56E0B" w:rsidRPr="00E56E0B">
        <w:rPr>
          <w:i/>
          <w:sz w:val="24"/>
          <w:szCs w:val="24"/>
          <w:lang w:val="es-AR"/>
        </w:rPr>
        <w:t xml:space="preserve"> </w:t>
      </w:r>
      <w:r w:rsidR="00E56E0B">
        <w:rPr>
          <w:i/>
          <w:sz w:val="22"/>
          <w:szCs w:val="22"/>
          <w:lang w:val="es-AR"/>
        </w:rPr>
        <w:t>(</w:t>
      </w:r>
      <w:r w:rsidRPr="002C12C0">
        <w:rPr>
          <w:i/>
          <w:sz w:val="22"/>
          <w:szCs w:val="22"/>
          <w:lang w:val="es-AR"/>
        </w:rPr>
        <w:t>Capes</w:t>
      </w:r>
      <w:r w:rsidR="00E56E0B">
        <w:rPr>
          <w:i/>
          <w:sz w:val="22"/>
          <w:szCs w:val="22"/>
          <w:lang w:val="es-AR"/>
        </w:rPr>
        <w:t>)</w:t>
      </w:r>
      <w:r w:rsidRPr="002C12C0">
        <w:rPr>
          <w:i/>
          <w:sz w:val="22"/>
          <w:szCs w:val="22"/>
          <w:lang w:val="es-AR"/>
        </w:rPr>
        <w:t>. Luego de analizar con criterios basados ​​en la metodología de la revisión sistemática, se seleccionaron 92 trabajos, presentadas en 33 universidades brasileñas (22 públicas y 11 privadas). El mayor número de artículos proviene de universidades públicas en las regiones Sureste y Sur (</w:t>
      </w:r>
      <w:r w:rsidR="00562678" w:rsidRPr="002C12C0">
        <w:rPr>
          <w:i/>
          <w:sz w:val="22"/>
          <w:szCs w:val="22"/>
          <w:lang w:val="es-AR"/>
        </w:rPr>
        <w:t>UNICAMP</w:t>
      </w:r>
      <w:r w:rsidRPr="002C12C0">
        <w:rPr>
          <w:i/>
          <w:sz w:val="22"/>
          <w:szCs w:val="22"/>
          <w:lang w:val="es-AR"/>
        </w:rPr>
        <w:t xml:space="preserve"> con 26 e UFRGS con 9 trabajos). Así, alrededor del 40% de los estudios en el período se llevaron a cabo en estas dos universidades. El análisis de los datos muestra un crecimiento de los estudios a partir de 2014, siendo 2017 el año con el mayor número de defensas (22) en el período estudiado. Un análisis cualitativo preliminar enfatiza que la mayoría de los trabajos tratan con las creencias de la autoeficacia de los maestros, y las disciplinas de Matemáticas, Física y Música aparecen como temas de investigación en varios trabajos. Además, hubo una escasez de investigaciones sobre las creencias sobre la autoeficacia en la educación familiar, y estudios casi experimentales y experimentales en la construcción de las creencias de autoeficacia. Finalmente, se señala la necesidad de intervenciones y estudios de desarrollo que utilicen este tema. Este artículo muestra la importancia de la universidad pública para fomentar la investigación sobre las creencias de la autoeficacia en la educación.</w:t>
      </w:r>
    </w:p>
    <w:p w14:paraId="76AC45FB" w14:textId="77777777" w:rsidR="008D22BD" w:rsidRPr="00247558" w:rsidRDefault="008D22BD" w:rsidP="001F5422">
      <w:pPr>
        <w:spacing w:after="0"/>
        <w:jc w:val="both"/>
        <w:rPr>
          <w:i/>
          <w:sz w:val="22"/>
          <w:szCs w:val="22"/>
          <w:lang w:val="es-AR"/>
        </w:rPr>
      </w:pPr>
    </w:p>
    <w:p w14:paraId="4A05ABFD" w14:textId="40AA13DA" w:rsidR="00B61DBD" w:rsidRPr="00E56E0B" w:rsidRDefault="002C12C0" w:rsidP="00E14479">
      <w:pPr>
        <w:spacing w:after="0"/>
        <w:jc w:val="both"/>
        <w:rPr>
          <w:i/>
          <w:color w:val="FF0000"/>
          <w:sz w:val="22"/>
          <w:szCs w:val="22"/>
        </w:rPr>
      </w:pPr>
      <w:r w:rsidRPr="002C12C0">
        <w:rPr>
          <w:b/>
          <w:i/>
          <w:sz w:val="22"/>
          <w:szCs w:val="22"/>
          <w:lang w:val="es-AR"/>
        </w:rPr>
        <w:t xml:space="preserve">Palavras </w:t>
      </w:r>
      <w:r>
        <w:rPr>
          <w:b/>
          <w:i/>
          <w:sz w:val="22"/>
          <w:szCs w:val="22"/>
          <w:lang w:val="es-AR"/>
        </w:rPr>
        <w:t>c</w:t>
      </w:r>
      <w:r w:rsidRPr="002C12C0">
        <w:rPr>
          <w:b/>
          <w:i/>
          <w:sz w:val="22"/>
          <w:szCs w:val="22"/>
          <w:lang w:val="es-AR"/>
        </w:rPr>
        <w:t>lave</w:t>
      </w:r>
      <w:r w:rsidR="00B61DBD" w:rsidRPr="002C12C0">
        <w:rPr>
          <w:i/>
          <w:sz w:val="22"/>
          <w:szCs w:val="22"/>
          <w:lang w:val="es-AR"/>
        </w:rPr>
        <w:t xml:space="preserve">: </w:t>
      </w:r>
      <w:r>
        <w:rPr>
          <w:i/>
          <w:sz w:val="22"/>
          <w:szCs w:val="22"/>
          <w:lang w:val="es-AR"/>
        </w:rPr>
        <w:t>C</w:t>
      </w:r>
      <w:r w:rsidRPr="002C12C0">
        <w:rPr>
          <w:i/>
          <w:sz w:val="22"/>
          <w:szCs w:val="22"/>
          <w:lang w:val="es-AR"/>
        </w:rPr>
        <w:t>reencias de autoeficacia</w:t>
      </w:r>
      <w:r>
        <w:rPr>
          <w:i/>
          <w:sz w:val="22"/>
          <w:szCs w:val="22"/>
          <w:lang w:val="es-AR"/>
        </w:rPr>
        <w:t>. E</w:t>
      </w:r>
      <w:r w:rsidRPr="002C12C0">
        <w:rPr>
          <w:i/>
          <w:sz w:val="22"/>
          <w:szCs w:val="22"/>
          <w:lang w:val="es-AR"/>
        </w:rPr>
        <w:t>ducación</w:t>
      </w:r>
      <w:r>
        <w:rPr>
          <w:i/>
          <w:sz w:val="22"/>
          <w:szCs w:val="22"/>
          <w:lang w:val="es-AR"/>
        </w:rPr>
        <w:t xml:space="preserve">. </w:t>
      </w:r>
      <w:r w:rsidRPr="00E56E0B">
        <w:rPr>
          <w:i/>
          <w:sz w:val="22"/>
          <w:szCs w:val="22"/>
        </w:rPr>
        <w:t>Revisión sistemática</w:t>
      </w:r>
      <w:r w:rsidR="00B61DBD" w:rsidRPr="00E56E0B">
        <w:rPr>
          <w:i/>
          <w:sz w:val="22"/>
          <w:szCs w:val="22"/>
        </w:rPr>
        <w:t xml:space="preserve">. </w:t>
      </w:r>
    </w:p>
    <w:p w14:paraId="56A3E1D9" w14:textId="108D9D25" w:rsidR="00E14479" w:rsidRPr="00E56E0B" w:rsidRDefault="00E14479" w:rsidP="00E14479">
      <w:pPr>
        <w:spacing w:after="0"/>
        <w:jc w:val="both"/>
        <w:rPr>
          <w:color w:val="FF0000"/>
          <w:sz w:val="22"/>
          <w:szCs w:val="22"/>
        </w:rPr>
      </w:pPr>
    </w:p>
    <w:p w14:paraId="128C2111" w14:textId="77777777" w:rsidR="00CE7515" w:rsidRPr="00E56E0B" w:rsidRDefault="00CE7515">
      <w:pPr>
        <w:spacing w:after="0"/>
        <w:rPr>
          <w:rFonts w:eastAsia="Times New Roman"/>
          <w:b/>
          <w:sz w:val="24"/>
          <w:szCs w:val="24"/>
        </w:rPr>
      </w:pPr>
      <w:r w:rsidRPr="00E56E0B">
        <w:rPr>
          <w:b/>
        </w:rPr>
        <w:br w:type="page"/>
      </w:r>
    </w:p>
    <w:p w14:paraId="681C32F9" w14:textId="78F0B56C" w:rsidR="00940050" w:rsidRPr="004F3B22" w:rsidRDefault="00940050" w:rsidP="0031440D">
      <w:pPr>
        <w:pStyle w:val="Corpodetexto"/>
        <w:tabs>
          <w:tab w:val="left" w:pos="709"/>
        </w:tabs>
        <w:spacing w:line="360" w:lineRule="auto"/>
        <w:jc w:val="both"/>
        <w:rPr>
          <w:b/>
          <w:color w:val="FF0000"/>
          <w:lang w:val="pt-BR"/>
        </w:rPr>
      </w:pPr>
      <w:r w:rsidRPr="004F3B22">
        <w:rPr>
          <w:b/>
          <w:lang w:val="pt-BR"/>
        </w:rPr>
        <w:lastRenderedPageBreak/>
        <w:t xml:space="preserve">1 </w:t>
      </w:r>
      <w:r w:rsidR="002C12C0" w:rsidRPr="00E56E0B">
        <w:rPr>
          <w:b/>
          <w:lang w:val="pt-BR"/>
        </w:rPr>
        <w:t>INTRODUÇÃO</w:t>
      </w:r>
      <w:r w:rsidR="007D4A2D" w:rsidRPr="004F3B22">
        <w:rPr>
          <w:b/>
          <w:lang w:val="pt-BR"/>
        </w:rPr>
        <w:t xml:space="preserve"> </w:t>
      </w:r>
    </w:p>
    <w:p w14:paraId="4B975834" w14:textId="7D54A67C" w:rsidR="002C12C0" w:rsidRDefault="002C12C0" w:rsidP="002C12C0">
      <w:pPr>
        <w:spacing w:after="0" w:line="360" w:lineRule="auto"/>
        <w:ind w:firstLine="709"/>
        <w:jc w:val="both"/>
        <w:rPr>
          <w:sz w:val="24"/>
          <w:szCs w:val="24"/>
        </w:rPr>
      </w:pPr>
      <w:r>
        <w:rPr>
          <w:sz w:val="24"/>
          <w:szCs w:val="24"/>
        </w:rPr>
        <w:t>O ofício de ensinar Psicologia da Educação em cursos de licenciatura nas ciências humanas, biológicas e exatas vem acompanhado de inúmeros desafios; dentre estes, um dos mais proeminentes é motivar os alunos a compreenderem a importância e as contribuições potenciais das teorias psicológicas para o futuro docente. De fato, a formação de professores e sua prática pressupõem uma reflexão a respeito das crenças relacionadas à docência nos seus diversos aspectos. Um dos temas estudados na disciplina Psicologia da Educação nos cursos de formação de professores são as crenças de autoeficácia, suas fontes e sua relação com a motivação. O conhecimento a respeito de</w:t>
      </w:r>
      <w:r w:rsidR="00DD3F13">
        <w:rPr>
          <w:sz w:val="24"/>
          <w:szCs w:val="24"/>
        </w:rPr>
        <w:t>ss</w:t>
      </w:r>
      <w:r>
        <w:rPr>
          <w:sz w:val="24"/>
          <w:szCs w:val="24"/>
        </w:rPr>
        <w:t xml:space="preserve">e assunto faz com que haja uma reflexão por parte dos alunos quanto às suas próprias crenças de autoeficácia e a influência desta em sua motivação e desempenho nas tarefas acadêmicas. </w:t>
      </w:r>
    </w:p>
    <w:p w14:paraId="081F91CB" w14:textId="3E11751F" w:rsidR="002C12C0" w:rsidRDefault="002C12C0" w:rsidP="002C12C0">
      <w:pPr>
        <w:spacing w:after="0" w:line="360" w:lineRule="auto"/>
        <w:ind w:firstLine="709"/>
        <w:jc w:val="both"/>
      </w:pPr>
      <w:r>
        <w:rPr>
          <w:sz w:val="24"/>
          <w:szCs w:val="24"/>
        </w:rPr>
        <w:t xml:space="preserve">O presente trabalho partiu, então, de uma inquietação que vem da sala de aula e de uma curiosidade epistemológica sobre o que a pesquisa científica nacional aponta como contribuições e lacunas a respeito das crenças de autoeficácia e suas relações com as questões da docência. Considerando a importância das crenças de autoeficácia no processo de ensino e </w:t>
      </w:r>
      <w:r w:rsidR="00633B11">
        <w:rPr>
          <w:sz w:val="24"/>
          <w:szCs w:val="24"/>
        </w:rPr>
        <w:t xml:space="preserve">de </w:t>
      </w:r>
      <w:r>
        <w:rPr>
          <w:sz w:val="24"/>
          <w:szCs w:val="24"/>
        </w:rPr>
        <w:t xml:space="preserve">aprendizagem, o presente artigo possui como propósito apresentar uma revisão sistemática das </w:t>
      </w:r>
      <w:r w:rsidRPr="00633B11">
        <w:rPr>
          <w:sz w:val="24"/>
          <w:szCs w:val="24"/>
        </w:rPr>
        <w:t xml:space="preserve">publicações de teses e dissertações sobre crenças de autoeficácia e educação apresentadas para defesa no período 2007-2017 e catalogadas na base de dados da </w:t>
      </w:r>
      <w:r w:rsidR="00DD3F13" w:rsidRPr="00633B11">
        <w:rPr>
          <w:rFonts w:eastAsia="Yu Gothic"/>
          <w:sz w:val="24"/>
          <w:szCs w:val="24"/>
          <w:shd w:val="clear" w:color="auto" w:fill="FFFFFF"/>
        </w:rPr>
        <w:t>Coordenação de Aperfeiçoamento de Pessoal de Nível Superior (</w:t>
      </w:r>
      <w:r w:rsidRPr="00633B11">
        <w:rPr>
          <w:sz w:val="24"/>
          <w:szCs w:val="24"/>
        </w:rPr>
        <w:t>Capes</w:t>
      </w:r>
      <w:r w:rsidR="00DD3F13" w:rsidRPr="00633B11">
        <w:rPr>
          <w:sz w:val="24"/>
          <w:szCs w:val="24"/>
        </w:rPr>
        <w:t>)</w:t>
      </w:r>
      <w:r w:rsidRPr="00633B11">
        <w:rPr>
          <w:sz w:val="24"/>
          <w:szCs w:val="24"/>
        </w:rPr>
        <w:t>. Além disso, ser</w:t>
      </w:r>
      <w:r w:rsidR="00DD3F13" w:rsidRPr="00633B11">
        <w:rPr>
          <w:sz w:val="24"/>
          <w:szCs w:val="24"/>
        </w:rPr>
        <w:t>ão</w:t>
      </w:r>
      <w:r w:rsidRPr="00633B11">
        <w:rPr>
          <w:sz w:val="24"/>
          <w:szCs w:val="24"/>
        </w:rPr>
        <w:t xml:space="preserve"> apresentada</w:t>
      </w:r>
      <w:r w:rsidR="00DD3F13" w:rsidRPr="00633B11">
        <w:rPr>
          <w:sz w:val="24"/>
          <w:szCs w:val="24"/>
        </w:rPr>
        <w:t>s</w:t>
      </w:r>
      <w:r w:rsidRPr="00633B11">
        <w:rPr>
          <w:sz w:val="24"/>
          <w:szCs w:val="24"/>
        </w:rPr>
        <w:t xml:space="preserve"> a análise e a síntese qualitativas preliminares sobre os</w:t>
      </w:r>
      <w:r>
        <w:rPr>
          <w:sz w:val="24"/>
          <w:szCs w:val="24"/>
        </w:rPr>
        <w:t xml:space="preserve"> resultados dos estudos nacionais a respeito das crenças de autoeficácia em docentes que atuam na </w:t>
      </w:r>
      <w:r w:rsidR="00DD3F13">
        <w:rPr>
          <w:sz w:val="24"/>
          <w:szCs w:val="24"/>
        </w:rPr>
        <w:t>Educação Infantil</w:t>
      </w:r>
      <w:r>
        <w:rPr>
          <w:sz w:val="24"/>
          <w:szCs w:val="24"/>
        </w:rPr>
        <w:t xml:space="preserve">, no </w:t>
      </w:r>
      <w:r w:rsidR="00DD3F13">
        <w:rPr>
          <w:sz w:val="24"/>
          <w:szCs w:val="24"/>
        </w:rPr>
        <w:t xml:space="preserve">Ensino Fundamental </w:t>
      </w:r>
      <w:r>
        <w:rPr>
          <w:sz w:val="24"/>
          <w:szCs w:val="24"/>
        </w:rPr>
        <w:t xml:space="preserve">e </w:t>
      </w:r>
      <w:r w:rsidR="00DD3F13">
        <w:rPr>
          <w:sz w:val="24"/>
          <w:szCs w:val="24"/>
        </w:rPr>
        <w:t xml:space="preserve">no Ensino </w:t>
      </w:r>
      <w:r>
        <w:rPr>
          <w:sz w:val="24"/>
          <w:szCs w:val="24"/>
        </w:rPr>
        <w:t xml:space="preserve">médio, na </w:t>
      </w:r>
      <w:r w:rsidR="00DD3F13">
        <w:rPr>
          <w:sz w:val="24"/>
          <w:szCs w:val="24"/>
        </w:rPr>
        <w:t xml:space="preserve">Educação de Jovens e Adultos </w:t>
      </w:r>
      <w:r>
        <w:rPr>
          <w:sz w:val="24"/>
          <w:szCs w:val="24"/>
        </w:rPr>
        <w:t xml:space="preserve">(EJA), no </w:t>
      </w:r>
      <w:r w:rsidR="00DD3F13">
        <w:rPr>
          <w:sz w:val="24"/>
          <w:szCs w:val="24"/>
        </w:rPr>
        <w:t xml:space="preserve">Ensino Superior </w:t>
      </w:r>
      <w:r>
        <w:rPr>
          <w:sz w:val="24"/>
          <w:szCs w:val="24"/>
        </w:rPr>
        <w:t>(</w:t>
      </w:r>
      <w:r w:rsidR="00017F6A">
        <w:rPr>
          <w:sz w:val="24"/>
          <w:szCs w:val="24"/>
        </w:rPr>
        <w:t>G</w:t>
      </w:r>
      <w:r>
        <w:rPr>
          <w:sz w:val="24"/>
          <w:szCs w:val="24"/>
        </w:rPr>
        <w:t xml:space="preserve">raduação e </w:t>
      </w:r>
      <w:r w:rsidR="00017F6A">
        <w:rPr>
          <w:sz w:val="24"/>
          <w:szCs w:val="24"/>
        </w:rPr>
        <w:t>Pós-Graduaç</w:t>
      </w:r>
      <w:r>
        <w:rPr>
          <w:sz w:val="24"/>
          <w:szCs w:val="24"/>
        </w:rPr>
        <w:t xml:space="preserve">ão), na educação familiar, especial e na área organizacional. Pretende-se indicar contribuições, tendências e lacunas acerca de investigações sobre crenças de autoeficácia no Brasil na área da educação e da docência. </w:t>
      </w:r>
      <w:r>
        <w:rPr>
          <w:sz w:val="24"/>
          <w:szCs w:val="24"/>
          <w:highlight w:val="yellow"/>
        </w:rPr>
        <w:t xml:space="preserve"> </w:t>
      </w:r>
    </w:p>
    <w:p w14:paraId="3E28D67D" w14:textId="21EFAEC3" w:rsidR="002C12C0" w:rsidRDefault="002C12C0" w:rsidP="002C12C0">
      <w:pPr>
        <w:spacing w:after="0" w:line="360" w:lineRule="auto"/>
        <w:ind w:firstLine="709"/>
        <w:jc w:val="both"/>
        <w:rPr>
          <w:sz w:val="24"/>
          <w:szCs w:val="24"/>
        </w:rPr>
      </w:pPr>
      <w:r>
        <w:rPr>
          <w:sz w:val="24"/>
          <w:szCs w:val="24"/>
        </w:rPr>
        <w:t>O artigo inicia</w:t>
      </w:r>
      <w:r w:rsidR="00DD3F13">
        <w:rPr>
          <w:sz w:val="24"/>
          <w:szCs w:val="24"/>
        </w:rPr>
        <w:t>-se</w:t>
      </w:r>
      <w:r>
        <w:rPr>
          <w:sz w:val="24"/>
          <w:szCs w:val="24"/>
        </w:rPr>
        <w:t xml:space="preserve"> com algumas considerações teóricas sobre as crenças de autoeficácia e docência no Brasil, passando à explicação sobre a metodologia da revisão sistemática, seguindo para os resultados quanti e qualitativos</w:t>
      </w:r>
      <w:r w:rsidR="00DD3F13">
        <w:rPr>
          <w:sz w:val="24"/>
          <w:szCs w:val="24"/>
        </w:rPr>
        <w:t>.</w:t>
      </w:r>
      <w:r>
        <w:rPr>
          <w:sz w:val="24"/>
          <w:szCs w:val="24"/>
        </w:rPr>
        <w:t xml:space="preserve"> </w:t>
      </w:r>
      <w:r w:rsidR="00DD3F13">
        <w:rPr>
          <w:sz w:val="24"/>
          <w:szCs w:val="24"/>
        </w:rPr>
        <w:t>F</w:t>
      </w:r>
      <w:r>
        <w:rPr>
          <w:sz w:val="24"/>
          <w:szCs w:val="24"/>
        </w:rPr>
        <w:t>inaliza</w:t>
      </w:r>
      <w:r w:rsidR="00DD3F13">
        <w:rPr>
          <w:sz w:val="24"/>
          <w:szCs w:val="24"/>
        </w:rPr>
        <w:t>-se</w:t>
      </w:r>
      <w:r>
        <w:rPr>
          <w:sz w:val="24"/>
          <w:szCs w:val="24"/>
        </w:rPr>
        <w:t xml:space="preserve"> com as considerações acerca das contribuições e das lacunas nessa área de pesquisa.</w:t>
      </w:r>
    </w:p>
    <w:p w14:paraId="03103E31" w14:textId="212E9EFE" w:rsidR="00DD3F13" w:rsidRDefault="00DD3F13" w:rsidP="002C12C0">
      <w:pPr>
        <w:spacing w:after="0" w:line="360" w:lineRule="auto"/>
        <w:ind w:firstLine="709"/>
        <w:jc w:val="both"/>
        <w:rPr>
          <w:sz w:val="24"/>
          <w:szCs w:val="24"/>
        </w:rPr>
      </w:pPr>
    </w:p>
    <w:p w14:paraId="14962ACE" w14:textId="77777777" w:rsidR="00DD3F13" w:rsidRDefault="00DD3F13" w:rsidP="002C12C0">
      <w:pPr>
        <w:spacing w:after="0" w:line="360" w:lineRule="auto"/>
        <w:ind w:firstLine="709"/>
        <w:jc w:val="both"/>
        <w:rPr>
          <w:sz w:val="24"/>
          <w:szCs w:val="24"/>
        </w:rPr>
      </w:pPr>
    </w:p>
    <w:p w14:paraId="3FB946A9" w14:textId="77777777" w:rsidR="002C12C0" w:rsidRDefault="002C12C0" w:rsidP="002C12C0">
      <w:pPr>
        <w:spacing w:after="0" w:line="360" w:lineRule="auto"/>
        <w:jc w:val="both"/>
        <w:rPr>
          <w:b/>
          <w:sz w:val="24"/>
          <w:szCs w:val="24"/>
          <w:lang w:eastAsia="pt-BR"/>
        </w:rPr>
      </w:pPr>
    </w:p>
    <w:p w14:paraId="2F57AC7E" w14:textId="6EEDDA6F" w:rsidR="002C12C0" w:rsidRPr="00DD3F13" w:rsidRDefault="002C12C0" w:rsidP="00DD3F13">
      <w:pPr>
        <w:pStyle w:val="PargrafodaLista"/>
        <w:numPr>
          <w:ilvl w:val="0"/>
          <w:numId w:val="24"/>
        </w:numPr>
        <w:tabs>
          <w:tab w:val="left" w:pos="284"/>
        </w:tabs>
        <w:spacing w:after="0" w:line="360" w:lineRule="auto"/>
        <w:ind w:left="0" w:firstLine="0"/>
        <w:jc w:val="both"/>
        <w:rPr>
          <w:rFonts w:ascii="Times New Roman" w:hAnsi="Times New Roman" w:cs="Times New Roman"/>
          <w:b/>
          <w:sz w:val="24"/>
          <w:szCs w:val="24"/>
          <w:lang w:eastAsia="pt-BR"/>
        </w:rPr>
      </w:pPr>
      <w:r>
        <w:rPr>
          <w:rFonts w:ascii="Times New Roman" w:hAnsi="Times New Roman" w:cs="Times New Roman"/>
          <w:b/>
          <w:sz w:val="24"/>
          <w:szCs w:val="24"/>
          <w:lang w:eastAsia="pt-BR"/>
        </w:rPr>
        <w:lastRenderedPageBreak/>
        <w:t xml:space="preserve">CRENÇAS DE AUTOEFICÁCIA E DOCÊNCIA NO BRASIL </w:t>
      </w:r>
    </w:p>
    <w:p w14:paraId="6592AFF4" w14:textId="67BCECE7" w:rsidR="002C12C0" w:rsidRDefault="002C12C0" w:rsidP="00633B11">
      <w:pPr>
        <w:spacing w:after="0" w:line="360" w:lineRule="auto"/>
        <w:ind w:firstLine="709"/>
        <w:jc w:val="both"/>
        <w:rPr>
          <w:sz w:val="24"/>
          <w:szCs w:val="24"/>
        </w:rPr>
      </w:pPr>
      <w:r>
        <w:rPr>
          <w:sz w:val="24"/>
          <w:szCs w:val="24"/>
        </w:rPr>
        <w:t xml:space="preserve">A Psicologia da Educação é uma das áreas que se dedica ao estudo científico dos saberes produzidos a respeito do fenômeno psicológico presente no processo de ensino e </w:t>
      </w:r>
      <w:r w:rsidR="00633B11">
        <w:rPr>
          <w:sz w:val="24"/>
          <w:szCs w:val="24"/>
        </w:rPr>
        <w:t xml:space="preserve">de </w:t>
      </w:r>
      <w:r>
        <w:rPr>
          <w:sz w:val="24"/>
          <w:szCs w:val="24"/>
        </w:rPr>
        <w:t>aprendizagem e que incrementam a formação e a atuação dos educadores (ANTUNES, 2008). Dentre as teorias psicológicas que trazem contribuições à Educação, o presente estudo investigou, na realidade brasileira, um dos constructos presentes na Teoria Social Cognitiva, as crenças de autoeficácia. A Teoria Social Cognitiva (TSC) constitui-se como uma abordagem psicológica, desenvolvida na década de 1970 por Albert Bandura, que busca explicar o “desenvolvimento e as ações humanas” (AZZI, 2014, p. 28). De acordo com sua perspectiva, o indivíduo constitui</w:t>
      </w:r>
      <w:r w:rsidR="00D35F22">
        <w:rPr>
          <w:sz w:val="24"/>
          <w:szCs w:val="24"/>
        </w:rPr>
        <w:t>-se</w:t>
      </w:r>
      <w:r>
        <w:rPr>
          <w:sz w:val="24"/>
          <w:szCs w:val="24"/>
        </w:rPr>
        <w:t xml:space="preserve"> pela interação com o meio. Nes</w:t>
      </w:r>
      <w:r w:rsidR="00D35F22">
        <w:rPr>
          <w:sz w:val="24"/>
          <w:szCs w:val="24"/>
        </w:rPr>
        <w:t>s</w:t>
      </w:r>
      <w:r>
        <w:rPr>
          <w:sz w:val="24"/>
          <w:szCs w:val="24"/>
        </w:rPr>
        <w:t xml:space="preserve">e sentido, ele é produto e produtor de seu próprio ambiente e sistema social (AZZI, 2014). </w:t>
      </w:r>
      <w:bookmarkStart w:id="1" w:name="_Hlk20349735"/>
      <w:r>
        <w:rPr>
          <w:sz w:val="24"/>
          <w:szCs w:val="24"/>
        </w:rPr>
        <w:t>Bandura (1998</w:t>
      </w:r>
      <w:bookmarkEnd w:id="1"/>
      <w:r>
        <w:rPr>
          <w:sz w:val="24"/>
          <w:szCs w:val="24"/>
        </w:rPr>
        <w:t>) explica o comportamento humano dentro de um modelo de interação entre fatores pessoais, ambientais e comportamentais, denominado por ele de reciprocidade triádica. Assim sendo, o indivíduo “</w:t>
      </w:r>
      <w:r w:rsidR="00D35F22">
        <w:rPr>
          <w:sz w:val="24"/>
          <w:szCs w:val="24"/>
        </w:rPr>
        <w:t xml:space="preserve">[...] </w:t>
      </w:r>
      <w:r>
        <w:rPr>
          <w:sz w:val="24"/>
          <w:szCs w:val="24"/>
        </w:rPr>
        <w:t xml:space="preserve">determina parcialmente seu ambiente e dele recebe influência” (AZZI, 2014, p. 29). Ainda segundo a autora, o indivíduo possui a possibilidade de atuar sobre seu ambiente devido à presença de quatro capacidades: a intencionalidade, o pensamento antecipatório, a autorreatividade e a autorreflexividade. Tal processo pode ser visualizado na </w:t>
      </w:r>
      <w:r w:rsidR="00D35F22">
        <w:rPr>
          <w:sz w:val="24"/>
          <w:szCs w:val="24"/>
        </w:rPr>
        <w:t>Figura 1 que segue</w:t>
      </w:r>
      <w:r>
        <w:rPr>
          <w:sz w:val="24"/>
          <w:szCs w:val="24"/>
        </w:rPr>
        <w:t>:</w:t>
      </w:r>
    </w:p>
    <w:p w14:paraId="47751EF9" w14:textId="77777777" w:rsidR="002C12C0" w:rsidRDefault="002C12C0" w:rsidP="002C12C0">
      <w:pPr>
        <w:spacing w:after="0" w:line="360" w:lineRule="auto"/>
        <w:jc w:val="both"/>
        <w:rPr>
          <w:color w:val="00B050"/>
          <w:sz w:val="24"/>
          <w:szCs w:val="24"/>
        </w:rPr>
      </w:pPr>
      <w:r>
        <w:rPr>
          <w:noProof/>
          <w:lang w:eastAsia="pt-BR"/>
        </w:rPr>
        <w:drawing>
          <wp:anchor distT="0" distB="0" distL="114300" distR="114300" simplePos="0" relativeHeight="251659264" behindDoc="0" locked="0" layoutInCell="1" allowOverlap="1" wp14:anchorId="51E62176" wp14:editId="5658429D">
            <wp:simplePos x="0" y="0"/>
            <wp:positionH relativeFrom="column">
              <wp:posOffset>1223010</wp:posOffset>
            </wp:positionH>
            <wp:positionV relativeFrom="paragraph">
              <wp:posOffset>13970</wp:posOffset>
            </wp:positionV>
            <wp:extent cx="3461385" cy="1428750"/>
            <wp:effectExtent l="0" t="0" r="5715"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9"/>
                    <a:stretch>
                      <a:fillRect/>
                    </a:stretch>
                  </pic:blipFill>
                  <pic:spPr bwMode="auto">
                    <a:xfrm>
                      <a:off x="0" y="0"/>
                      <a:ext cx="3461385" cy="1428750"/>
                    </a:xfrm>
                    <a:prstGeom prst="rect">
                      <a:avLst/>
                    </a:prstGeom>
                  </pic:spPr>
                </pic:pic>
              </a:graphicData>
            </a:graphic>
            <wp14:sizeRelH relativeFrom="margin">
              <wp14:pctWidth>0</wp14:pctWidth>
            </wp14:sizeRelH>
            <wp14:sizeRelV relativeFrom="margin">
              <wp14:pctHeight>0</wp14:pctHeight>
            </wp14:sizeRelV>
          </wp:anchor>
        </w:drawing>
      </w:r>
    </w:p>
    <w:p w14:paraId="73320F8B" w14:textId="77777777" w:rsidR="002C12C0" w:rsidRDefault="002C12C0" w:rsidP="002C12C0">
      <w:pPr>
        <w:spacing w:after="0" w:line="360" w:lineRule="auto"/>
        <w:ind w:firstLine="709"/>
        <w:rPr>
          <w:sz w:val="24"/>
          <w:szCs w:val="24"/>
        </w:rPr>
      </w:pPr>
    </w:p>
    <w:p w14:paraId="628B4693" w14:textId="77777777" w:rsidR="002C12C0" w:rsidRDefault="002C12C0" w:rsidP="002C12C0">
      <w:pPr>
        <w:spacing w:after="0"/>
        <w:ind w:firstLine="709"/>
        <w:rPr>
          <w:sz w:val="24"/>
          <w:szCs w:val="24"/>
        </w:rPr>
      </w:pPr>
    </w:p>
    <w:p w14:paraId="141F51A4" w14:textId="77777777" w:rsidR="002C12C0" w:rsidRDefault="002C12C0" w:rsidP="002C12C0">
      <w:pPr>
        <w:spacing w:after="0"/>
        <w:ind w:firstLine="709"/>
        <w:rPr>
          <w:sz w:val="24"/>
          <w:szCs w:val="24"/>
        </w:rPr>
      </w:pPr>
    </w:p>
    <w:p w14:paraId="108BCB0F" w14:textId="77777777" w:rsidR="002C12C0" w:rsidRDefault="002C12C0" w:rsidP="002C12C0">
      <w:pPr>
        <w:spacing w:after="0"/>
        <w:ind w:firstLine="709"/>
        <w:rPr>
          <w:sz w:val="24"/>
          <w:szCs w:val="24"/>
        </w:rPr>
      </w:pPr>
    </w:p>
    <w:p w14:paraId="5DF9C70E" w14:textId="77777777" w:rsidR="002C12C0" w:rsidRDefault="002C12C0" w:rsidP="002C12C0">
      <w:pPr>
        <w:spacing w:after="0"/>
        <w:ind w:firstLine="709"/>
        <w:jc w:val="both"/>
        <w:rPr>
          <w:sz w:val="24"/>
          <w:szCs w:val="24"/>
        </w:rPr>
      </w:pPr>
    </w:p>
    <w:p w14:paraId="52563E4C" w14:textId="77777777" w:rsidR="002C12C0" w:rsidRDefault="002C12C0" w:rsidP="002C12C0">
      <w:pPr>
        <w:spacing w:after="0"/>
        <w:ind w:firstLine="709"/>
        <w:rPr>
          <w:sz w:val="24"/>
          <w:szCs w:val="24"/>
        </w:rPr>
      </w:pPr>
    </w:p>
    <w:p w14:paraId="136849FC" w14:textId="77777777" w:rsidR="00D35F22" w:rsidRDefault="00D35F22" w:rsidP="002C12C0">
      <w:pPr>
        <w:spacing w:after="0"/>
        <w:rPr>
          <w:b/>
          <w:bCs/>
          <w:sz w:val="20"/>
          <w:szCs w:val="20"/>
        </w:rPr>
      </w:pPr>
    </w:p>
    <w:p w14:paraId="51A0DE1F" w14:textId="130073D4" w:rsidR="002C12C0" w:rsidRDefault="002C12C0" w:rsidP="002C12C0">
      <w:pPr>
        <w:spacing w:after="0"/>
        <w:rPr>
          <w:sz w:val="20"/>
          <w:szCs w:val="20"/>
        </w:rPr>
      </w:pPr>
      <w:r w:rsidRPr="00D35F22">
        <w:rPr>
          <w:b/>
          <w:bCs/>
          <w:sz w:val="20"/>
          <w:szCs w:val="20"/>
        </w:rPr>
        <w:t>Figura 1</w:t>
      </w:r>
      <w:r w:rsidRPr="004D4D07">
        <w:rPr>
          <w:b/>
          <w:sz w:val="20"/>
          <w:szCs w:val="20"/>
        </w:rPr>
        <w:t xml:space="preserve"> – </w:t>
      </w:r>
      <w:r w:rsidRPr="004D4D07">
        <w:rPr>
          <w:sz w:val="20"/>
          <w:szCs w:val="20"/>
        </w:rPr>
        <w:t>Reciprocidade Triádica</w:t>
      </w:r>
    </w:p>
    <w:p w14:paraId="09122A3F" w14:textId="0E6608CF" w:rsidR="002C12C0" w:rsidRDefault="002C12C0" w:rsidP="00633B11">
      <w:pPr>
        <w:spacing w:after="0"/>
        <w:rPr>
          <w:sz w:val="20"/>
          <w:szCs w:val="20"/>
        </w:rPr>
      </w:pPr>
      <w:r>
        <w:rPr>
          <w:sz w:val="20"/>
          <w:szCs w:val="20"/>
        </w:rPr>
        <w:t xml:space="preserve">Fonte: </w:t>
      </w:r>
      <w:r w:rsidR="00D35F22" w:rsidRPr="004D4D07">
        <w:rPr>
          <w:sz w:val="20"/>
          <w:szCs w:val="20"/>
        </w:rPr>
        <w:t>Bandura</w:t>
      </w:r>
      <w:r w:rsidR="00D35F22">
        <w:rPr>
          <w:sz w:val="20"/>
          <w:szCs w:val="20"/>
        </w:rPr>
        <w:t xml:space="preserve"> </w:t>
      </w:r>
      <w:r>
        <w:rPr>
          <w:sz w:val="20"/>
          <w:szCs w:val="20"/>
        </w:rPr>
        <w:t>(</w:t>
      </w:r>
      <w:r w:rsidRPr="004D4D07">
        <w:rPr>
          <w:sz w:val="20"/>
          <w:szCs w:val="20"/>
        </w:rPr>
        <w:t>2008, p. 25).</w:t>
      </w:r>
    </w:p>
    <w:p w14:paraId="7B6C9C1A" w14:textId="77777777" w:rsidR="00633B11" w:rsidRPr="00633B11" w:rsidRDefault="00633B11" w:rsidP="00633B11">
      <w:pPr>
        <w:spacing w:after="0"/>
        <w:rPr>
          <w:sz w:val="20"/>
          <w:szCs w:val="20"/>
        </w:rPr>
      </w:pPr>
    </w:p>
    <w:p w14:paraId="18EB6D09" w14:textId="77777777" w:rsidR="002C12C0" w:rsidRPr="00633B11" w:rsidRDefault="002C12C0" w:rsidP="002C12C0">
      <w:pPr>
        <w:spacing w:after="0" w:line="360" w:lineRule="auto"/>
        <w:ind w:firstLine="709"/>
        <w:jc w:val="both"/>
        <w:rPr>
          <w:sz w:val="24"/>
          <w:szCs w:val="24"/>
        </w:rPr>
      </w:pPr>
      <w:r w:rsidRPr="00633B11">
        <w:rPr>
          <w:sz w:val="24"/>
          <w:szCs w:val="24"/>
        </w:rPr>
        <w:t xml:space="preserve">Mediante as trocas sujeito-meio, inicia-se a constituição das crenças de autoeficácia, as quais se relacionam com as crenças que a pessoa possui sobre sua própria capacidade de controlar a si mesma e os eventos de sua vida. Mais especificamente: organizar e executar cursos de ação exigidos para desempenhar uma tarefa ou atividade específica. A autoeficácia refere-se às crenças que uma pessoa possui a respeito de sua capacidade de organizar e executar cursos de ação requeridos a fim de produzir determinadas tarefas específicas em </w:t>
      </w:r>
      <w:r w:rsidRPr="00633B11">
        <w:rPr>
          <w:sz w:val="24"/>
          <w:szCs w:val="24"/>
        </w:rPr>
        <w:lastRenderedPageBreak/>
        <w:t xml:space="preserve">diversas áreas. A autoeficácia regula o comportamento humano, sendo mediadora entre cognição, emoção e motivação. No presente trabalho, adotar-se-á o conceito de autoeficácia como as crenças na capacidade de executar comportamentos para atingir os resultados pretendidos pelos professores, em tarefas específicas, sem desistir no percurso (BZUNECK; GUIMARAES, 2003), bem como acessar os processos cognitivos e controlar as situações advindas do meio social. Na área da docência, as crenças de autoeficácia afetam a seleção de atividades, o nível de esforço, a motivação e a perseverança face aos obstáculos, assim como os sentimentos evidenciados em situações difíceis, como, por exemplo, turmas numerosas, baixa cooperação da família, ausência de apoio da administração e dos pares, dentre outros. </w:t>
      </w:r>
      <w:bookmarkStart w:id="2" w:name="_Hlk20349855"/>
      <w:r w:rsidRPr="00633B11">
        <w:rPr>
          <w:sz w:val="24"/>
          <w:szCs w:val="24"/>
        </w:rPr>
        <w:t xml:space="preserve">Woolfolk (2007) </w:t>
      </w:r>
      <w:bookmarkEnd w:id="2"/>
      <w:r w:rsidRPr="00633B11">
        <w:rPr>
          <w:sz w:val="24"/>
          <w:szCs w:val="24"/>
        </w:rPr>
        <w:t xml:space="preserve">diferencia </w:t>
      </w:r>
      <w:r w:rsidRPr="00633B11">
        <w:rPr>
          <w:i/>
          <w:sz w:val="24"/>
          <w:szCs w:val="24"/>
        </w:rPr>
        <w:t>crenças</w:t>
      </w:r>
      <w:r w:rsidRPr="00633B11">
        <w:rPr>
          <w:sz w:val="24"/>
          <w:szCs w:val="24"/>
        </w:rPr>
        <w:t xml:space="preserve"> </w:t>
      </w:r>
      <w:r w:rsidRPr="00633B11">
        <w:rPr>
          <w:i/>
          <w:iCs/>
          <w:sz w:val="24"/>
          <w:szCs w:val="24"/>
        </w:rPr>
        <w:t>de ensino</w:t>
      </w:r>
      <w:r w:rsidRPr="00633B11">
        <w:rPr>
          <w:sz w:val="24"/>
          <w:szCs w:val="24"/>
        </w:rPr>
        <w:t xml:space="preserve"> e </w:t>
      </w:r>
      <w:r w:rsidRPr="00633B11">
        <w:rPr>
          <w:i/>
          <w:iCs/>
          <w:sz w:val="24"/>
          <w:szCs w:val="24"/>
        </w:rPr>
        <w:t>crenças</w:t>
      </w:r>
      <w:r w:rsidRPr="00633B11">
        <w:rPr>
          <w:sz w:val="24"/>
          <w:szCs w:val="24"/>
        </w:rPr>
        <w:t xml:space="preserve"> </w:t>
      </w:r>
      <w:r w:rsidRPr="00633B11">
        <w:rPr>
          <w:i/>
          <w:sz w:val="24"/>
          <w:szCs w:val="24"/>
        </w:rPr>
        <w:t>de eficácia</w:t>
      </w:r>
      <w:r w:rsidRPr="00633B11">
        <w:rPr>
          <w:sz w:val="24"/>
          <w:szCs w:val="24"/>
        </w:rPr>
        <w:t xml:space="preserve"> </w:t>
      </w:r>
      <w:r w:rsidRPr="00633B11">
        <w:rPr>
          <w:i/>
          <w:iCs/>
          <w:sz w:val="24"/>
          <w:szCs w:val="24"/>
        </w:rPr>
        <w:t>pessoal</w:t>
      </w:r>
      <w:r w:rsidRPr="00633B11">
        <w:rPr>
          <w:sz w:val="24"/>
          <w:szCs w:val="24"/>
        </w:rPr>
        <w:t>. Enquanto a primeira diz respeito às expectativas dos docentes sobre os resultados a serem alcançados por eles antecipadamente em determinada atividade em sala de aula, as crenças de eficácia pessoal referem-se ao julgamento de suas próprias capacidades para executar ações que favoreçam o rendimento de seus alunos (</w:t>
      </w:r>
      <w:bookmarkStart w:id="3" w:name="_Hlk20349876"/>
      <w:r w:rsidRPr="00633B11">
        <w:rPr>
          <w:sz w:val="24"/>
          <w:szCs w:val="24"/>
        </w:rPr>
        <w:t>BZUNECK, 1996</w:t>
      </w:r>
      <w:bookmarkEnd w:id="3"/>
      <w:r w:rsidRPr="00633B11">
        <w:rPr>
          <w:sz w:val="24"/>
          <w:szCs w:val="24"/>
        </w:rPr>
        <w:t>).</w:t>
      </w:r>
      <w:r w:rsidRPr="00633B11">
        <w:rPr>
          <w:color w:val="00B050"/>
          <w:sz w:val="24"/>
          <w:szCs w:val="24"/>
        </w:rPr>
        <w:t xml:space="preserve">  </w:t>
      </w:r>
    </w:p>
    <w:p w14:paraId="1AC2A3F3" w14:textId="2CDB20DE" w:rsidR="002C12C0" w:rsidRPr="00633B11" w:rsidRDefault="002C12C0" w:rsidP="002C12C0">
      <w:pPr>
        <w:pStyle w:val="Recuodecorpodetexto31"/>
        <w:spacing w:line="360" w:lineRule="auto"/>
        <w:rPr>
          <w:szCs w:val="24"/>
        </w:rPr>
      </w:pPr>
      <w:r w:rsidRPr="00633B11">
        <w:rPr>
          <w:color w:val="auto"/>
          <w:szCs w:val="24"/>
        </w:rPr>
        <w:t>Vale esclarecer que as crenças são dinâmicas. Nes</w:t>
      </w:r>
      <w:r w:rsidR="00D35F22" w:rsidRPr="00633B11">
        <w:rPr>
          <w:color w:val="auto"/>
          <w:szCs w:val="24"/>
        </w:rPr>
        <w:t>s</w:t>
      </w:r>
      <w:r w:rsidRPr="00633B11">
        <w:rPr>
          <w:color w:val="auto"/>
          <w:szCs w:val="24"/>
        </w:rPr>
        <w:t xml:space="preserve">e sentido, variam conforme a situação vivenciada. O indivíduo sofre oscilação em seus níveis, </w:t>
      </w:r>
      <w:r w:rsidR="00D35F22" w:rsidRPr="00633B11">
        <w:rPr>
          <w:color w:val="auto"/>
          <w:szCs w:val="24"/>
        </w:rPr>
        <w:t>podendo</w:t>
      </w:r>
      <w:r w:rsidRPr="00633B11">
        <w:rPr>
          <w:color w:val="auto"/>
          <w:szCs w:val="24"/>
        </w:rPr>
        <w:t xml:space="preserve"> mais de uma fonte influenciar a maneira como a crença de autoeficácia é percebida e formada. Segundo a TSC, as crenças de autoeficácia são desenvolvidas a partir de quatro fontes de informação: experiências diretas, experiências vicárias, persuasão social e estados fisiológicos e afetivos (</w:t>
      </w:r>
      <w:bookmarkStart w:id="4" w:name="_Hlk20349929"/>
      <w:r w:rsidRPr="00633B11">
        <w:rPr>
          <w:color w:val="auto"/>
          <w:szCs w:val="24"/>
        </w:rPr>
        <w:t>BANDURA, 1997</w:t>
      </w:r>
      <w:bookmarkEnd w:id="4"/>
      <w:r w:rsidRPr="00633B11">
        <w:rPr>
          <w:color w:val="auto"/>
          <w:szCs w:val="24"/>
        </w:rPr>
        <w:t xml:space="preserve">). Enquanto as experiências diretas estão relacionadas a vivências de sucesso, as experiências vicárias referem-se à observação de indivíduos similares a si com êxito na gestão de tarefas. A persuasão verbal estimula a pessoa a acreditar em suas capacidades a fim de obter sucesso em determinadas atividades. Os sintomas somáticos e emocionais sinalizam as forças e as vulnerabilidades do indivíduo. Diante disso, um senso de autoeficácia robusta ajuda a sustentar a perseverança rumo ao sucesso.     </w:t>
      </w:r>
    </w:p>
    <w:p w14:paraId="3818652A" w14:textId="77777777" w:rsidR="002C12C0" w:rsidRPr="00633B11" w:rsidRDefault="002C12C0" w:rsidP="002C12C0">
      <w:pPr>
        <w:spacing w:after="0" w:line="360" w:lineRule="auto"/>
        <w:ind w:left="-360"/>
        <w:jc w:val="both"/>
        <w:rPr>
          <w:b/>
          <w:sz w:val="24"/>
          <w:szCs w:val="24"/>
        </w:rPr>
      </w:pPr>
    </w:p>
    <w:p w14:paraId="2EBD2B77" w14:textId="1894E20B" w:rsidR="002C12C0" w:rsidRPr="00633B11" w:rsidRDefault="002C12C0" w:rsidP="002C12C0">
      <w:pPr>
        <w:pStyle w:val="PargrafodaLista"/>
        <w:numPr>
          <w:ilvl w:val="0"/>
          <w:numId w:val="24"/>
        </w:numPr>
        <w:tabs>
          <w:tab w:val="left" w:pos="284"/>
        </w:tabs>
        <w:spacing w:after="0" w:line="360" w:lineRule="auto"/>
        <w:ind w:left="0" w:firstLine="0"/>
        <w:jc w:val="both"/>
        <w:rPr>
          <w:rFonts w:ascii="Times New Roman" w:hAnsi="Times New Roman" w:cs="Times New Roman"/>
          <w:b/>
          <w:sz w:val="24"/>
          <w:szCs w:val="24"/>
        </w:rPr>
      </w:pPr>
      <w:r w:rsidRPr="00633B11">
        <w:rPr>
          <w:rFonts w:ascii="Times New Roman" w:hAnsi="Times New Roman" w:cs="Times New Roman"/>
          <w:b/>
          <w:sz w:val="24"/>
          <w:szCs w:val="24"/>
        </w:rPr>
        <w:t>METODOLOGIA</w:t>
      </w:r>
    </w:p>
    <w:p w14:paraId="2A3947C7" w14:textId="6F98FB03" w:rsidR="002C12C0" w:rsidRPr="00633B11" w:rsidRDefault="002C12C0" w:rsidP="002C12C0">
      <w:pPr>
        <w:spacing w:after="0" w:line="360" w:lineRule="auto"/>
        <w:ind w:firstLine="709"/>
        <w:jc w:val="both"/>
        <w:rPr>
          <w:sz w:val="24"/>
          <w:szCs w:val="24"/>
        </w:rPr>
      </w:pPr>
      <w:r w:rsidRPr="00633B11">
        <w:rPr>
          <w:sz w:val="24"/>
          <w:szCs w:val="24"/>
        </w:rPr>
        <w:t xml:space="preserve">Neste trabalho, aplicou-se o modelo de revisão sistemática da literatura, buscando-se conhecer os trabalhos de pesquisa realizados nos programas de </w:t>
      </w:r>
      <w:r w:rsidR="00017F6A" w:rsidRPr="00633B11">
        <w:rPr>
          <w:sz w:val="24"/>
          <w:szCs w:val="24"/>
        </w:rPr>
        <w:t>Pós-Graduação</w:t>
      </w:r>
      <w:r w:rsidRPr="00633B11">
        <w:rPr>
          <w:sz w:val="24"/>
          <w:szCs w:val="24"/>
        </w:rPr>
        <w:t xml:space="preserve"> de universidades brasileiras, incluindo teses e dissertações defendidas no período de 2007 a 2017, disponíveis no Catálogo de Teses e Dissertações da Capes (</w:t>
      </w:r>
      <w:hyperlink r:id="rId10" w:anchor="!/" w:history="1">
        <w:r w:rsidRPr="00633B11">
          <w:rPr>
            <w:rStyle w:val="Hyperlink"/>
            <w:sz w:val="24"/>
            <w:szCs w:val="24"/>
          </w:rPr>
          <w:t>http://catalogodeteses.capes.gov.br/catalogo-teses/#!/</w:t>
        </w:r>
      </w:hyperlink>
      <w:r w:rsidRPr="00633B11">
        <w:rPr>
          <w:sz w:val="24"/>
          <w:szCs w:val="24"/>
        </w:rPr>
        <w:t>).</w:t>
      </w:r>
    </w:p>
    <w:p w14:paraId="72836512" w14:textId="77777777" w:rsidR="002C12C0" w:rsidRPr="00633B11" w:rsidRDefault="002C12C0" w:rsidP="002C12C0">
      <w:pPr>
        <w:spacing w:after="0" w:line="360" w:lineRule="auto"/>
        <w:ind w:firstLine="709"/>
        <w:jc w:val="both"/>
        <w:rPr>
          <w:sz w:val="24"/>
          <w:szCs w:val="24"/>
        </w:rPr>
      </w:pPr>
    </w:p>
    <w:p w14:paraId="35C96431" w14:textId="77777777" w:rsidR="002C12C0" w:rsidRPr="00633B11" w:rsidRDefault="002C12C0" w:rsidP="002C12C0">
      <w:pPr>
        <w:pStyle w:val="PargrafodaLista"/>
        <w:numPr>
          <w:ilvl w:val="1"/>
          <w:numId w:val="25"/>
        </w:numPr>
        <w:tabs>
          <w:tab w:val="left" w:pos="284"/>
        </w:tabs>
        <w:spacing w:after="0" w:line="360" w:lineRule="auto"/>
        <w:jc w:val="both"/>
        <w:rPr>
          <w:rFonts w:ascii="Times New Roman" w:hAnsi="Times New Roman" w:cs="Times New Roman"/>
          <w:bCs/>
          <w:sz w:val="24"/>
          <w:szCs w:val="24"/>
        </w:rPr>
      </w:pPr>
      <w:r w:rsidRPr="00633B11">
        <w:rPr>
          <w:rFonts w:ascii="Times New Roman" w:hAnsi="Times New Roman" w:cs="Times New Roman"/>
          <w:bCs/>
          <w:sz w:val="24"/>
          <w:szCs w:val="24"/>
        </w:rPr>
        <w:t>Sobre revisão sistemática</w:t>
      </w:r>
    </w:p>
    <w:p w14:paraId="0A1580FF" w14:textId="2FCA4D29" w:rsidR="002C12C0" w:rsidRPr="00633B11" w:rsidRDefault="002C12C0" w:rsidP="002C12C0">
      <w:pPr>
        <w:spacing w:after="0" w:line="360" w:lineRule="auto"/>
        <w:ind w:firstLine="709"/>
        <w:jc w:val="both"/>
        <w:rPr>
          <w:sz w:val="24"/>
          <w:szCs w:val="24"/>
        </w:rPr>
      </w:pPr>
      <w:r w:rsidRPr="00633B11">
        <w:rPr>
          <w:sz w:val="24"/>
          <w:szCs w:val="24"/>
        </w:rPr>
        <w:t>A revisão sistemática tem como intuito prover a análise e a síntese da literatura existente em determinada área ou tópico (</w:t>
      </w:r>
      <w:bookmarkStart w:id="5" w:name="_Hlk20349978"/>
      <w:r w:rsidRPr="00633B11">
        <w:rPr>
          <w:sz w:val="24"/>
          <w:szCs w:val="24"/>
        </w:rPr>
        <w:t>GOUGH, 2007</w:t>
      </w:r>
      <w:bookmarkEnd w:id="5"/>
      <w:r w:rsidRPr="00633B11">
        <w:rPr>
          <w:sz w:val="24"/>
          <w:szCs w:val="24"/>
        </w:rPr>
        <w:t xml:space="preserve">). Segundo </w:t>
      </w:r>
      <w:bookmarkStart w:id="6" w:name="_Hlk20349983"/>
      <w:r w:rsidRPr="00633B11">
        <w:rPr>
          <w:sz w:val="24"/>
          <w:szCs w:val="24"/>
        </w:rPr>
        <w:t>Briner e Denyer (2012</w:t>
      </w:r>
      <w:bookmarkEnd w:id="6"/>
      <w:r w:rsidRPr="00633B11">
        <w:rPr>
          <w:sz w:val="24"/>
          <w:szCs w:val="24"/>
        </w:rPr>
        <w:t xml:space="preserve">), a revisão sistemática busca responder a uma pergunta explícita sobre a literatura, utilizando métodos transparentes para a realização de uma pesquisa minuciosa e completa e a apreciação crítica de estudos individuais, buscando extrair conclusões sobre o que se sabe e o que não se sabe sobre determinado tópico. O termo “sistemática” significa que os autores seguem um </w:t>
      </w:r>
      <w:r w:rsidRPr="00633B11">
        <w:rPr>
          <w:i/>
          <w:iCs/>
          <w:sz w:val="24"/>
          <w:szCs w:val="24"/>
        </w:rPr>
        <w:t>design</w:t>
      </w:r>
      <w:r w:rsidRPr="00633B11">
        <w:rPr>
          <w:sz w:val="24"/>
          <w:szCs w:val="24"/>
        </w:rPr>
        <w:t xml:space="preserve"> de pesquisa que não é necessariamente padrão, nem rígido, e comunicam como fizeram, quais procedimentos utilizaram na pesquisa (</w:t>
      </w:r>
      <w:bookmarkStart w:id="7" w:name="_Hlk20350004"/>
      <w:r w:rsidRPr="00633B11">
        <w:rPr>
          <w:sz w:val="24"/>
          <w:szCs w:val="24"/>
        </w:rPr>
        <w:t xml:space="preserve">GOUGH, 2007; BRINER; DENYER, 2012; KITCHENHAM, 2004; </w:t>
      </w:r>
      <w:r w:rsidRPr="00633B11">
        <w:rPr>
          <w:color w:val="222222"/>
          <w:sz w:val="24"/>
          <w:szCs w:val="24"/>
          <w:shd w:val="clear" w:color="auto" w:fill="FFFFFF"/>
        </w:rPr>
        <w:t xml:space="preserve">GRANT; BOOTH, </w:t>
      </w:r>
      <w:r w:rsidRPr="00633B11">
        <w:rPr>
          <w:sz w:val="24"/>
          <w:szCs w:val="24"/>
        </w:rPr>
        <w:t>2009</w:t>
      </w:r>
      <w:bookmarkEnd w:id="7"/>
      <w:r w:rsidRPr="00633B11">
        <w:rPr>
          <w:sz w:val="24"/>
          <w:szCs w:val="24"/>
        </w:rPr>
        <w:t>). Gough (2007) chama atenção para a necessidade de esclarecer quando a comunicação de uma revisão de literatura foi feita de modo sistemático, ou não. As revisões sistemáticas diferem</w:t>
      </w:r>
      <w:r w:rsidR="00017F6A" w:rsidRPr="00633B11">
        <w:rPr>
          <w:sz w:val="24"/>
          <w:szCs w:val="24"/>
        </w:rPr>
        <w:t>-se</w:t>
      </w:r>
      <w:r w:rsidRPr="00633B11">
        <w:rPr>
          <w:sz w:val="24"/>
          <w:szCs w:val="24"/>
        </w:rPr>
        <w:t xml:space="preserve"> das revisões narrativas convencionais por adotarem um processo transparente, o que possibilita a sua replicação. E</w:t>
      </w:r>
      <w:r w:rsidR="00017F6A" w:rsidRPr="00633B11">
        <w:rPr>
          <w:sz w:val="24"/>
          <w:szCs w:val="24"/>
        </w:rPr>
        <w:t>,</w:t>
      </w:r>
      <w:r w:rsidRPr="00633B11">
        <w:rPr>
          <w:sz w:val="24"/>
          <w:szCs w:val="24"/>
        </w:rPr>
        <w:t xml:space="preserve"> ainda, segundo os mesmos autores, a revisão sistemática, por ter seu método explícito, possibilita que seja lida e avaliada criticamente (BRINER; DENYER, 2012).</w:t>
      </w:r>
    </w:p>
    <w:p w14:paraId="76027E44" w14:textId="2EA3E759" w:rsidR="002C12C0" w:rsidRPr="00633B11" w:rsidRDefault="002C12C0" w:rsidP="002C12C0">
      <w:pPr>
        <w:spacing w:after="0" w:line="360" w:lineRule="auto"/>
        <w:ind w:firstLine="709"/>
        <w:jc w:val="both"/>
        <w:rPr>
          <w:sz w:val="24"/>
          <w:szCs w:val="24"/>
        </w:rPr>
      </w:pPr>
      <w:r w:rsidRPr="00633B11">
        <w:rPr>
          <w:sz w:val="24"/>
          <w:szCs w:val="24"/>
        </w:rPr>
        <w:t>Briner e Denyer (2012, p. 115) esclarecem que a revisão sistemática envolve cinco passos, sendo eles: “1) Planejar a revisão; 2) Localizar os estudos; 3) Avaliar as contribuições dos trabalhos; 4) Analisar e sintetizar as informações; 5) Relatar os resultados</w:t>
      </w:r>
      <w:r w:rsidRPr="00633B11">
        <w:rPr>
          <w:rStyle w:val="ncoradanotadefim"/>
          <w:sz w:val="24"/>
          <w:szCs w:val="24"/>
        </w:rPr>
        <w:endnoteReference w:id="1"/>
      </w:r>
      <w:r w:rsidRPr="00633B11">
        <w:rPr>
          <w:sz w:val="24"/>
          <w:szCs w:val="24"/>
        </w:rPr>
        <w:t>.” Ainda conforme esse</w:t>
      </w:r>
      <w:r w:rsidR="00017F6A" w:rsidRPr="00633B11">
        <w:rPr>
          <w:sz w:val="24"/>
          <w:szCs w:val="24"/>
        </w:rPr>
        <w:t>s</w:t>
      </w:r>
      <w:r w:rsidRPr="00633B11">
        <w:rPr>
          <w:sz w:val="24"/>
          <w:szCs w:val="24"/>
        </w:rPr>
        <w:t xml:space="preserve"> autores, além de seguir </w:t>
      </w:r>
      <w:r w:rsidR="00017F6A" w:rsidRPr="00633B11">
        <w:rPr>
          <w:sz w:val="24"/>
          <w:szCs w:val="24"/>
        </w:rPr>
        <w:t>esses</w:t>
      </w:r>
      <w:r w:rsidRPr="00633B11">
        <w:rPr>
          <w:sz w:val="24"/>
          <w:szCs w:val="24"/>
        </w:rPr>
        <w:t xml:space="preserve"> cinco passos descritos, uma revisão sistemática deve se basear nos seguintes princípios: sistematização; transparência; replicabilidade e atualização; síntese.</w:t>
      </w:r>
    </w:p>
    <w:p w14:paraId="58B2E96B" w14:textId="3FD5A311" w:rsidR="002C12C0" w:rsidRPr="00633B11" w:rsidRDefault="002C12C0" w:rsidP="002C12C0">
      <w:pPr>
        <w:spacing w:after="0" w:line="360" w:lineRule="auto"/>
        <w:ind w:firstLine="709"/>
        <w:jc w:val="both"/>
        <w:rPr>
          <w:sz w:val="24"/>
          <w:szCs w:val="24"/>
        </w:rPr>
      </w:pPr>
      <w:r w:rsidRPr="00633B11">
        <w:rPr>
          <w:sz w:val="24"/>
          <w:szCs w:val="24"/>
        </w:rPr>
        <w:t>Ao planejar uma revisão sistemática é necessário elaborar um protocolo de pesquisa (</w:t>
      </w:r>
      <w:bookmarkStart w:id="8" w:name="_Hlk20350081"/>
      <w:r w:rsidRPr="00633B11">
        <w:rPr>
          <w:sz w:val="24"/>
          <w:szCs w:val="24"/>
        </w:rPr>
        <w:t>KITCHENHAM, 2004; GOUGH, 2007; BRINER; DENYER, 2012; RAMOS</w:t>
      </w:r>
      <w:r w:rsidR="00017F6A" w:rsidRPr="00633B11">
        <w:rPr>
          <w:sz w:val="24"/>
          <w:szCs w:val="24"/>
        </w:rPr>
        <w:t>;</w:t>
      </w:r>
      <w:r w:rsidRPr="00633B11">
        <w:rPr>
          <w:sz w:val="24"/>
          <w:szCs w:val="24"/>
        </w:rPr>
        <w:t xml:space="preserve"> FARIA; FARIA, 2014</w:t>
      </w:r>
      <w:bookmarkEnd w:id="8"/>
      <w:r w:rsidRPr="00633B11">
        <w:rPr>
          <w:sz w:val="24"/>
          <w:szCs w:val="24"/>
        </w:rPr>
        <w:t xml:space="preserve">) que, segundo Briner e Denyer (2012), assemelha-se ao </w:t>
      </w:r>
      <w:r w:rsidRPr="00633B11">
        <w:rPr>
          <w:i/>
          <w:iCs/>
          <w:sz w:val="24"/>
          <w:szCs w:val="24"/>
        </w:rPr>
        <w:t>design</w:t>
      </w:r>
      <w:r w:rsidRPr="00633B11">
        <w:rPr>
          <w:sz w:val="24"/>
          <w:szCs w:val="24"/>
        </w:rPr>
        <w:t xml:space="preserve"> de pesquisa usualmente utilizado na pesquisa primária. </w:t>
      </w:r>
      <w:r w:rsidRPr="00633B11">
        <w:rPr>
          <w:color w:val="000000" w:themeColor="text1"/>
          <w:sz w:val="24"/>
          <w:szCs w:val="24"/>
        </w:rPr>
        <w:t xml:space="preserve">A importância do protocolo é garantir segurança, clareza e possibilidade de replicação da revisão. </w:t>
      </w:r>
      <w:r w:rsidRPr="00633B11">
        <w:rPr>
          <w:sz w:val="24"/>
          <w:szCs w:val="24"/>
        </w:rPr>
        <w:t>É essencial que cada trabalho seja analisado de maneira rigorosa para que atenda aos critérios definidos no protocolo. Es</w:t>
      </w:r>
      <w:r w:rsidR="00017F6A" w:rsidRPr="00633B11">
        <w:rPr>
          <w:sz w:val="24"/>
          <w:szCs w:val="24"/>
        </w:rPr>
        <w:t>s</w:t>
      </w:r>
      <w:r w:rsidRPr="00633B11">
        <w:rPr>
          <w:sz w:val="24"/>
          <w:szCs w:val="24"/>
        </w:rPr>
        <w:t xml:space="preserve">e procedimento fará com que os resultados da revisão estabeleçam claramente os níveis de qualidade dos trabalhos incluídos na revisão </w:t>
      </w:r>
      <w:r w:rsidRPr="00633B11">
        <w:rPr>
          <w:color w:val="000000" w:themeColor="text1"/>
          <w:sz w:val="24"/>
          <w:szCs w:val="24"/>
        </w:rPr>
        <w:t>(BRINER; DENYER, 2012).</w:t>
      </w:r>
    </w:p>
    <w:p w14:paraId="62B18B4E" w14:textId="4EAECD44" w:rsidR="002C12C0" w:rsidRPr="00633B11" w:rsidRDefault="002C12C0" w:rsidP="002C12C0">
      <w:pPr>
        <w:spacing w:after="0" w:line="360" w:lineRule="auto"/>
        <w:ind w:firstLine="709"/>
        <w:jc w:val="both"/>
        <w:rPr>
          <w:sz w:val="24"/>
          <w:szCs w:val="24"/>
        </w:rPr>
      </w:pPr>
      <w:r w:rsidRPr="00633B11">
        <w:rPr>
          <w:sz w:val="24"/>
          <w:szCs w:val="24"/>
        </w:rPr>
        <w:t>A pesquisa científica mostra que grande parte dos trabalhos de revisão sistemática é realizada na área da medicina (</w:t>
      </w:r>
      <w:bookmarkStart w:id="9" w:name="_Hlk20350117"/>
      <w:r w:rsidRPr="00633B11">
        <w:rPr>
          <w:sz w:val="24"/>
          <w:szCs w:val="24"/>
        </w:rPr>
        <w:t>GOUGH</w:t>
      </w:r>
      <w:r w:rsidR="00BD0C0F" w:rsidRPr="00633B11">
        <w:rPr>
          <w:sz w:val="24"/>
          <w:szCs w:val="24"/>
        </w:rPr>
        <w:t xml:space="preserve"> </w:t>
      </w:r>
      <w:r w:rsidR="00BD0C0F" w:rsidRPr="00633B11">
        <w:rPr>
          <w:i/>
          <w:iCs/>
          <w:sz w:val="24"/>
          <w:szCs w:val="24"/>
        </w:rPr>
        <w:t>et al</w:t>
      </w:r>
      <w:r w:rsidR="00BD0C0F" w:rsidRPr="00633B11">
        <w:rPr>
          <w:sz w:val="24"/>
          <w:szCs w:val="24"/>
        </w:rPr>
        <w:t xml:space="preserve">., </w:t>
      </w:r>
      <w:r w:rsidRPr="00633B11">
        <w:rPr>
          <w:sz w:val="24"/>
          <w:szCs w:val="24"/>
        </w:rPr>
        <w:t>2011</w:t>
      </w:r>
      <w:bookmarkEnd w:id="9"/>
      <w:r w:rsidRPr="00633B11">
        <w:rPr>
          <w:sz w:val="24"/>
          <w:szCs w:val="24"/>
        </w:rPr>
        <w:t xml:space="preserve">). Entretanto, quando há necessidade de </w:t>
      </w:r>
      <w:r w:rsidRPr="00633B11">
        <w:rPr>
          <w:sz w:val="24"/>
          <w:szCs w:val="24"/>
        </w:rPr>
        <w:lastRenderedPageBreak/>
        <w:t>utilizar es</w:t>
      </w:r>
      <w:r w:rsidR="00017F6A" w:rsidRPr="00633B11">
        <w:rPr>
          <w:sz w:val="24"/>
          <w:szCs w:val="24"/>
        </w:rPr>
        <w:t>sa</w:t>
      </w:r>
      <w:r w:rsidRPr="00633B11">
        <w:rPr>
          <w:sz w:val="24"/>
          <w:szCs w:val="24"/>
        </w:rPr>
        <w:t xml:space="preserve"> metodologia em outras áreas, não se pode simplesmente copiar os princípios e </w:t>
      </w:r>
      <w:r w:rsidR="00017F6A" w:rsidRPr="00633B11">
        <w:rPr>
          <w:sz w:val="24"/>
          <w:szCs w:val="24"/>
        </w:rPr>
        <w:t xml:space="preserve">os </w:t>
      </w:r>
      <w:r w:rsidRPr="00633B11">
        <w:rPr>
          <w:sz w:val="24"/>
          <w:szCs w:val="24"/>
        </w:rPr>
        <w:t>métodos dos estudos realizados no campo da medicina e outras áreas da saúde. Briner e Denyer (2012) aconselham que os métodos sejam adaptados para adequar a questão que a pesquisa está tratando e também as suas premissas (subjacentes) ou pressuposições.</w:t>
      </w:r>
    </w:p>
    <w:p w14:paraId="503A1C95" w14:textId="7F7540D0" w:rsidR="002C12C0" w:rsidRPr="00633B11" w:rsidRDefault="002C12C0" w:rsidP="002C12C0">
      <w:pPr>
        <w:spacing w:after="0" w:line="360" w:lineRule="auto"/>
        <w:ind w:firstLine="709"/>
        <w:jc w:val="both"/>
        <w:rPr>
          <w:sz w:val="24"/>
          <w:szCs w:val="24"/>
        </w:rPr>
      </w:pPr>
      <w:r w:rsidRPr="00633B11">
        <w:rPr>
          <w:sz w:val="24"/>
          <w:szCs w:val="24"/>
        </w:rPr>
        <w:t xml:space="preserve">Segundo </w:t>
      </w:r>
      <w:bookmarkStart w:id="10" w:name="_Hlk20350139"/>
      <w:r w:rsidRPr="00633B11">
        <w:rPr>
          <w:sz w:val="24"/>
          <w:szCs w:val="24"/>
        </w:rPr>
        <w:t>Ramos, Faria e Faria (2014</w:t>
      </w:r>
      <w:bookmarkEnd w:id="10"/>
      <w:r w:rsidRPr="00633B11">
        <w:rPr>
          <w:sz w:val="24"/>
          <w:szCs w:val="24"/>
        </w:rPr>
        <w:t>), Brasil e Portugal não possuem tradição na investigação científica relacionada aos métodos de revisão sistemática voltados à área da educação, fato constatado na presente pesquisa. Daí o compromisso de pesquisadores brasileiros no desenvolvimento des</w:t>
      </w:r>
      <w:r w:rsidR="00017F6A" w:rsidRPr="00633B11">
        <w:rPr>
          <w:sz w:val="24"/>
          <w:szCs w:val="24"/>
        </w:rPr>
        <w:t>t</w:t>
      </w:r>
      <w:r w:rsidRPr="00633B11">
        <w:rPr>
          <w:sz w:val="24"/>
          <w:szCs w:val="24"/>
        </w:rPr>
        <w:t>e tipo de estudo e sua divulgação, no intuito de contribuir com a comunidade acadêmica em nosso país.</w:t>
      </w:r>
    </w:p>
    <w:p w14:paraId="60675386" w14:textId="77777777" w:rsidR="002C12C0" w:rsidRDefault="002C12C0" w:rsidP="002C12C0">
      <w:pPr>
        <w:spacing w:after="0" w:line="360" w:lineRule="auto"/>
        <w:ind w:firstLine="709"/>
        <w:jc w:val="both"/>
        <w:rPr>
          <w:sz w:val="24"/>
          <w:szCs w:val="24"/>
        </w:rPr>
      </w:pPr>
    </w:p>
    <w:p w14:paraId="76FC1BE2" w14:textId="77777777" w:rsidR="002C12C0" w:rsidRPr="001224CD" w:rsidRDefault="002C12C0" w:rsidP="002C12C0">
      <w:pPr>
        <w:pStyle w:val="PargrafodaLista"/>
        <w:numPr>
          <w:ilvl w:val="1"/>
          <w:numId w:val="25"/>
        </w:numPr>
        <w:tabs>
          <w:tab w:val="left" w:pos="284"/>
        </w:tabs>
        <w:spacing w:after="0" w:line="360" w:lineRule="auto"/>
        <w:jc w:val="both"/>
        <w:rPr>
          <w:rFonts w:ascii="Times New Roman" w:hAnsi="Times New Roman" w:cs="Times New Roman"/>
          <w:bCs/>
          <w:sz w:val="24"/>
          <w:szCs w:val="24"/>
        </w:rPr>
      </w:pPr>
      <w:r w:rsidRPr="001224CD">
        <w:rPr>
          <w:rFonts w:ascii="Times New Roman" w:hAnsi="Times New Roman" w:cs="Times New Roman"/>
          <w:bCs/>
          <w:sz w:val="24"/>
          <w:szCs w:val="24"/>
        </w:rPr>
        <w:t>Procedimentos utilizados na pesquisa</w:t>
      </w:r>
    </w:p>
    <w:p w14:paraId="40C6B5FF" w14:textId="44228170" w:rsidR="002C12C0" w:rsidRPr="001224CD" w:rsidRDefault="00017F6A" w:rsidP="00017F6A">
      <w:pPr>
        <w:spacing w:after="0" w:line="360" w:lineRule="auto"/>
        <w:ind w:firstLine="709"/>
        <w:jc w:val="both"/>
        <w:rPr>
          <w:sz w:val="24"/>
          <w:szCs w:val="24"/>
        </w:rPr>
      </w:pPr>
      <w:r w:rsidRPr="001224CD">
        <w:rPr>
          <w:sz w:val="24"/>
          <w:szCs w:val="24"/>
          <w:lang w:eastAsia="pt-BR"/>
        </w:rPr>
        <w:t>Em primeiro lugar</w:t>
      </w:r>
      <w:r w:rsidR="002C12C0" w:rsidRPr="001224CD">
        <w:rPr>
          <w:sz w:val="24"/>
          <w:szCs w:val="24"/>
          <w:lang w:eastAsia="pt-BR"/>
        </w:rPr>
        <w:t xml:space="preserve">, optou-se por realizar a coleta de dados em um </w:t>
      </w:r>
      <w:r w:rsidR="002C12C0" w:rsidRPr="001224CD">
        <w:rPr>
          <w:i/>
          <w:iCs/>
          <w:sz w:val="24"/>
          <w:szCs w:val="24"/>
          <w:lang w:eastAsia="pt-BR"/>
        </w:rPr>
        <w:t>site</w:t>
      </w:r>
      <w:r w:rsidR="002C12C0" w:rsidRPr="001224CD">
        <w:rPr>
          <w:sz w:val="24"/>
          <w:szCs w:val="24"/>
          <w:lang w:eastAsia="pt-BR"/>
        </w:rPr>
        <w:t xml:space="preserve"> abrangente em nível nacional. Nesse sentido, fez-se a opção pelo </w:t>
      </w:r>
      <w:r w:rsidR="002C12C0" w:rsidRPr="001224CD">
        <w:rPr>
          <w:sz w:val="24"/>
          <w:szCs w:val="24"/>
        </w:rPr>
        <w:t>Catálogo de Teses e Dissertações da Capes, que se caracteriza por ser um sistema de busca bibliográfica, que reúne registros desde 1987. Possui como referência a </w:t>
      </w:r>
      <w:hyperlink r:id="rId11" w:tgtFrame="_blank">
        <w:r w:rsidR="002C12C0" w:rsidRPr="001224CD">
          <w:rPr>
            <w:rStyle w:val="LinkdaInternet"/>
            <w:sz w:val="24"/>
            <w:szCs w:val="24"/>
          </w:rPr>
          <w:t>Portaria nº 13/2006</w:t>
        </w:r>
      </w:hyperlink>
      <w:r w:rsidR="002C12C0" w:rsidRPr="001224CD">
        <w:rPr>
          <w:sz w:val="24"/>
          <w:szCs w:val="24"/>
          <w:u w:val="single"/>
        </w:rPr>
        <w:t>,</w:t>
      </w:r>
      <w:r w:rsidR="002C12C0" w:rsidRPr="001224CD">
        <w:rPr>
          <w:sz w:val="24"/>
          <w:szCs w:val="24"/>
        </w:rPr>
        <w:t xml:space="preserve"> que instituiu a divulgação digital das teses e </w:t>
      </w:r>
      <w:r w:rsidRPr="001224CD">
        <w:rPr>
          <w:sz w:val="24"/>
          <w:szCs w:val="24"/>
        </w:rPr>
        <w:t xml:space="preserve">das </w:t>
      </w:r>
      <w:r w:rsidR="002C12C0" w:rsidRPr="001224CD">
        <w:rPr>
          <w:sz w:val="24"/>
          <w:szCs w:val="24"/>
        </w:rPr>
        <w:t xml:space="preserve">dissertações produzidas pelos programas de </w:t>
      </w:r>
      <w:r w:rsidRPr="001224CD">
        <w:rPr>
          <w:sz w:val="24"/>
          <w:szCs w:val="24"/>
        </w:rPr>
        <w:t>D</w:t>
      </w:r>
      <w:r w:rsidR="002C12C0" w:rsidRPr="001224CD">
        <w:rPr>
          <w:sz w:val="24"/>
          <w:szCs w:val="24"/>
        </w:rPr>
        <w:t xml:space="preserve">outorado e </w:t>
      </w:r>
      <w:r w:rsidRPr="001224CD">
        <w:rPr>
          <w:sz w:val="24"/>
          <w:szCs w:val="24"/>
        </w:rPr>
        <w:t>M</w:t>
      </w:r>
      <w:r w:rsidR="002C12C0" w:rsidRPr="001224CD">
        <w:rPr>
          <w:sz w:val="24"/>
          <w:szCs w:val="24"/>
        </w:rPr>
        <w:t xml:space="preserve">estrado reconhecidos. O anteriormente denominado Banco de Teses e Dissertações começou a ser alimentado pelo aplicativo Coleta em 1987. A partir de 1996, continuou a ser atualizado pelo aplicativo eletrônico chamado Cadastro de Discentes. Atualmente, tanto os metadados quanto os arquivos completos das teses e </w:t>
      </w:r>
      <w:r w:rsidRPr="001224CD">
        <w:rPr>
          <w:sz w:val="24"/>
          <w:szCs w:val="24"/>
        </w:rPr>
        <w:t xml:space="preserve">das </w:t>
      </w:r>
      <w:r w:rsidR="002C12C0" w:rsidRPr="001224CD">
        <w:rPr>
          <w:sz w:val="24"/>
          <w:szCs w:val="24"/>
        </w:rPr>
        <w:t xml:space="preserve">dissertações são informados diretamente à Capes pelos programas de </w:t>
      </w:r>
      <w:r w:rsidRPr="001224CD">
        <w:rPr>
          <w:sz w:val="24"/>
          <w:szCs w:val="24"/>
        </w:rPr>
        <w:t>Pós-Graduação</w:t>
      </w:r>
      <w:r w:rsidR="002C12C0" w:rsidRPr="001224CD">
        <w:rPr>
          <w:sz w:val="24"/>
          <w:szCs w:val="24"/>
        </w:rPr>
        <w:t>, que se responsabilizam pela veracidade dos dados, na </w:t>
      </w:r>
      <w:hyperlink r:id="rId12" w:tgtFrame="_blank">
        <w:r w:rsidR="002C12C0" w:rsidRPr="001224CD">
          <w:rPr>
            <w:rStyle w:val="LinkdaInternet"/>
            <w:sz w:val="24"/>
            <w:szCs w:val="24"/>
          </w:rPr>
          <w:t>Plataforma Sucupira</w:t>
        </w:r>
      </w:hyperlink>
      <w:r w:rsidR="002C12C0" w:rsidRPr="001224CD">
        <w:rPr>
          <w:rStyle w:val="LinkdaInternet"/>
          <w:sz w:val="24"/>
          <w:szCs w:val="24"/>
        </w:rPr>
        <w:t>,</w:t>
      </w:r>
      <w:r w:rsidR="002C12C0" w:rsidRPr="001224CD">
        <w:rPr>
          <w:sz w:val="24"/>
          <w:szCs w:val="24"/>
        </w:rPr>
        <w:t xml:space="preserve"> e sincronizados periodicamente com o Catálogo. O catálogo pode ser acessado pelo endereço </w:t>
      </w:r>
      <w:hyperlink r:id="rId13" w:history="1">
        <w:r w:rsidRPr="001224CD">
          <w:rPr>
            <w:rStyle w:val="Hyperlink"/>
            <w:sz w:val="24"/>
            <w:szCs w:val="24"/>
          </w:rPr>
          <w:t>http://catalogodeteses.capes.gov.br/catalogo-teses/</w:t>
        </w:r>
      </w:hyperlink>
      <w:r w:rsidRPr="001224CD">
        <w:rPr>
          <w:sz w:val="24"/>
          <w:szCs w:val="24"/>
        </w:rPr>
        <w:t>,</w:t>
      </w:r>
      <w:r w:rsidR="002C12C0" w:rsidRPr="001224CD">
        <w:rPr>
          <w:sz w:val="24"/>
          <w:szCs w:val="24"/>
        </w:rPr>
        <w:t xml:space="preserve"> no qual é possível realizar a busca por autor, título e/ou palavra-chave. Es</w:t>
      </w:r>
      <w:r w:rsidRPr="001224CD">
        <w:rPr>
          <w:sz w:val="24"/>
          <w:szCs w:val="24"/>
        </w:rPr>
        <w:t>s</w:t>
      </w:r>
      <w:r w:rsidR="002C12C0" w:rsidRPr="001224CD">
        <w:rPr>
          <w:sz w:val="24"/>
          <w:szCs w:val="24"/>
        </w:rPr>
        <w:t>a base de dados foi escolhida por integrar a totalidade da produção nas áreas de Psicologia e de Educação indexada no país.</w:t>
      </w:r>
    </w:p>
    <w:p w14:paraId="2240CC15" w14:textId="62CE4936" w:rsidR="002C12C0" w:rsidRPr="001224CD" w:rsidRDefault="002C12C0" w:rsidP="002C12C0">
      <w:pPr>
        <w:spacing w:after="0" w:line="360" w:lineRule="auto"/>
        <w:ind w:firstLine="709"/>
        <w:jc w:val="both"/>
        <w:rPr>
          <w:sz w:val="24"/>
          <w:szCs w:val="24"/>
        </w:rPr>
      </w:pPr>
      <w:r w:rsidRPr="001224CD">
        <w:rPr>
          <w:sz w:val="24"/>
          <w:szCs w:val="24"/>
          <w:lang w:eastAsia="pt-BR"/>
        </w:rPr>
        <w:t xml:space="preserve">Posteriormente à escolha do </w:t>
      </w:r>
      <w:r w:rsidRPr="001224CD">
        <w:rPr>
          <w:i/>
          <w:iCs/>
          <w:sz w:val="24"/>
          <w:szCs w:val="24"/>
          <w:lang w:eastAsia="pt-BR"/>
        </w:rPr>
        <w:t>site</w:t>
      </w:r>
      <w:r w:rsidRPr="001224CD">
        <w:rPr>
          <w:sz w:val="24"/>
          <w:szCs w:val="24"/>
          <w:lang w:eastAsia="pt-BR"/>
        </w:rPr>
        <w:t xml:space="preserve"> de pesquisa, procedeu-se à coleta de dados, utilizando para a busca por título os seguintes descritores: crenças de auto</w:t>
      </w:r>
      <w:r w:rsidR="00017F6A" w:rsidRPr="001224CD">
        <w:rPr>
          <w:sz w:val="24"/>
          <w:szCs w:val="24"/>
          <w:lang w:eastAsia="pt-BR"/>
        </w:rPr>
        <w:t>-</w:t>
      </w:r>
      <w:r w:rsidRPr="001224CD">
        <w:rPr>
          <w:sz w:val="24"/>
          <w:szCs w:val="24"/>
          <w:lang w:eastAsia="pt-BR"/>
        </w:rPr>
        <w:t xml:space="preserve">eficácia, crenças de auto eficácia, </w:t>
      </w:r>
      <w:r w:rsidRPr="001224CD">
        <w:rPr>
          <w:sz w:val="24"/>
          <w:szCs w:val="24"/>
        </w:rPr>
        <w:t xml:space="preserve">auto-eficácia, autoeficácia. Vale esclarecer que foram utilizadas as palavras crenças de autoeficácia com e sem hífen, pois os dois termos são utilizados nas pesquisas nessa temática. </w:t>
      </w:r>
    </w:p>
    <w:p w14:paraId="2AE2104E" w14:textId="497D14FD" w:rsidR="002C12C0" w:rsidRPr="001224CD" w:rsidRDefault="002C12C0" w:rsidP="002C12C0">
      <w:pPr>
        <w:spacing w:after="0" w:line="360" w:lineRule="auto"/>
        <w:ind w:firstLine="709"/>
        <w:jc w:val="both"/>
        <w:rPr>
          <w:sz w:val="24"/>
          <w:szCs w:val="24"/>
        </w:rPr>
      </w:pPr>
      <w:r w:rsidRPr="001224CD">
        <w:rPr>
          <w:sz w:val="24"/>
          <w:szCs w:val="24"/>
          <w:lang w:eastAsia="pt-BR"/>
        </w:rPr>
        <w:t xml:space="preserve">A partir dos descritores, </w:t>
      </w:r>
      <w:r w:rsidRPr="001224CD">
        <w:rPr>
          <w:sz w:val="24"/>
          <w:szCs w:val="24"/>
        </w:rPr>
        <w:t>pesquis</w:t>
      </w:r>
      <w:r w:rsidR="00017F6A" w:rsidRPr="001224CD">
        <w:rPr>
          <w:sz w:val="24"/>
          <w:szCs w:val="24"/>
        </w:rPr>
        <w:t>aram</w:t>
      </w:r>
      <w:r w:rsidRPr="001224CD">
        <w:rPr>
          <w:sz w:val="24"/>
          <w:szCs w:val="24"/>
        </w:rPr>
        <w:t xml:space="preserve">-se as publicações de 2007 a 2017, um ano de cada vez. </w:t>
      </w:r>
      <w:r w:rsidRPr="001224CD">
        <w:rPr>
          <w:sz w:val="24"/>
          <w:szCs w:val="24"/>
          <w:shd w:val="clear" w:color="auto" w:fill="FFFFFF"/>
        </w:rPr>
        <w:t>Após a coleta das dissertações e</w:t>
      </w:r>
      <w:r w:rsidR="00017F6A" w:rsidRPr="001224CD">
        <w:rPr>
          <w:sz w:val="24"/>
          <w:szCs w:val="24"/>
          <w:shd w:val="clear" w:color="auto" w:fill="FFFFFF"/>
        </w:rPr>
        <w:t xml:space="preserve"> das</w:t>
      </w:r>
      <w:r w:rsidRPr="001224CD">
        <w:rPr>
          <w:sz w:val="24"/>
          <w:szCs w:val="24"/>
          <w:shd w:val="clear" w:color="auto" w:fill="FFFFFF"/>
        </w:rPr>
        <w:t xml:space="preserve"> teses de cada ano, procedeu-se, no próprio </w:t>
      </w:r>
      <w:r w:rsidRPr="001224CD">
        <w:rPr>
          <w:i/>
          <w:iCs/>
          <w:sz w:val="24"/>
          <w:szCs w:val="24"/>
          <w:shd w:val="clear" w:color="auto" w:fill="FFFFFF"/>
        </w:rPr>
        <w:t>site</w:t>
      </w:r>
      <w:r w:rsidRPr="001224CD">
        <w:rPr>
          <w:sz w:val="24"/>
          <w:szCs w:val="24"/>
          <w:shd w:val="clear" w:color="auto" w:fill="FFFFFF"/>
        </w:rPr>
        <w:t xml:space="preserve">, </w:t>
      </w:r>
      <w:r w:rsidRPr="001224CD">
        <w:rPr>
          <w:sz w:val="24"/>
          <w:szCs w:val="24"/>
          <w:shd w:val="clear" w:color="auto" w:fill="FFFFFF"/>
        </w:rPr>
        <w:lastRenderedPageBreak/>
        <w:t>às seguintes etapas: leitura do título do trabalho e das palavras-chave, caso contivessem algum dos descritores no título e/ou nas palavras</w:t>
      </w:r>
      <w:r w:rsidR="00017F6A" w:rsidRPr="001224CD">
        <w:rPr>
          <w:sz w:val="24"/>
          <w:szCs w:val="24"/>
          <w:shd w:val="clear" w:color="auto" w:fill="FFFFFF"/>
        </w:rPr>
        <w:t>-</w:t>
      </w:r>
      <w:r w:rsidRPr="001224CD">
        <w:rPr>
          <w:sz w:val="24"/>
          <w:szCs w:val="24"/>
          <w:shd w:val="clear" w:color="auto" w:fill="FFFFFF"/>
        </w:rPr>
        <w:t xml:space="preserve">chave, o trabalho atendia ao primeiro critério de inclusão. Caso surgisse dúvida, procedia-se à leitura do resumo do trabalho, a fim de verificar a presença ou a ausência do </w:t>
      </w:r>
      <w:r w:rsidRPr="001224CD">
        <w:rPr>
          <w:rFonts w:eastAsia="Times New Roman"/>
          <w:sz w:val="24"/>
          <w:szCs w:val="24"/>
          <w:lang w:eastAsia="pt-BR"/>
        </w:rPr>
        <w:t>arcabouço teórico da Teoria Social Cognitiva de Bandura. Os trabalhos que atendiam a</w:t>
      </w:r>
      <w:r w:rsidRPr="001224CD">
        <w:rPr>
          <w:sz w:val="24"/>
          <w:szCs w:val="24"/>
          <w:shd w:val="clear" w:color="auto" w:fill="FFFFFF"/>
        </w:rPr>
        <w:t xml:space="preserve">os critérios de inclusão eram baixados e organizados em pastas para uso nos estudos quantitativos e qualitativos. Quando alguma pesquisa não estava à disposição </w:t>
      </w:r>
      <w:r w:rsidRPr="001224CD">
        <w:rPr>
          <w:sz w:val="24"/>
          <w:szCs w:val="24"/>
        </w:rPr>
        <w:t xml:space="preserve">para </w:t>
      </w:r>
      <w:r w:rsidRPr="001224CD">
        <w:rPr>
          <w:i/>
          <w:iCs/>
          <w:sz w:val="24"/>
          <w:szCs w:val="24"/>
        </w:rPr>
        <w:t>download</w:t>
      </w:r>
      <w:r w:rsidRPr="001224CD">
        <w:rPr>
          <w:sz w:val="24"/>
          <w:szCs w:val="24"/>
        </w:rPr>
        <w:t xml:space="preserve"> no </w:t>
      </w:r>
      <w:r w:rsidRPr="001224CD">
        <w:rPr>
          <w:i/>
          <w:iCs/>
          <w:sz w:val="24"/>
          <w:szCs w:val="24"/>
        </w:rPr>
        <w:t>site</w:t>
      </w:r>
      <w:r w:rsidRPr="001224CD">
        <w:rPr>
          <w:sz w:val="24"/>
          <w:szCs w:val="24"/>
        </w:rPr>
        <w:t xml:space="preserve"> da Capes, utilizava-se o Google Acadêmico ou o repositório da biblioteca digital da própria Universidade. A coleta de dados foi realizada nos meses de maio a julho de 2018. </w:t>
      </w:r>
    </w:p>
    <w:p w14:paraId="3D984F89" w14:textId="02C374CE" w:rsidR="002C12C0" w:rsidRPr="001224CD" w:rsidRDefault="002C12C0" w:rsidP="002C12C0">
      <w:pPr>
        <w:spacing w:after="0" w:line="360" w:lineRule="auto"/>
        <w:ind w:firstLine="709"/>
        <w:jc w:val="both"/>
        <w:rPr>
          <w:rFonts w:eastAsia="Times New Roman"/>
          <w:sz w:val="24"/>
          <w:szCs w:val="24"/>
          <w:lang w:eastAsia="pt-BR"/>
        </w:rPr>
      </w:pPr>
      <w:r w:rsidRPr="001224CD">
        <w:rPr>
          <w:sz w:val="24"/>
          <w:szCs w:val="24"/>
        </w:rPr>
        <w:t xml:space="preserve">Para a expressão </w:t>
      </w:r>
      <w:r w:rsidRPr="001224CD">
        <w:rPr>
          <w:i/>
          <w:iCs/>
          <w:sz w:val="24"/>
          <w:szCs w:val="24"/>
        </w:rPr>
        <w:t>crenças de auto-eficácia</w:t>
      </w:r>
      <w:r w:rsidRPr="001224CD">
        <w:rPr>
          <w:sz w:val="24"/>
          <w:szCs w:val="24"/>
        </w:rPr>
        <w:t>, com hífen, surgiram 1</w:t>
      </w:r>
      <w:r w:rsidR="00017F6A" w:rsidRPr="001224CD">
        <w:rPr>
          <w:sz w:val="24"/>
          <w:szCs w:val="24"/>
        </w:rPr>
        <w:t>.</w:t>
      </w:r>
      <w:r w:rsidRPr="001224CD">
        <w:rPr>
          <w:sz w:val="24"/>
          <w:szCs w:val="24"/>
        </w:rPr>
        <w:t>069</w:t>
      </w:r>
      <w:r w:rsidR="00017F6A" w:rsidRPr="001224CD">
        <w:rPr>
          <w:sz w:val="24"/>
          <w:szCs w:val="24"/>
        </w:rPr>
        <w:t>.</w:t>
      </w:r>
      <w:r w:rsidRPr="001224CD">
        <w:rPr>
          <w:sz w:val="24"/>
          <w:szCs w:val="24"/>
        </w:rPr>
        <w:t xml:space="preserve">213 teses e dissertações. Para </w:t>
      </w:r>
      <w:r w:rsidRPr="001224CD">
        <w:rPr>
          <w:i/>
          <w:iCs/>
          <w:sz w:val="24"/>
          <w:szCs w:val="24"/>
        </w:rPr>
        <w:t>crenças de autoeficácia</w:t>
      </w:r>
      <w:r w:rsidRPr="001224CD">
        <w:rPr>
          <w:iCs/>
          <w:sz w:val="24"/>
          <w:szCs w:val="24"/>
        </w:rPr>
        <w:t>,</w:t>
      </w:r>
      <w:r w:rsidRPr="001224CD">
        <w:rPr>
          <w:sz w:val="24"/>
          <w:szCs w:val="24"/>
        </w:rPr>
        <w:t xml:space="preserve"> sem hífen, surgiram 1</w:t>
      </w:r>
      <w:r w:rsidR="00017F6A" w:rsidRPr="001224CD">
        <w:rPr>
          <w:sz w:val="24"/>
          <w:szCs w:val="24"/>
        </w:rPr>
        <w:t>.</w:t>
      </w:r>
      <w:r w:rsidRPr="001224CD">
        <w:rPr>
          <w:sz w:val="24"/>
          <w:szCs w:val="24"/>
        </w:rPr>
        <w:t>069</w:t>
      </w:r>
      <w:r w:rsidR="00017F6A" w:rsidRPr="001224CD">
        <w:rPr>
          <w:sz w:val="24"/>
          <w:szCs w:val="24"/>
        </w:rPr>
        <w:t>.</w:t>
      </w:r>
      <w:r w:rsidRPr="001224CD">
        <w:rPr>
          <w:sz w:val="24"/>
          <w:szCs w:val="24"/>
        </w:rPr>
        <w:t xml:space="preserve">210 resultados. Para o termo </w:t>
      </w:r>
      <w:r w:rsidRPr="001224CD">
        <w:rPr>
          <w:i/>
          <w:iCs/>
          <w:sz w:val="24"/>
          <w:szCs w:val="24"/>
        </w:rPr>
        <w:t>autoeficácia</w:t>
      </w:r>
      <w:r w:rsidRPr="001224CD">
        <w:rPr>
          <w:sz w:val="24"/>
          <w:szCs w:val="24"/>
        </w:rPr>
        <w:t xml:space="preserve"> </w:t>
      </w:r>
      <w:r w:rsidRPr="001224CD">
        <w:rPr>
          <w:iCs/>
          <w:sz w:val="24"/>
          <w:szCs w:val="24"/>
        </w:rPr>
        <w:t>sem e com hífen</w:t>
      </w:r>
      <w:r w:rsidRPr="001224CD">
        <w:rPr>
          <w:sz w:val="24"/>
          <w:szCs w:val="24"/>
        </w:rPr>
        <w:t xml:space="preserve"> surgiram 464 e 48</w:t>
      </w:r>
      <w:r w:rsidR="00017F6A" w:rsidRPr="001224CD">
        <w:rPr>
          <w:sz w:val="24"/>
          <w:szCs w:val="24"/>
        </w:rPr>
        <w:t>.</w:t>
      </w:r>
      <w:r w:rsidRPr="001224CD">
        <w:rPr>
          <w:sz w:val="24"/>
          <w:szCs w:val="24"/>
        </w:rPr>
        <w:t xml:space="preserve">142 resultados, respectivamente. A partir dos trabalhos exibidos em cada ano, </w:t>
      </w:r>
      <w:r w:rsidRPr="001224CD">
        <w:rPr>
          <w:rFonts w:eastAsia="Times New Roman"/>
          <w:sz w:val="24"/>
          <w:szCs w:val="24"/>
          <w:lang w:eastAsia="pt-BR"/>
        </w:rPr>
        <w:t xml:space="preserve">aplicou-se o filtro grande área de conhecimento Ciências Humanas e surgiram 169 trabalhos de pesquisa. </w:t>
      </w:r>
    </w:p>
    <w:p w14:paraId="17301463" w14:textId="1144DB44" w:rsidR="002C12C0" w:rsidRPr="001224CD" w:rsidRDefault="002C12C0" w:rsidP="002C12C0">
      <w:pPr>
        <w:spacing w:after="0" w:line="360" w:lineRule="auto"/>
        <w:ind w:firstLine="709"/>
        <w:jc w:val="both"/>
        <w:rPr>
          <w:rFonts w:eastAsia="Times New Roman"/>
          <w:sz w:val="24"/>
          <w:szCs w:val="24"/>
          <w:highlight w:val="yellow"/>
          <w:lang w:eastAsia="pt-BR"/>
        </w:rPr>
      </w:pPr>
      <w:r w:rsidRPr="001224CD">
        <w:rPr>
          <w:rFonts w:eastAsia="Times New Roman"/>
          <w:sz w:val="24"/>
          <w:szCs w:val="24"/>
          <w:lang w:eastAsia="pt-BR"/>
        </w:rPr>
        <w:t>Após a coleta e a seleção preliminar das pesquisas, procedeu-se à leitura e à análise quantitativa e qualitativa dos dados. Vale esclarecer que as etapas da coleta e</w:t>
      </w:r>
      <w:r w:rsidR="001224CD" w:rsidRPr="001224CD">
        <w:rPr>
          <w:rFonts w:eastAsia="Times New Roman"/>
          <w:sz w:val="24"/>
          <w:szCs w:val="24"/>
          <w:lang w:eastAsia="pt-BR"/>
        </w:rPr>
        <w:t xml:space="preserve"> da</w:t>
      </w:r>
      <w:r w:rsidRPr="001224CD">
        <w:rPr>
          <w:rFonts w:eastAsia="Times New Roman"/>
          <w:sz w:val="24"/>
          <w:szCs w:val="24"/>
          <w:lang w:eastAsia="pt-BR"/>
        </w:rPr>
        <w:t xml:space="preserve"> seleção dos estudos presentes </w:t>
      </w:r>
      <w:r w:rsidRPr="001224CD">
        <w:rPr>
          <w:sz w:val="24"/>
          <w:szCs w:val="24"/>
        </w:rPr>
        <w:t>no Catálogo de Teses e Dissertações da Capes</w:t>
      </w:r>
      <w:r w:rsidRPr="001224CD">
        <w:rPr>
          <w:rFonts w:eastAsia="Times New Roman"/>
          <w:sz w:val="24"/>
          <w:szCs w:val="24"/>
          <w:lang w:eastAsia="pt-BR"/>
        </w:rPr>
        <w:t xml:space="preserve"> foram repetidas durante três semanas e chegou-se ao final com 104 trabalhos coletados. Mediante o procedimento recursivo, incluiu-se mais quatro trabalhos, ficando um total de 108 investigações; a leitura e a análise das investigações resultaram em 92 pesquisas selecionadas.</w:t>
      </w:r>
      <w:r w:rsidRPr="001224CD">
        <w:rPr>
          <w:rFonts w:eastAsia="Times New Roman"/>
          <w:sz w:val="24"/>
          <w:szCs w:val="24"/>
          <w:highlight w:val="yellow"/>
          <w:lang w:eastAsia="pt-BR"/>
        </w:rPr>
        <w:t xml:space="preserve"> </w:t>
      </w:r>
    </w:p>
    <w:p w14:paraId="2A8AD6BC" w14:textId="77777777" w:rsidR="002C12C0" w:rsidRDefault="002C12C0" w:rsidP="002C12C0">
      <w:pPr>
        <w:spacing w:after="0" w:line="360" w:lineRule="auto"/>
        <w:ind w:firstLine="709"/>
        <w:jc w:val="both"/>
        <w:rPr>
          <w:rFonts w:eastAsia="Times New Roman"/>
          <w:sz w:val="24"/>
          <w:szCs w:val="24"/>
          <w:lang w:eastAsia="pt-BR"/>
        </w:rPr>
      </w:pPr>
    </w:p>
    <w:p w14:paraId="2B5CA9B0" w14:textId="77777777" w:rsidR="002C12C0" w:rsidRPr="00017F6A" w:rsidRDefault="002C12C0" w:rsidP="002C12C0">
      <w:pPr>
        <w:pStyle w:val="PargrafodaLista"/>
        <w:numPr>
          <w:ilvl w:val="1"/>
          <w:numId w:val="25"/>
        </w:numPr>
        <w:spacing w:after="0" w:line="360" w:lineRule="auto"/>
        <w:jc w:val="both"/>
        <w:rPr>
          <w:rFonts w:ascii="Times New Roman" w:hAnsi="Times New Roman" w:cs="Times New Roman"/>
          <w:bCs/>
          <w:sz w:val="24"/>
          <w:szCs w:val="24"/>
        </w:rPr>
      </w:pPr>
      <w:r w:rsidRPr="00017F6A">
        <w:rPr>
          <w:rFonts w:ascii="Times New Roman" w:hAnsi="Times New Roman" w:cs="Times New Roman"/>
          <w:bCs/>
          <w:sz w:val="24"/>
          <w:szCs w:val="24"/>
        </w:rPr>
        <w:t xml:space="preserve">Critérios de inclusão, exclusão e </w:t>
      </w:r>
      <w:r w:rsidRPr="00017F6A">
        <w:rPr>
          <w:rFonts w:ascii="Times New Roman" w:hAnsi="Times New Roman" w:cs="Times New Roman"/>
          <w:bCs/>
          <w:sz w:val="24"/>
          <w:szCs w:val="24"/>
          <w:lang w:eastAsia="pt-BR"/>
        </w:rPr>
        <w:t xml:space="preserve">validade metodológica </w:t>
      </w:r>
      <w:r w:rsidRPr="00017F6A">
        <w:rPr>
          <w:rFonts w:ascii="Times New Roman" w:hAnsi="Times New Roman" w:cs="Times New Roman"/>
          <w:bCs/>
          <w:sz w:val="24"/>
          <w:szCs w:val="24"/>
        </w:rPr>
        <w:t xml:space="preserve"> </w:t>
      </w:r>
    </w:p>
    <w:p w14:paraId="1CE6920B" w14:textId="072B4288" w:rsidR="002C12C0" w:rsidRDefault="002C12C0" w:rsidP="002C12C0">
      <w:pPr>
        <w:spacing w:after="0" w:line="360" w:lineRule="auto"/>
        <w:ind w:firstLine="709"/>
        <w:jc w:val="both"/>
      </w:pPr>
      <w:r>
        <w:rPr>
          <w:sz w:val="24"/>
          <w:szCs w:val="24"/>
        </w:rPr>
        <w:t>Os critérios de inclusão basearam</w:t>
      </w:r>
      <w:r w:rsidR="00017F6A">
        <w:rPr>
          <w:sz w:val="24"/>
          <w:szCs w:val="24"/>
        </w:rPr>
        <w:t xml:space="preserve">-se </w:t>
      </w:r>
      <w:r>
        <w:rPr>
          <w:sz w:val="24"/>
          <w:szCs w:val="24"/>
        </w:rPr>
        <w:t xml:space="preserve">em pesquisas que utilizassem o arcabouço teórico da Teoria Social Cognitiva de Albert Bandura, especificamente as crenças de autoeficácia na área de educação, publicadas no Catálogo de Teses e Dissertações da Capes, entre os anos de 2007 e 2017. A definição operacional de Educação baseou-se em critérios que envolviam investigações desenvolvidas junto a alunos, docentes, coordenadores e pais. Nesse sentido, a Educação podia referir-se a qualquer nível: </w:t>
      </w:r>
      <w:r w:rsidR="00017F6A">
        <w:rPr>
          <w:sz w:val="24"/>
          <w:szCs w:val="24"/>
        </w:rPr>
        <w:t xml:space="preserve">Educação Infantil, Ensino Fundamental </w:t>
      </w:r>
      <w:r>
        <w:rPr>
          <w:sz w:val="24"/>
          <w:szCs w:val="24"/>
        </w:rPr>
        <w:t>e</w:t>
      </w:r>
      <w:r w:rsidR="00017F6A">
        <w:rPr>
          <w:sz w:val="24"/>
          <w:szCs w:val="24"/>
        </w:rPr>
        <w:t xml:space="preserve"> Ensino</w:t>
      </w:r>
      <w:r>
        <w:rPr>
          <w:sz w:val="24"/>
          <w:szCs w:val="24"/>
        </w:rPr>
        <w:t xml:space="preserve"> </w:t>
      </w:r>
      <w:r w:rsidR="00017F6A">
        <w:rPr>
          <w:sz w:val="24"/>
          <w:szCs w:val="24"/>
        </w:rPr>
        <w:t>M</w:t>
      </w:r>
      <w:r>
        <w:rPr>
          <w:sz w:val="24"/>
          <w:szCs w:val="24"/>
        </w:rPr>
        <w:t xml:space="preserve">édio, EJA, </w:t>
      </w:r>
      <w:r w:rsidR="00017F6A">
        <w:rPr>
          <w:sz w:val="24"/>
          <w:szCs w:val="24"/>
        </w:rPr>
        <w:t xml:space="preserve">Ensino Superior </w:t>
      </w:r>
      <w:r>
        <w:rPr>
          <w:sz w:val="24"/>
          <w:szCs w:val="24"/>
        </w:rPr>
        <w:t>(</w:t>
      </w:r>
      <w:r w:rsidR="00017F6A">
        <w:rPr>
          <w:sz w:val="24"/>
          <w:szCs w:val="24"/>
        </w:rPr>
        <w:t>G</w:t>
      </w:r>
      <w:r>
        <w:rPr>
          <w:sz w:val="24"/>
          <w:szCs w:val="24"/>
        </w:rPr>
        <w:t xml:space="preserve">raduação e </w:t>
      </w:r>
      <w:r w:rsidR="00017F6A">
        <w:rPr>
          <w:sz w:val="24"/>
          <w:szCs w:val="24"/>
        </w:rPr>
        <w:t>Pós-Graduação</w:t>
      </w:r>
      <w:r>
        <w:rPr>
          <w:sz w:val="24"/>
          <w:szCs w:val="24"/>
        </w:rPr>
        <w:t>), educação familiar, especial e na área organizacional.</w:t>
      </w:r>
      <w:r>
        <w:rPr>
          <w:color w:val="00B050"/>
          <w:sz w:val="24"/>
          <w:szCs w:val="24"/>
        </w:rPr>
        <w:t xml:space="preserve"> </w:t>
      </w:r>
    </w:p>
    <w:p w14:paraId="547D5FF3" w14:textId="44444AB5" w:rsidR="002C12C0" w:rsidRDefault="002C12C0" w:rsidP="002C12C0">
      <w:pPr>
        <w:spacing w:after="0" w:line="360" w:lineRule="auto"/>
        <w:ind w:firstLine="709"/>
        <w:jc w:val="both"/>
        <w:rPr>
          <w:sz w:val="24"/>
          <w:szCs w:val="24"/>
        </w:rPr>
      </w:pPr>
      <w:r>
        <w:rPr>
          <w:sz w:val="24"/>
          <w:szCs w:val="24"/>
          <w:shd w:val="clear" w:color="auto" w:fill="FFFFFF"/>
        </w:rPr>
        <w:t xml:space="preserve">Foram excluídos documentos que estivessem apresentados em duplicata entre as bases, além daqueles cujo tema não contemplasse o objetivo proposto neste estudo, ou </w:t>
      </w:r>
      <w:r w:rsidR="00017F6A">
        <w:rPr>
          <w:sz w:val="24"/>
          <w:szCs w:val="24"/>
          <w:shd w:val="clear" w:color="auto" w:fill="FFFFFF"/>
        </w:rPr>
        <w:t xml:space="preserve">os </w:t>
      </w:r>
      <w:r>
        <w:rPr>
          <w:sz w:val="24"/>
          <w:szCs w:val="24"/>
          <w:shd w:val="clear" w:color="auto" w:fill="FFFFFF"/>
        </w:rPr>
        <w:t xml:space="preserve">que </w:t>
      </w:r>
      <w:r>
        <w:rPr>
          <w:sz w:val="24"/>
          <w:szCs w:val="24"/>
          <w:shd w:val="clear" w:color="auto" w:fill="FFFFFF"/>
        </w:rPr>
        <w:lastRenderedPageBreak/>
        <w:t xml:space="preserve">não estivessem disponíveis no meio digital. Também se excluiu teses e dissertações presentes no catálogo da Capes </w:t>
      </w:r>
      <w:r>
        <w:rPr>
          <w:sz w:val="24"/>
          <w:szCs w:val="24"/>
        </w:rPr>
        <w:t xml:space="preserve">anteriores ao ano de 2007 e posteriores a 2017. Como o foco do estudo eram pesquisas nacionais na área de educação, estudos internacionais, mesmo de autores brasileiros, e pesquisas com temas que não se relacionavam à educação, como estudos na área da saúde, técnicas desportivas e geriatria, dentre outras, foram descartados por fugirem ao escopo delimitado. Em síntese, </w:t>
      </w:r>
      <w:r w:rsidR="00017F6A">
        <w:rPr>
          <w:sz w:val="24"/>
          <w:szCs w:val="24"/>
        </w:rPr>
        <w:t>16</w:t>
      </w:r>
      <w:r w:rsidRPr="008421D1">
        <w:rPr>
          <w:sz w:val="24"/>
          <w:szCs w:val="24"/>
        </w:rPr>
        <w:t xml:space="preserve"> trabalhos foram excluídos, ficando a leitura final com 92 pesquisas. Os motivos </w:t>
      </w:r>
      <w:r>
        <w:rPr>
          <w:sz w:val="24"/>
          <w:szCs w:val="24"/>
        </w:rPr>
        <w:t xml:space="preserve">da exclusão </w:t>
      </w:r>
      <w:r w:rsidRPr="008421D1">
        <w:rPr>
          <w:sz w:val="24"/>
          <w:szCs w:val="24"/>
        </w:rPr>
        <w:t>foram: quatro estudos por não utilizar</w:t>
      </w:r>
      <w:r>
        <w:rPr>
          <w:sz w:val="24"/>
          <w:szCs w:val="24"/>
        </w:rPr>
        <w:t>em</w:t>
      </w:r>
      <w:r w:rsidRPr="008421D1">
        <w:rPr>
          <w:sz w:val="24"/>
          <w:szCs w:val="24"/>
        </w:rPr>
        <w:t xml:space="preserve"> o arcabouço teórico de Bandura</w:t>
      </w:r>
      <w:r>
        <w:rPr>
          <w:sz w:val="24"/>
          <w:szCs w:val="24"/>
        </w:rPr>
        <w:t>;</w:t>
      </w:r>
      <w:r w:rsidRPr="008421D1">
        <w:rPr>
          <w:sz w:val="24"/>
          <w:szCs w:val="24"/>
        </w:rPr>
        <w:t xml:space="preserve"> três por objetivarem validação e análise psicométrica de escalas de autoeficácia</w:t>
      </w:r>
      <w:r>
        <w:rPr>
          <w:sz w:val="24"/>
          <w:szCs w:val="24"/>
        </w:rPr>
        <w:t>;</w:t>
      </w:r>
      <w:r w:rsidRPr="008421D1">
        <w:rPr>
          <w:sz w:val="24"/>
          <w:szCs w:val="24"/>
        </w:rPr>
        <w:t xml:space="preserve"> um por possuir entrada duplicada</w:t>
      </w:r>
      <w:r>
        <w:rPr>
          <w:sz w:val="24"/>
          <w:szCs w:val="24"/>
        </w:rPr>
        <w:t>:</w:t>
      </w:r>
      <w:r w:rsidRPr="008421D1">
        <w:rPr>
          <w:sz w:val="24"/>
          <w:szCs w:val="24"/>
        </w:rPr>
        <w:t xml:space="preserve"> quatro por falta de acesso ao trabalho na íntegra</w:t>
      </w:r>
      <w:r>
        <w:rPr>
          <w:sz w:val="24"/>
          <w:szCs w:val="24"/>
        </w:rPr>
        <w:t>;</w:t>
      </w:r>
      <w:r w:rsidRPr="008421D1">
        <w:rPr>
          <w:sz w:val="24"/>
          <w:szCs w:val="24"/>
        </w:rPr>
        <w:t xml:space="preserve"> </w:t>
      </w:r>
      <w:r>
        <w:rPr>
          <w:sz w:val="24"/>
          <w:szCs w:val="24"/>
        </w:rPr>
        <w:t xml:space="preserve">e </w:t>
      </w:r>
      <w:r w:rsidRPr="008421D1">
        <w:rPr>
          <w:sz w:val="24"/>
          <w:szCs w:val="24"/>
        </w:rPr>
        <w:t xml:space="preserve">quatro pela falta de clareza dos resultados alcançados, não sendo possível tirar conclusões úteis para a presente pesquisa. </w:t>
      </w:r>
    </w:p>
    <w:p w14:paraId="68D6D0B4" w14:textId="77777777" w:rsidR="002C12C0" w:rsidRPr="008421D1" w:rsidRDefault="002C12C0" w:rsidP="002C12C0">
      <w:pPr>
        <w:spacing w:after="0" w:line="360" w:lineRule="auto"/>
        <w:ind w:firstLine="709"/>
        <w:jc w:val="both"/>
        <w:rPr>
          <w:sz w:val="24"/>
          <w:szCs w:val="24"/>
        </w:rPr>
      </w:pPr>
    </w:p>
    <w:p w14:paraId="14118B05" w14:textId="77777777" w:rsidR="002C12C0" w:rsidRPr="00017F6A" w:rsidRDefault="002C12C0" w:rsidP="002C12C0">
      <w:pPr>
        <w:tabs>
          <w:tab w:val="left" w:pos="426"/>
        </w:tabs>
        <w:spacing w:after="0" w:line="360" w:lineRule="auto"/>
        <w:jc w:val="both"/>
        <w:rPr>
          <w:bCs/>
          <w:sz w:val="24"/>
          <w:szCs w:val="24"/>
          <w:highlight w:val="white"/>
        </w:rPr>
      </w:pPr>
      <w:r w:rsidRPr="00017F6A">
        <w:rPr>
          <w:bCs/>
          <w:sz w:val="24"/>
          <w:szCs w:val="24"/>
          <w:shd w:val="clear" w:color="auto" w:fill="FFFFFF"/>
        </w:rPr>
        <w:t>3.4 Procedimentos para análise de dados</w:t>
      </w:r>
    </w:p>
    <w:p w14:paraId="000EFB70" w14:textId="2D2F4D89" w:rsidR="002C12C0" w:rsidRDefault="002C12C0" w:rsidP="002C12C0">
      <w:pPr>
        <w:pStyle w:val="Default"/>
        <w:spacing w:line="360" w:lineRule="auto"/>
        <w:ind w:firstLine="709"/>
        <w:jc w:val="both"/>
      </w:pPr>
      <w:r>
        <w:rPr>
          <w:rFonts w:ascii="Times New Roman" w:hAnsi="Times New Roman" w:cs="Times New Roman"/>
          <w:color w:val="auto"/>
        </w:rPr>
        <w:t>Mediante a coleta e a análise de dados, os resumos foram classificados de acordo com as seguintes categorias: teses e dissertações, ano de defesa (variando de 2007 a 2017), Universidade, região geográfica, segmentos, modalidades ou níveis de escolaridade pesquisados (</w:t>
      </w:r>
      <w:r w:rsidR="00017F6A">
        <w:rPr>
          <w:rFonts w:ascii="Times New Roman" w:hAnsi="Times New Roman" w:cs="Times New Roman"/>
          <w:color w:val="auto"/>
        </w:rPr>
        <w:t>E</w:t>
      </w:r>
      <w:r>
        <w:rPr>
          <w:rFonts w:ascii="Times New Roman" w:hAnsi="Times New Roman" w:cs="Times New Roman"/>
          <w:color w:val="auto"/>
        </w:rPr>
        <w:t>d</w:t>
      </w:r>
      <w:r w:rsidR="00017F6A">
        <w:rPr>
          <w:rFonts w:ascii="Times New Roman" w:hAnsi="Times New Roman" w:cs="Times New Roman"/>
          <w:color w:val="auto"/>
        </w:rPr>
        <w:t>ucação Infantil, Ensino Fundamental, Ensino Médio, Ensino Superior, Educação de Jovens e Adulto</w:t>
      </w:r>
      <w:r>
        <w:rPr>
          <w:rFonts w:ascii="Times New Roman" w:hAnsi="Times New Roman" w:cs="Times New Roman"/>
          <w:color w:val="auto"/>
        </w:rPr>
        <w:t xml:space="preserve">s, </w:t>
      </w:r>
      <w:r w:rsidR="00017F6A">
        <w:rPr>
          <w:rFonts w:ascii="Times New Roman" w:hAnsi="Times New Roman" w:cs="Times New Roman"/>
          <w:color w:val="auto"/>
        </w:rPr>
        <w:t>Pós-Graduação</w:t>
      </w:r>
      <w:r>
        <w:rPr>
          <w:rFonts w:ascii="Times New Roman" w:hAnsi="Times New Roman" w:cs="Times New Roman"/>
          <w:color w:val="auto"/>
        </w:rPr>
        <w:t>),</w:t>
      </w:r>
      <w:r>
        <w:rPr>
          <w:rFonts w:ascii="Times New Roman" w:hAnsi="Times New Roman" w:cs="Times New Roman"/>
          <w:color w:val="00B050"/>
        </w:rPr>
        <w:t xml:space="preserve"> </w:t>
      </w:r>
      <w:r>
        <w:rPr>
          <w:rFonts w:ascii="Times New Roman" w:hAnsi="Times New Roman" w:cs="Times New Roman"/>
          <w:color w:val="auto"/>
        </w:rPr>
        <w:t>aspectos metodológicos, como abordagem de pesquisa (qualitativa, quantitativa, associação qualitativa/quantitativa), tipo de pesquisa (exploratória, descritiva, correlacional e experimental), e temas associados aos estudos sobre crenças de autoeficácia. A partir das leituras das investigações, f</w:t>
      </w:r>
      <w:r w:rsidR="00017F6A">
        <w:rPr>
          <w:rFonts w:ascii="Times New Roman" w:hAnsi="Times New Roman" w:cs="Times New Roman"/>
          <w:color w:val="auto"/>
        </w:rPr>
        <w:t>izeram</w:t>
      </w:r>
      <w:r>
        <w:rPr>
          <w:rFonts w:ascii="Times New Roman" w:hAnsi="Times New Roman" w:cs="Times New Roman"/>
          <w:color w:val="auto"/>
        </w:rPr>
        <w:t xml:space="preserve">-se também a análise e a síntese preliminar dos principais dados obtidos nas pesquisas na área da docência. </w:t>
      </w:r>
      <w:r>
        <w:rPr>
          <w:rFonts w:ascii="Times New Roman" w:hAnsi="Times New Roman" w:cs="Times New Roman"/>
          <w:color w:val="00B050"/>
        </w:rPr>
        <w:t xml:space="preserve"> </w:t>
      </w:r>
    </w:p>
    <w:p w14:paraId="59D0A924" w14:textId="77777777" w:rsidR="002C12C0" w:rsidRDefault="002C12C0" w:rsidP="002C12C0">
      <w:pPr>
        <w:pStyle w:val="Default"/>
        <w:spacing w:line="360" w:lineRule="auto"/>
        <w:ind w:firstLine="709"/>
        <w:jc w:val="both"/>
        <w:rPr>
          <w:rFonts w:ascii="Times New Roman" w:hAnsi="Times New Roman" w:cs="Times New Roman"/>
          <w:color w:val="00B050"/>
        </w:rPr>
      </w:pPr>
    </w:p>
    <w:p w14:paraId="4DF1D570" w14:textId="48509C8F" w:rsidR="002C12C0" w:rsidRPr="00017F6A" w:rsidRDefault="002C12C0" w:rsidP="00017F6A">
      <w:pPr>
        <w:pStyle w:val="PargrafodaLista"/>
        <w:numPr>
          <w:ilvl w:val="0"/>
          <w:numId w:val="25"/>
        </w:numPr>
        <w:tabs>
          <w:tab w:val="left" w:pos="284"/>
        </w:tabs>
        <w:spacing w:after="0" w:line="360" w:lineRule="auto"/>
        <w:ind w:left="0" w:firstLine="0"/>
        <w:jc w:val="both"/>
        <w:rPr>
          <w:rFonts w:ascii="Times New Roman" w:hAnsi="Times New Roman" w:cs="Times New Roman"/>
          <w:b/>
          <w:sz w:val="24"/>
          <w:szCs w:val="24"/>
        </w:rPr>
      </w:pPr>
      <w:r>
        <w:rPr>
          <w:rFonts w:ascii="Times New Roman" w:hAnsi="Times New Roman" w:cs="Times New Roman"/>
          <w:b/>
          <w:sz w:val="24"/>
          <w:szCs w:val="24"/>
        </w:rPr>
        <w:t>RESULTADOS – ANÁLISE QUANTITATIVA</w:t>
      </w:r>
    </w:p>
    <w:p w14:paraId="51961668" w14:textId="053E0CEB" w:rsidR="002C12C0" w:rsidRDefault="002C12C0" w:rsidP="000B38AA">
      <w:pPr>
        <w:spacing w:after="120" w:line="360" w:lineRule="auto"/>
        <w:ind w:firstLine="709"/>
        <w:jc w:val="both"/>
        <w:rPr>
          <w:sz w:val="24"/>
        </w:rPr>
      </w:pPr>
      <w:r>
        <w:rPr>
          <w:sz w:val="24"/>
        </w:rPr>
        <w:t xml:space="preserve">Dos 92 trabalhos selecionados, 62 são dissertações e 30 são teses. O </w:t>
      </w:r>
      <w:r w:rsidR="000B38AA">
        <w:rPr>
          <w:sz w:val="24"/>
        </w:rPr>
        <w:t>G</w:t>
      </w:r>
      <w:r>
        <w:rPr>
          <w:sz w:val="24"/>
        </w:rPr>
        <w:t xml:space="preserve">ráfico </w:t>
      </w:r>
      <w:r w:rsidR="000B38AA">
        <w:rPr>
          <w:sz w:val="24"/>
        </w:rPr>
        <w:t xml:space="preserve">1 </w:t>
      </w:r>
      <w:r>
        <w:rPr>
          <w:sz w:val="24"/>
        </w:rPr>
        <w:t>a seguir mostra esses números em porcentagem</w:t>
      </w:r>
      <w:r w:rsidR="000B38AA">
        <w:rPr>
          <w:sz w:val="24"/>
        </w:rPr>
        <w:t>, no período estudado, por universidade.</w:t>
      </w:r>
      <w:r>
        <w:rPr>
          <w:sz w:val="24"/>
        </w:rPr>
        <w:t xml:space="preserve"> A maioria dos trabalhos é composta por dissertações, representando 67% dos trabalhos selecionados no catálogo de teses e dissertações da Capes, sendo os restantes 33% representados pelas teses. Esses trabalhos foram apresentados em 33 universidades públicas e privadas. </w:t>
      </w:r>
    </w:p>
    <w:p w14:paraId="77413950" w14:textId="77777777" w:rsidR="002C12C0" w:rsidRDefault="002C12C0" w:rsidP="002C12C0">
      <w:pPr>
        <w:spacing w:after="120" w:line="360" w:lineRule="auto"/>
        <w:ind w:firstLine="709"/>
        <w:jc w:val="both"/>
        <w:rPr>
          <w:sz w:val="24"/>
        </w:rPr>
      </w:pPr>
    </w:p>
    <w:p w14:paraId="1C40B856" w14:textId="77777777" w:rsidR="002C12C0" w:rsidRDefault="002C12C0" w:rsidP="002C12C0">
      <w:pPr>
        <w:spacing w:after="120"/>
        <w:rPr>
          <w:sz w:val="24"/>
        </w:rPr>
      </w:pPr>
      <w:r>
        <w:rPr>
          <w:noProof/>
          <w:lang w:eastAsia="pt-BR"/>
        </w:rPr>
        <w:lastRenderedPageBreak/>
        <w:drawing>
          <wp:inline distT="0" distB="0" distL="0" distR="0" wp14:anchorId="53A6DDF4" wp14:editId="439DCE27">
            <wp:extent cx="4353560" cy="2778760"/>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9EC81E5" w14:textId="783B2C22" w:rsidR="002C12C0" w:rsidRDefault="002C12C0" w:rsidP="002C12C0">
      <w:pPr>
        <w:spacing w:after="0"/>
        <w:rPr>
          <w:sz w:val="20"/>
          <w:szCs w:val="20"/>
        </w:rPr>
      </w:pPr>
      <w:r w:rsidRPr="000B38AA">
        <w:rPr>
          <w:b/>
          <w:bCs/>
          <w:sz w:val="20"/>
          <w:szCs w:val="20"/>
        </w:rPr>
        <w:t>Gráfico 1</w:t>
      </w:r>
      <w:r w:rsidRPr="004D4D07">
        <w:rPr>
          <w:sz w:val="20"/>
          <w:szCs w:val="20"/>
        </w:rPr>
        <w:t xml:space="preserve"> – Total de dissertações e teses sobre Autoeficácia por universidade (2007-2017)</w:t>
      </w:r>
    </w:p>
    <w:p w14:paraId="1118FAB5" w14:textId="4E50E0E6" w:rsidR="000B38AA" w:rsidRDefault="000B38AA" w:rsidP="002C12C0">
      <w:pPr>
        <w:spacing w:after="0"/>
        <w:rPr>
          <w:sz w:val="20"/>
          <w:szCs w:val="20"/>
        </w:rPr>
      </w:pPr>
      <w:r>
        <w:rPr>
          <w:sz w:val="20"/>
          <w:szCs w:val="20"/>
        </w:rPr>
        <w:t>Fonte: As autoras.</w:t>
      </w:r>
    </w:p>
    <w:p w14:paraId="0140396A" w14:textId="77777777" w:rsidR="002C12C0" w:rsidRPr="004D4D07" w:rsidRDefault="002C12C0" w:rsidP="002C12C0">
      <w:pPr>
        <w:spacing w:after="0"/>
        <w:rPr>
          <w:sz w:val="20"/>
          <w:szCs w:val="20"/>
        </w:rPr>
      </w:pPr>
    </w:p>
    <w:p w14:paraId="17E73781" w14:textId="7E42334E" w:rsidR="002C12C0" w:rsidRDefault="002C12C0" w:rsidP="002C12C0">
      <w:pPr>
        <w:spacing w:after="0" w:line="360" w:lineRule="auto"/>
        <w:ind w:firstLine="709"/>
        <w:jc w:val="both"/>
      </w:pPr>
      <w:r w:rsidRPr="00562678">
        <w:rPr>
          <w:sz w:val="24"/>
          <w:szCs w:val="24"/>
        </w:rPr>
        <w:t xml:space="preserve">Destaca-se a </w:t>
      </w:r>
      <w:r w:rsidR="00562678" w:rsidRPr="00562678">
        <w:rPr>
          <w:sz w:val="24"/>
          <w:szCs w:val="24"/>
        </w:rPr>
        <w:t>Universidade Estadual de Campinas (UNICAMP</w:t>
      </w:r>
      <w:r w:rsidR="00562678">
        <w:rPr>
          <w:sz w:val="24"/>
          <w:szCs w:val="24"/>
        </w:rPr>
        <w:t>)</w:t>
      </w:r>
      <w:r w:rsidRPr="00562678">
        <w:rPr>
          <w:sz w:val="24"/>
          <w:szCs w:val="24"/>
        </w:rPr>
        <w:t xml:space="preserve"> com o maior número de trabalhos (26), sendo oito dissertações e 18 teses. Em seguida, tem-se a </w:t>
      </w:r>
      <w:r w:rsidR="00562678" w:rsidRPr="00562678">
        <w:rPr>
          <w:sz w:val="24"/>
          <w:szCs w:val="24"/>
          <w:shd w:val="clear" w:color="auto" w:fill="FFFFFF"/>
        </w:rPr>
        <w:t> Universidade Federal do Rio Grande do Sul</w:t>
      </w:r>
      <w:r w:rsidR="00562678" w:rsidRPr="00562678">
        <w:rPr>
          <w:sz w:val="24"/>
          <w:szCs w:val="24"/>
        </w:rPr>
        <w:t xml:space="preserve"> (</w:t>
      </w:r>
      <w:r w:rsidRPr="00562678">
        <w:rPr>
          <w:sz w:val="24"/>
          <w:szCs w:val="24"/>
        </w:rPr>
        <w:t>UFRGS</w:t>
      </w:r>
      <w:r w:rsidR="00562678" w:rsidRPr="00562678">
        <w:rPr>
          <w:sz w:val="24"/>
          <w:szCs w:val="24"/>
        </w:rPr>
        <w:t>)</w:t>
      </w:r>
      <w:r w:rsidRPr="00562678">
        <w:rPr>
          <w:sz w:val="24"/>
          <w:szCs w:val="24"/>
        </w:rPr>
        <w:t>, com sete dissertações e duas teses, totalizando nove trabalhos apresentados nes</w:t>
      </w:r>
      <w:r w:rsidR="000B38AA" w:rsidRPr="00562678">
        <w:rPr>
          <w:sz w:val="24"/>
          <w:szCs w:val="24"/>
        </w:rPr>
        <w:t>s</w:t>
      </w:r>
      <w:r w:rsidRPr="00562678">
        <w:rPr>
          <w:sz w:val="24"/>
          <w:szCs w:val="24"/>
        </w:rPr>
        <w:t xml:space="preserve">a instituição. Em termos quantitativos, na sequência, tem-se outras cinco universidades públicas: </w:t>
      </w:r>
      <w:r w:rsidR="00562678" w:rsidRPr="00562678">
        <w:rPr>
          <w:sz w:val="24"/>
          <w:szCs w:val="24"/>
          <w:shd w:val="clear" w:color="auto" w:fill="FFFFFF"/>
        </w:rPr>
        <w:t xml:space="preserve">Universidade Federal do Paraná - </w:t>
      </w:r>
      <w:r w:rsidR="00562678" w:rsidRPr="00562678">
        <w:rPr>
          <w:rStyle w:val="nfase"/>
          <w:i w:val="0"/>
          <w:iCs w:val="0"/>
          <w:sz w:val="24"/>
          <w:szCs w:val="24"/>
          <w:shd w:val="clear" w:color="auto" w:fill="FFFFFF"/>
        </w:rPr>
        <w:t>UFPR</w:t>
      </w:r>
      <w:r w:rsidRPr="00562678">
        <w:rPr>
          <w:sz w:val="24"/>
          <w:szCs w:val="24"/>
        </w:rPr>
        <w:t xml:space="preserve"> (oito trabalhos), </w:t>
      </w:r>
      <w:r w:rsidR="00562678" w:rsidRPr="00562678">
        <w:rPr>
          <w:sz w:val="24"/>
          <w:szCs w:val="24"/>
          <w:shd w:val="clear" w:color="auto" w:fill="FFFFFF"/>
        </w:rPr>
        <w:t> Universidade Estadual de Londrina</w:t>
      </w:r>
      <w:r w:rsidR="00562678" w:rsidRPr="00562678">
        <w:rPr>
          <w:sz w:val="24"/>
          <w:szCs w:val="24"/>
        </w:rPr>
        <w:t xml:space="preserve"> - </w:t>
      </w:r>
      <w:r w:rsidRPr="00562678">
        <w:rPr>
          <w:sz w:val="24"/>
          <w:szCs w:val="24"/>
        </w:rPr>
        <w:t xml:space="preserve">UEL (cinco trabalhos), </w:t>
      </w:r>
      <w:r w:rsidR="00562678" w:rsidRPr="00562678">
        <w:rPr>
          <w:sz w:val="24"/>
          <w:szCs w:val="24"/>
          <w:shd w:val="clear" w:color="auto" w:fill="FFFFFF"/>
        </w:rPr>
        <w:t>Universidade de São Paulo</w:t>
      </w:r>
      <w:r w:rsidR="00562678" w:rsidRPr="00562678">
        <w:rPr>
          <w:sz w:val="24"/>
          <w:szCs w:val="24"/>
        </w:rPr>
        <w:t xml:space="preserve"> - </w:t>
      </w:r>
      <w:r w:rsidRPr="00562678">
        <w:rPr>
          <w:sz w:val="24"/>
          <w:szCs w:val="24"/>
        </w:rPr>
        <w:t xml:space="preserve">USP (cinco trabalhos), </w:t>
      </w:r>
      <w:r w:rsidR="00562678" w:rsidRPr="00562678">
        <w:rPr>
          <w:sz w:val="24"/>
          <w:szCs w:val="24"/>
          <w:shd w:val="clear" w:color="auto" w:fill="FFFFFF"/>
        </w:rPr>
        <w:t>Universidade do Oeste Paulista</w:t>
      </w:r>
      <w:r w:rsidR="00562678" w:rsidRPr="00562678">
        <w:rPr>
          <w:sz w:val="24"/>
          <w:szCs w:val="24"/>
        </w:rPr>
        <w:t xml:space="preserve"> - </w:t>
      </w:r>
      <w:r w:rsidRPr="00562678">
        <w:rPr>
          <w:sz w:val="24"/>
          <w:szCs w:val="24"/>
        </w:rPr>
        <w:t>UNOESTE (quatro trabalhos) e</w:t>
      </w:r>
      <w:r w:rsidR="00562678" w:rsidRPr="00562678">
        <w:rPr>
          <w:sz w:val="24"/>
          <w:szCs w:val="24"/>
        </w:rPr>
        <w:t xml:space="preserve"> </w:t>
      </w:r>
      <w:r w:rsidR="00562678" w:rsidRPr="00562678">
        <w:rPr>
          <w:sz w:val="24"/>
          <w:szCs w:val="24"/>
          <w:shd w:val="clear" w:color="auto" w:fill="FFFFFF"/>
        </w:rPr>
        <w:t>Universidade Estadual Paulista “Júlio de Mesquita Filho” -</w:t>
      </w:r>
      <w:r w:rsidRPr="00562678">
        <w:rPr>
          <w:sz w:val="24"/>
          <w:szCs w:val="24"/>
        </w:rPr>
        <w:t xml:space="preserve"> UNESP (três trabalhos). Totalizando</w:t>
      </w:r>
      <w:r w:rsidRPr="00562678">
        <w:rPr>
          <w:sz w:val="24"/>
        </w:rPr>
        <w:t xml:space="preserve"> </w:t>
      </w:r>
      <w:r>
        <w:rPr>
          <w:sz w:val="24"/>
        </w:rPr>
        <w:t xml:space="preserve">as dissertações e </w:t>
      </w:r>
      <w:r w:rsidR="000B38AA">
        <w:rPr>
          <w:sz w:val="24"/>
        </w:rPr>
        <w:t xml:space="preserve">as </w:t>
      </w:r>
      <w:r>
        <w:rPr>
          <w:sz w:val="24"/>
        </w:rPr>
        <w:t>teses dessas sete universidades, tem-se 60 trabalhos, que representam 66% do total. As demais instituições apresentaram um ou dois trabalhos no período pesquisado. Esses resultados mostram a tendência para a pesquisa sobre crenças de autoeficácia em universidades públicas das regiões Sudeste (UNICAMP, USP e UNESP) e Sul (UFRGS, UFPR, UEL e UNOESTE). Apenas nessas sete universidades há o total de 44 trabalhos em universidades da Região Sudeste e 16 da Sul.</w:t>
      </w:r>
    </w:p>
    <w:p w14:paraId="1C4918D9" w14:textId="26E47461" w:rsidR="002C12C0" w:rsidRDefault="002C12C0" w:rsidP="002C12C0">
      <w:pPr>
        <w:spacing w:after="0" w:line="360" w:lineRule="auto"/>
        <w:ind w:firstLine="709"/>
        <w:jc w:val="both"/>
        <w:rPr>
          <w:sz w:val="24"/>
        </w:rPr>
      </w:pPr>
      <w:r>
        <w:rPr>
          <w:sz w:val="24"/>
        </w:rPr>
        <w:t xml:space="preserve">Considerando as dissertações e </w:t>
      </w:r>
      <w:r w:rsidR="000B38AA">
        <w:rPr>
          <w:sz w:val="24"/>
        </w:rPr>
        <w:t xml:space="preserve">as </w:t>
      </w:r>
      <w:r>
        <w:rPr>
          <w:sz w:val="24"/>
        </w:rPr>
        <w:t>teses selecionadas no catálogo da Capes, por região geográfica, a região com maior número de universidades com trabalhos sobre crenças de autoeficácia é a Região Sudeste, com 15 universidades, seguida da Região Sul, com oito instituições. No terceiro lugar de</w:t>
      </w:r>
      <w:r w:rsidR="000B38AA">
        <w:rPr>
          <w:sz w:val="24"/>
        </w:rPr>
        <w:t>ss</w:t>
      </w:r>
      <w:r>
        <w:rPr>
          <w:sz w:val="24"/>
        </w:rPr>
        <w:t xml:space="preserve">e </w:t>
      </w:r>
      <w:r>
        <w:rPr>
          <w:i/>
          <w:sz w:val="24"/>
        </w:rPr>
        <w:t>ranking</w:t>
      </w:r>
      <w:r w:rsidR="000B38AA">
        <w:rPr>
          <w:sz w:val="24"/>
        </w:rPr>
        <w:t xml:space="preserve">, </w:t>
      </w:r>
      <w:r>
        <w:rPr>
          <w:sz w:val="24"/>
        </w:rPr>
        <w:t xml:space="preserve">vem a Região Nordeste com </w:t>
      </w:r>
      <w:r w:rsidR="000B38AA">
        <w:rPr>
          <w:sz w:val="24"/>
        </w:rPr>
        <w:t>seis</w:t>
      </w:r>
      <w:r>
        <w:rPr>
          <w:sz w:val="24"/>
        </w:rPr>
        <w:t xml:space="preserve">, a Centro-Oeste com três e a Norte com uma universidade. Chama atenção a Região Sudeste, com </w:t>
      </w:r>
      <w:r>
        <w:rPr>
          <w:sz w:val="24"/>
        </w:rPr>
        <w:lastRenderedPageBreak/>
        <w:t xml:space="preserve">quase a metade das universidades com trabalhos de teses e dissertações (46%) sobre o tema, seguida da Região Sul, representando 24% do total das instituições. No total, dentre as 33 universidades que estão representadas com trabalhos sobre crenças de autoeficácia, seja em dissertações e/ou teses, tem-se 20 universidades públicas (61%) e 13 privadas (39%). Ao longo do período considerado (2007-2017), há uma variação do número de trabalhos apresentados, conforme mostra o </w:t>
      </w:r>
      <w:r w:rsidR="000B38AA">
        <w:rPr>
          <w:sz w:val="24"/>
        </w:rPr>
        <w:t>G</w:t>
      </w:r>
      <w:r>
        <w:rPr>
          <w:sz w:val="24"/>
        </w:rPr>
        <w:t xml:space="preserve">ráfico </w:t>
      </w:r>
      <w:r w:rsidR="000B38AA">
        <w:rPr>
          <w:sz w:val="24"/>
        </w:rPr>
        <w:t xml:space="preserve">2 </w:t>
      </w:r>
      <w:r>
        <w:rPr>
          <w:sz w:val="24"/>
        </w:rPr>
        <w:t>a seguir.</w:t>
      </w:r>
    </w:p>
    <w:p w14:paraId="3B4AF8AA" w14:textId="77777777" w:rsidR="002C12C0" w:rsidRDefault="002C12C0" w:rsidP="002C12C0">
      <w:pPr>
        <w:spacing w:after="0" w:line="360" w:lineRule="auto"/>
        <w:ind w:firstLine="709"/>
        <w:jc w:val="both"/>
        <w:rPr>
          <w:sz w:val="24"/>
        </w:rPr>
      </w:pPr>
    </w:p>
    <w:p w14:paraId="463259F3" w14:textId="77777777" w:rsidR="002C12C0" w:rsidRDefault="002C12C0" w:rsidP="002C12C0">
      <w:pPr>
        <w:spacing w:after="120"/>
        <w:rPr>
          <w:sz w:val="24"/>
        </w:rPr>
      </w:pPr>
      <w:r>
        <w:rPr>
          <w:noProof/>
          <w:lang w:eastAsia="pt-BR"/>
        </w:rPr>
        <w:drawing>
          <wp:inline distT="0" distB="0" distL="0" distR="0" wp14:anchorId="17FA9951" wp14:editId="03D88887">
            <wp:extent cx="3398520" cy="22098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B1ACAD" w14:textId="25517638" w:rsidR="002C12C0" w:rsidRDefault="002C12C0" w:rsidP="002C12C0">
      <w:pPr>
        <w:spacing w:after="0"/>
        <w:rPr>
          <w:sz w:val="20"/>
          <w:szCs w:val="20"/>
        </w:rPr>
      </w:pPr>
      <w:r w:rsidRPr="000B38AA">
        <w:rPr>
          <w:b/>
          <w:bCs/>
          <w:sz w:val="20"/>
          <w:szCs w:val="20"/>
        </w:rPr>
        <w:t>Gráfico 2 –</w:t>
      </w:r>
      <w:r w:rsidRPr="004D4D07">
        <w:rPr>
          <w:sz w:val="20"/>
          <w:szCs w:val="20"/>
        </w:rPr>
        <w:t xml:space="preserve"> Tendência de apresentações de trabalhos ao longo dos anos (2007-2017)</w:t>
      </w:r>
    </w:p>
    <w:p w14:paraId="139A4E2E" w14:textId="77777777" w:rsidR="000B38AA" w:rsidRDefault="000B38AA" w:rsidP="000B38AA">
      <w:pPr>
        <w:spacing w:after="0"/>
        <w:rPr>
          <w:sz w:val="20"/>
          <w:szCs w:val="20"/>
        </w:rPr>
      </w:pPr>
      <w:r>
        <w:rPr>
          <w:sz w:val="20"/>
          <w:szCs w:val="20"/>
        </w:rPr>
        <w:t>Fonte: As autoras.</w:t>
      </w:r>
    </w:p>
    <w:p w14:paraId="7F3A23D0" w14:textId="77777777" w:rsidR="002C12C0" w:rsidRDefault="002C12C0" w:rsidP="002C12C0">
      <w:pPr>
        <w:spacing w:after="0"/>
        <w:rPr>
          <w:sz w:val="20"/>
          <w:szCs w:val="20"/>
        </w:rPr>
      </w:pPr>
    </w:p>
    <w:p w14:paraId="747CE0E4" w14:textId="312CC812" w:rsidR="002C12C0" w:rsidRDefault="002C12C0" w:rsidP="002C12C0">
      <w:pPr>
        <w:spacing w:after="120" w:line="360" w:lineRule="auto"/>
        <w:ind w:firstLine="709"/>
        <w:jc w:val="both"/>
        <w:rPr>
          <w:sz w:val="24"/>
        </w:rPr>
      </w:pPr>
      <w:r>
        <w:rPr>
          <w:sz w:val="24"/>
        </w:rPr>
        <w:t>Em 2007</w:t>
      </w:r>
      <w:r w:rsidR="000B38AA">
        <w:rPr>
          <w:sz w:val="24"/>
        </w:rPr>
        <w:t>,</w:t>
      </w:r>
      <w:r>
        <w:rPr>
          <w:sz w:val="24"/>
        </w:rPr>
        <w:t xml:space="preserve"> foram apresentados seis trabalhos</w:t>
      </w:r>
      <w:r w:rsidR="000B38AA">
        <w:rPr>
          <w:sz w:val="24"/>
        </w:rPr>
        <w:t>;</w:t>
      </w:r>
      <w:r>
        <w:rPr>
          <w:sz w:val="24"/>
        </w:rPr>
        <w:t xml:space="preserve"> em 2008</w:t>
      </w:r>
      <w:r w:rsidR="000B38AA">
        <w:rPr>
          <w:sz w:val="24"/>
        </w:rPr>
        <w:t>,</w:t>
      </w:r>
      <w:r>
        <w:rPr>
          <w:sz w:val="24"/>
        </w:rPr>
        <w:t xml:space="preserve"> esse número caiu para três, voltando a subir em 2009 e 2010, com seis trabalhos em cada ano. Em 2011</w:t>
      </w:r>
      <w:r w:rsidR="000B38AA">
        <w:rPr>
          <w:sz w:val="24"/>
        </w:rPr>
        <w:t>,</w:t>
      </w:r>
      <w:r>
        <w:rPr>
          <w:sz w:val="24"/>
        </w:rPr>
        <w:t xml:space="preserve"> subiu para sete o total de trabalhos apresentados. O ano de 2012 foi atípico</w:t>
      </w:r>
      <w:r w:rsidR="000B38AA">
        <w:rPr>
          <w:sz w:val="24"/>
        </w:rPr>
        <w:t>;</w:t>
      </w:r>
      <w:r>
        <w:rPr>
          <w:sz w:val="24"/>
        </w:rPr>
        <w:t xml:space="preserve"> nele</w:t>
      </w:r>
      <w:r w:rsidR="000B38AA">
        <w:rPr>
          <w:sz w:val="24"/>
        </w:rPr>
        <w:t>,</w:t>
      </w:r>
      <w:r>
        <w:rPr>
          <w:sz w:val="24"/>
        </w:rPr>
        <w:t xml:space="preserve"> houve apenas uma dissertação apresentada sobre crenças de autoeficácia, na UFPR. Em 2013</w:t>
      </w:r>
      <w:r w:rsidR="000B38AA">
        <w:rPr>
          <w:sz w:val="24"/>
        </w:rPr>
        <w:t>,</w:t>
      </w:r>
      <w:r>
        <w:rPr>
          <w:sz w:val="24"/>
        </w:rPr>
        <w:t xml:space="preserve"> foram oito os trabalhos apresentados</w:t>
      </w:r>
      <w:r w:rsidR="000B38AA">
        <w:rPr>
          <w:sz w:val="24"/>
        </w:rPr>
        <w:t xml:space="preserve">; </w:t>
      </w:r>
      <w:r>
        <w:rPr>
          <w:sz w:val="24"/>
        </w:rPr>
        <w:t>e, em 2014, foram seis. A partir desse ano</w:t>
      </w:r>
      <w:r w:rsidR="000B38AA">
        <w:rPr>
          <w:sz w:val="24"/>
        </w:rPr>
        <w:t>,</w:t>
      </w:r>
      <w:r>
        <w:rPr>
          <w:sz w:val="24"/>
        </w:rPr>
        <w:t xml:space="preserve"> há uma tendência de crescimento no número de dissertações e</w:t>
      </w:r>
      <w:r w:rsidR="000B38AA">
        <w:rPr>
          <w:sz w:val="24"/>
        </w:rPr>
        <w:t xml:space="preserve"> de</w:t>
      </w:r>
      <w:r>
        <w:rPr>
          <w:sz w:val="24"/>
        </w:rPr>
        <w:t xml:space="preserve"> teses apresentadas nas universidades pesquisadas, com a seguinte série: 11, 16 e 22 trabalhos, respectivamente para os anos 2015, 2016 e 2017. Uma comparação das tendências, considerando em separado </w:t>
      </w:r>
      <w:r w:rsidR="000B38AA">
        <w:rPr>
          <w:sz w:val="24"/>
        </w:rPr>
        <w:t xml:space="preserve">as </w:t>
      </w:r>
      <w:r>
        <w:rPr>
          <w:sz w:val="24"/>
        </w:rPr>
        <w:t>dissertações e</w:t>
      </w:r>
      <w:r w:rsidR="000B38AA">
        <w:rPr>
          <w:sz w:val="24"/>
        </w:rPr>
        <w:t xml:space="preserve"> as</w:t>
      </w:r>
      <w:r>
        <w:rPr>
          <w:sz w:val="24"/>
        </w:rPr>
        <w:t xml:space="preserve"> teses apresentadas ao longo do período analisado, pode ser vista </w:t>
      </w:r>
      <w:r w:rsidR="000B38AA">
        <w:rPr>
          <w:sz w:val="24"/>
        </w:rPr>
        <w:t xml:space="preserve">no Gráfico 3 </w:t>
      </w:r>
      <w:r>
        <w:rPr>
          <w:sz w:val="24"/>
        </w:rPr>
        <w:t>a seguir.</w:t>
      </w:r>
    </w:p>
    <w:p w14:paraId="75CC6E41" w14:textId="77777777" w:rsidR="002C12C0" w:rsidRDefault="002C12C0" w:rsidP="002C12C0">
      <w:pPr>
        <w:spacing w:after="0"/>
        <w:rPr>
          <w:sz w:val="24"/>
        </w:rPr>
      </w:pPr>
      <w:r>
        <w:rPr>
          <w:noProof/>
          <w:lang w:eastAsia="pt-BR"/>
        </w:rPr>
        <w:lastRenderedPageBreak/>
        <w:drawing>
          <wp:inline distT="0" distB="0" distL="0" distR="0" wp14:anchorId="24FA5D30" wp14:editId="33D5D27B">
            <wp:extent cx="4279265" cy="237744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AEB551" w14:textId="77777777" w:rsidR="002C12C0" w:rsidRDefault="002C12C0" w:rsidP="002C12C0">
      <w:pPr>
        <w:spacing w:after="0"/>
        <w:rPr>
          <w:sz w:val="20"/>
          <w:szCs w:val="20"/>
        </w:rPr>
      </w:pPr>
    </w:p>
    <w:p w14:paraId="4F6EA816" w14:textId="2276FD9E" w:rsidR="002C12C0" w:rsidRDefault="002C12C0" w:rsidP="002C12C0">
      <w:pPr>
        <w:spacing w:after="0"/>
        <w:rPr>
          <w:sz w:val="20"/>
          <w:szCs w:val="20"/>
        </w:rPr>
      </w:pPr>
      <w:r w:rsidRPr="000B38AA">
        <w:rPr>
          <w:b/>
          <w:bCs/>
          <w:sz w:val="20"/>
          <w:szCs w:val="20"/>
        </w:rPr>
        <w:t>Gráfico 3 –</w:t>
      </w:r>
      <w:r w:rsidRPr="004D4D07">
        <w:rPr>
          <w:sz w:val="20"/>
          <w:szCs w:val="20"/>
        </w:rPr>
        <w:t xml:space="preserve"> Dissertações, teses e totais de defesas voltadas à temática Autoeficácia (2007-2017)</w:t>
      </w:r>
    </w:p>
    <w:p w14:paraId="49EC6CF1" w14:textId="69BE8294" w:rsidR="000B38AA" w:rsidRDefault="000B38AA" w:rsidP="000B38AA">
      <w:pPr>
        <w:spacing w:after="0"/>
        <w:rPr>
          <w:sz w:val="20"/>
          <w:szCs w:val="20"/>
        </w:rPr>
      </w:pPr>
      <w:r>
        <w:rPr>
          <w:sz w:val="20"/>
          <w:szCs w:val="20"/>
        </w:rPr>
        <w:t>Fonte: As autoras.</w:t>
      </w:r>
    </w:p>
    <w:p w14:paraId="63332EA7" w14:textId="77777777" w:rsidR="002C12C0" w:rsidRDefault="002C12C0" w:rsidP="002C12C0">
      <w:pPr>
        <w:spacing w:after="0"/>
        <w:rPr>
          <w:sz w:val="20"/>
          <w:szCs w:val="20"/>
        </w:rPr>
      </w:pPr>
    </w:p>
    <w:p w14:paraId="3D91B4A1" w14:textId="03D4A5F9" w:rsidR="002C12C0" w:rsidRDefault="002C12C0" w:rsidP="002C12C0">
      <w:pPr>
        <w:spacing w:after="0" w:line="360" w:lineRule="auto"/>
        <w:ind w:firstLine="709"/>
        <w:jc w:val="both"/>
        <w:rPr>
          <w:sz w:val="24"/>
        </w:rPr>
      </w:pPr>
      <w:r w:rsidRPr="00056E8F">
        <w:rPr>
          <w:sz w:val="24"/>
        </w:rPr>
        <w:t>Evidencia-se</w:t>
      </w:r>
      <w:r>
        <w:rPr>
          <w:sz w:val="24"/>
        </w:rPr>
        <w:t xml:space="preserve"> que o número de dissertações tende a crescer mais do que o de teses, considerando o período a partir de 2013, como ilustrado no </w:t>
      </w:r>
      <w:r w:rsidR="000B38AA">
        <w:rPr>
          <w:sz w:val="24"/>
        </w:rPr>
        <w:t>G</w:t>
      </w:r>
      <w:r>
        <w:rPr>
          <w:sz w:val="24"/>
        </w:rPr>
        <w:t xml:space="preserve">ráfico </w:t>
      </w:r>
      <w:r w:rsidR="000B38AA">
        <w:rPr>
          <w:sz w:val="24"/>
        </w:rPr>
        <w:t>4 que segue</w:t>
      </w:r>
      <w:r>
        <w:rPr>
          <w:sz w:val="24"/>
        </w:rPr>
        <w:t>.</w:t>
      </w:r>
    </w:p>
    <w:p w14:paraId="19CB56E9" w14:textId="77777777" w:rsidR="002C12C0" w:rsidRDefault="002C12C0" w:rsidP="002C12C0">
      <w:pPr>
        <w:spacing w:after="0" w:line="360" w:lineRule="auto"/>
        <w:ind w:firstLine="709"/>
        <w:jc w:val="both"/>
        <w:rPr>
          <w:sz w:val="24"/>
        </w:rPr>
      </w:pPr>
    </w:p>
    <w:p w14:paraId="28D1FAFE" w14:textId="77777777" w:rsidR="002C12C0" w:rsidRDefault="002C12C0" w:rsidP="002C12C0">
      <w:pPr>
        <w:spacing w:after="0"/>
        <w:rPr>
          <w:sz w:val="24"/>
        </w:rPr>
      </w:pPr>
      <w:r w:rsidRPr="004D4D07">
        <w:rPr>
          <w:noProof/>
          <w:sz w:val="24"/>
          <w:lang w:eastAsia="pt-BR"/>
        </w:rPr>
        <w:drawing>
          <wp:inline distT="0" distB="0" distL="0" distR="0" wp14:anchorId="2CF87C92" wp14:editId="53CFB63E">
            <wp:extent cx="5895340" cy="272542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95340" cy="2725420"/>
                    </a:xfrm>
                    <a:prstGeom prst="rect">
                      <a:avLst/>
                    </a:prstGeom>
                    <a:noFill/>
                  </pic:spPr>
                </pic:pic>
              </a:graphicData>
            </a:graphic>
          </wp:inline>
        </w:drawing>
      </w:r>
    </w:p>
    <w:p w14:paraId="1A96ADA7" w14:textId="058E2FBD" w:rsidR="002C12C0" w:rsidRDefault="002C12C0" w:rsidP="002C12C0">
      <w:pPr>
        <w:spacing w:after="0"/>
        <w:rPr>
          <w:sz w:val="20"/>
          <w:szCs w:val="20"/>
        </w:rPr>
      </w:pPr>
      <w:r w:rsidRPr="000B38AA">
        <w:rPr>
          <w:b/>
          <w:bCs/>
          <w:sz w:val="20"/>
          <w:szCs w:val="20"/>
        </w:rPr>
        <w:t>Gráfico 4 –</w:t>
      </w:r>
      <w:r w:rsidRPr="004D4D07">
        <w:rPr>
          <w:sz w:val="20"/>
          <w:szCs w:val="20"/>
        </w:rPr>
        <w:t xml:space="preserve"> Total de dissertações voltadas à temática Autoeficácia por ano, por universidade (2007-2017)</w:t>
      </w:r>
    </w:p>
    <w:p w14:paraId="3ACA1C49" w14:textId="3ABB7FC3" w:rsidR="000B38AA" w:rsidRPr="004D4D07" w:rsidRDefault="000B38AA" w:rsidP="000B38AA">
      <w:pPr>
        <w:spacing w:after="0"/>
        <w:rPr>
          <w:sz w:val="20"/>
          <w:szCs w:val="20"/>
        </w:rPr>
      </w:pPr>
      <w:r>
        <w:rPr>
          <w:sz w:val="20"/>
          <w:szCs w:val="20"/>
        </w:rPr>
        <w:t>Fonte: As autoras.</w:t>
      </w:r>
    </w:p>
    <w:p w14:paraId="2190AF2B" w14:textId="77777777" w:rsidR="002C12C0" w:rsidRDefault="002C12C0" w:rsidP="002C12C0">
      <w:pPr>
        <w:spacing w:after="0"/>
        <w:ind w:firstLine="709"/>
        <w:jc w:val="both"/>
        <w:rPr>
          <w:sz w:val="24"/>
        </w:rPr>
      </w:pPr>
    </w:p>
    <w:p w14:paraId="469CD3BF" w14:textId="4B6492CB" w:rsidR="002C12C0" w:rsidRDefault="002C12C0" w:rsidP="002C12C0">
      <w:pPr>
        <w:spacing w:after="120" w:line="360" w:lineRule="auto"/>
        <w:ind w:firstLine="709"/>
        <w:jc w:val="both"/>
      </w:pPr>
      <w:r>
        <w:rPr>
          <w:sz w:val="24"/>
        </w:rPr>
        <w:t>No período considerado, a maioria das universidades teve uma ou duas dissertações por ano, excetuando-se a UFRGS, que teve cinco dissertações apresentadas em 2017</w:t>
      </w:r>
      <w:r w:rsidR="000B38AA">
        <w:rPr>
          <w:sz w:val="24"/>
        </w:rPr>
        <w:t>, como mostra o Gráfico 5.</w:t>
      </w:r>
    </w:p>
    <w:p w14:paraId="09741909" w14:textId="77777777" w:rsidR="002C12C0" w:rsidRDefault="002C12C0" w:rsidP="002C12C0">
      <w:pPr>
        <w:spacing w:after="0"/>
        <w:rPr>
          <w:sz w:val="24"/>
        </w:rPr>
      </w:pPr>
      <w:r w:rsidRPr="00E92BBC">
        <w:rPr>
          <w:noProof/>
          <w:lang w:eastAsia="pt-BR"/>
        </w:rPr>
        <w:lastRenderedPageBreak/>
        <w:drawing>
          <wp:inline distT="0" distB="0" distL="0" distR="0" wp14:anchorId="628F541E" wp14:editId="2F9AFCCF">
            <wp:extent cx="4652468" cy="2670048"/>
            <wp:effectExtent l="0" t="0" r="15240" b="1651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F12F28" w14:textId="4863A1F0" w:rsidR="002C12C0" w:rsidRDefault="002C12C0" w:rsidP="002C12C0">
      <w:pPr>
        <w:spacing w:after="0"/>
        <w:ind w:firstLine="709"/>
        <w:rPr>
          <w:sz w:val="20"/>
          <w:szCs w:val="20"/>
        </w:rPr>
      </w:pPr>
      <w:r w:rsidRPr="000B38AA">
        <w:rPr>
          <w:b/>
          <w:bCs/>
          <w:sz w:val="20"/>
          <w:szCs w:val="20"/>
        </w:rPr>
        <w:t>Gráfico 5 –</w:t>
      </w:r>
      <w:r w:rsidRPr="004D4D07">
        <w:rPr>
          <w:sz w:val="20"/>
          <w:szCs w:val="20"/>
        </w:rPr>
        <w:t xml:space="preserve"> Total de teses por ano e por universidade no período 2007-2017</w:t>
      </w:r>
    </w:p>
    <w:p w14:paraId="314842F0" w14:textId="02B8C38E" w:rsidR="000B38AA" w:rsidRDefault="000B38AA" w:rsidP="000B38AA">
      <w:pPr>
        <w:spacing w:after="0"/>
        <w:rPr>
          <w:sz w:val="20"/>
          <w:szCs w:val="20"/>
        </w:rPr>
      </w:pPr>
      <w:r>
        <w:rPr>
          <w:sz w:val="20"/>
          <w:szCs w:val="20"/>
        </w:rPr>
        <w:t>Fonte: As autoras.</w:t>
      </w:r>
    </w:p>
    <w:p w14:paraId="50AAF6E9" w14:textId="77777777" w:rsidR="002C12C0" w:rsidRDefault="002C12C0" w:rsidP="002C12C0">
      <w:pPr>
        <w:spacing w:after="0"/>
        <w:ind w:firstLine="709"/>
        <w:rPr>
          <w:sz w:val="20"/>
          <w:szCs w:val="20"/>
        </w:rPr>
      </w:pPr>
    </w:p>
    <w:p w14:paraId="49CF1944" w14:textId="345E5C62" w:rsidR="002C12C0" w:rsidRDefault="002C12C0" w:rsidP="002C12C0">
      <w:pPr>
        <w:spacing w:after="0" w:line="360" w:lineRule="auto"/>
        <w:ind w:firstLine="709"/>
        <w:jc w:val="both"/>
        <w:rPr>
          <w:sz w:val="24"/>
          <w:szCs w:val="24"/>
        </w:rPr>
      </w:pPr>
      <w:r w:rsidRPr="00562678">
        <w:rPr>
          <w:sz w:val="24"/>
        </w:rPr>
        <w:t>Em cada ano</w:t>
      </w:r>
      <w:r w:rsidR="000B38AA" w:rsidRPr="00562678">
        <w:rPr>
          <w:sz w:val="24"/>
        </w:rPr>
        <w:t>,</w:t>
      </w:r>
      <w:r w:rsidRPr="00562678">
        <w:rPr>
          <w:sz w:val="24"/>
        </w:rPr>
        <w:t xml:space="preserve"> a maioria</w:t>
      </w:r>
      <w:r>
        <w:rPr>
          <w:sz w:val="24"/>
        </w:rPr>
        <w:t xml:space="preserve"> das universidades teve uma ou duas teses apresentadas, exceto a UNICAMP, que teve três em cada um dos anos: 2007, 2011 e 2017. Como já destacado neste trabalho, es</w:t>
      </w:r>
      <w:r w:rsidR="000B38AA">
        <w:rPr>
          <w:sz w:val="24"/>
        </w:rPr>
        <w:t>sa</w:t>
      </w:r>
      <w:r>
        <w:rPr>
          <w:sz w:val="24"/>
        </w:rPr>
        <w:t xml:space="preserve"> universidade teve teses defendidas sobre crenças de autoeficácia em todos os anos do período considerado, com exceção do ano 2012, no </w:t>
      </w:r>
      <w:r>
        <w:rPr>
          <w:sz w:val="24"/>
          <w:szCs w:val="24"/>
        </w:rPr>
        <w:t>qual não houve nenhuma tese apresentada por nenhuma das instituições.</w:t>
      </w:r>
    </w:p>
    <w:p w14:paraId="609B4BAE" w14:textId="4FB8E905" w:rsidR="002C12C0" w:rsidRDefault="002C12C0" w:rsidP="00D21310">
      <w:pPr>
        <w:spacing w:after="0" w:line="360" w:lineRule="auto"/>
        <w:ind w:firstLine="708"/>
        <w:jc w:val="both"/>
        <w:rPr>
          <w:sz w:val="24"/>
        </w:rPr>
      </w:pPr>
      <w:r>
        <w:rPr>
          <w:sz w:val="24"/>
        </w:rPr>
        <w:t xml:space="preserve">Fez-se também a análise segundo os níveis de ensino pesquisados, </w:t>
      </w:r>
      <w:r w:rsidR="000B38AA">
        <w:rPr>
          <w:sz w:val="24"/>
        </w:rPr>
        <w:t>. O G</w:t>
      </w:r>
      <w:r>
        <w:rPr>
          <w:sz w:val="24"/>
        </w:rPr>
        <w:t>ráfico</w:t>
      </w:r>
      <w:r w:rsidR="000B38AA">
        <w:rPr>
          <w:sz w:val="24"/>
        </w:rPr>
        <w:t xml:space="preserve"> 6</w:t>
      </w:r>
      <w:r>
        <w:rPr>
          <w:sz w:val="24"/>
        </w:rPr>
        <w:t xml:space="preserve"> a seguir mostra o número de trabalhos para cada um.</w:t>
      </w:r>
    </w:p>
    <w:p w14:paraId="40B33F15" w14:textId="77777777" w:rsidR="002C12C0" w:rsidRDefault="002C12C0" w:rsidP="002C12C0">
      <w:pPr>
        <w:spacing w:after="0"/>
        <w:rPr>
          <w:sz w:val="24"/>
        </w:rPr>
      </w:pPr>
      <w:r>
        <w:rPr>
          <w:noProof/>
          <w:lang w:eastAsia="pt-BR"/>
        </w:rPr>
        <w:drawing>
          <wp:inline distT="0" distB="0" distL="0" distR="0" wp14:anchorId="67E158FA" wp14:editId="4B1F6F79">
            <wp:extent cx="5119370" cy="2237105"/>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787DF8C" w14:textId="44ECD358" w:rsidR="002C12C0" w:rsidRDefault="002C12C0" w:rsidP="002C12C0">
      <w:pPr>
        <w:spacing w:after="0"/>
        <w:rPr>
          <w:sz w:val="20"/>
          <w:szCs w:val="20"/>
        </w:rPr>
      </w:pPr>
      <w:r w:rsidRPr="000B38AA">
        <w:rPr>
          <w:b/>
          <w:bCs/>
          <w:sz w:val="20"/>
          <w:szCs w:val="20"/>
        </w:rPr>
        <w:t>Gráfico 6 –</w:t>
      </w:r>
      <w:r w:rsidRPr="004D4D07">
        <w:rPr>
          <w:sz w:val="20"/>
          <w:szCs w:val="20"/>
        </w:rPr>
        <w:t xml:space="preserve"> Segmentos, modalidade e níveis de ensino pesquisados nas dissertações e teses sobre Autoeficácia (2007-2017)</w:t>
      </w:r>
    </w:p>
    <w:p w14:paraId="350B9739" w14:textId="77777777" w:rsidR="000B38AA" w:rsidRDefault="000B38AA" w:rsidP="000B38AA">
      <w:pPr>
        <w:spacing w:after="0"/>
        <w:rPr>
          <w:sz w:val="20"/>
          <w:szCs w:val="20"/>
        </w:rPr>
      </w:pPr>
      <w:r>
        <w:rPr>
          <w:sz w:val="20"/>
          <w:szCs w:val="20"/>
        </w:rPr>
        <w:t>Fonte: As autoras.</w:t>
      </w:r>
    </w:p>
    <w:p w14:paraId="7297CC4E" w14:textId="77777777" w:rsidR="002C12C0" w:rsidRDefault="002C12C0" w:rsidP="00562678">
      <w:pPr>
        <w:spacing w:after="0"/>
        <w:jc w:val="both"/>
        <w:rPr>
          <w:sz w:val="20"/>
          <w:szCs w:val="20"/>
        </w:rPr>
      </w:pPr>
    </w:p>
    <w:p w14:paraId="4485D35B" w14:textId="7CCA202E" w:rsidR="002C12C0" w:rsidRDefault="002C12C0" w:rsidP="002C12C0">
      <w:pPr>
        <w:spacing w:after="0" w:line="360" w:lineRule="auto"/>
        <w:ind w:firstLine="709"/>
        <w:jc w:val="both"/>
      </w:pPr>
      <w:r>
        <w:rPr>
          <w:sz w:val="24"/>
        </w:rPr>
        <w:t xml:space="preserve">O </w:t>
      </w:r>
      <w:r w:rsidR="000B38AA">
        <w:rPr>
          <w:sz w:val="24"/>
        </w:rPr>
        <w:t>G</w:t>
      </w:r>
      <w:r>
        <w:rPr>
          <w:sz w:val="24"/>
        </w:rPr>
        <w:t>ráfico</w:t>
      </w:r>
      <w:r w:rsidR="000B38AA">
        <w:rPr>
          <w:sz w:val="24"/>
        </w:rPr>
        <w:t xml:space="preserve"> 6</w:t>
      </w:r>
      <w:r>
        <w:rPr>
          <w:sz w:val="24"/>
        </w:rPr>
        <w:t xml:space="preserve"> mostra uma quantidade expressiva de pesquisas sobre o </w:t>
      </w:r>
      <w:r w:rsidR="000B38AA">
        <w:rPr>
          <w:sz w:val="24"/>
        </w:rPr>
        <w:t>Ensino Superior</w:t>
      </w:r>
      <w:r>
        <w:rPr>
          <w:sz w:val="24"/>
        </w:rPr>
        <w:t xml:space="preserve">, mais especificamente sobre a </w:t>
      </w:r>
      <w:r w:rsidR="000B38AA">
        <w:rPr>
          <w:sz w:val="24"/>
        </w:rPr>
        <w:t>G</w:t>
      </w:r>
      <w:r>
        <w:rPr>
          <w:sz w:val="24"/>
        </w:rPr>
        <w:t xml:space="preserve">raduação, com um total de 30. Em seguida, vem o </w:t>
      </w:r>
      <w:r w:rsidR="000B38AA">
        <w:rPr>
          <w:sz w:val="24"/>
        </w:rPr>
        <w:t xml:space="preserve">Ensino </w:t>
      </w:r>
      <w:r w:rsidR="000B38AA">
        <w:rPr>
          <w:sz w:val="24"/>
        </w:rPr>
        <w:lastRenderedPageBreak/>
        <w:t xml:space="preserve">Fundamental </w:t>
      </w:r>
      <w:r>
        <w:rPr>
          <w:sz w:val="24"/>
        </w:rPr>
        <w:t xml:space="preserve">com 29 trabalhos e, em terceiro, o </w:t>
      </w:r>
      <w:r w:rsidR="000B38AA">
        <w:rPr>
          <w:sz w:val="24"/>
        </w:rPr>
        <w:t>Ensino M</w:t>
      </w:r>
      <w:r>
        <w:rPr>
          <w:sz w:val="24"/>
        </w:rPr>
        <w:t xml:space="preserve">édio, com 25 trabalhos. Quanto aos demais, foram identificados quatro </w:t>
      </w:r>
      <w:r w:rsidR="00460BD4">
        <w:rPr>
          <w:sz w:val="24"/>
        </w:rPr>
        <w:t xml:space="preserve">sobre </w:t>
      </w:r>
      <w:r>
        <w:rPr>
          <w:sz w:val="24"/>
        </w:rPr>
        <w:t xml:space="preserve">Educação Infantil, três </w:t>
      </w:r>
      <w:r w:rsidR="00460BD4">
        <w:rPr>
          <w:sz w:val="24"/>
        </w:rPr>
        <w:t xml:space="preserve">sobre </w:t>
      </w:r>
      <w:r>
        <w:rPr>
          <w:sz w:val="24"/>
        </w:rPr>
        <w:t>Pós-</w:t>
      </w:r>
      <w:r w:rsidR="000B38AA">
        <w:rPr>
          <w:sz w:val="24"/>
        </w:rPr>
        <w:t>G</w:t>
      </w:r>
      <w:r>
        <w:rPr>
          <w:sz w:val="24"/>
        </w:rPr>
        <w:t xml:space="preserve">raduação e dois </w:t>
      </w:r>
      <w:r w:rsidR="00460BD4">
        <w:rPr>
          <w:sz w:val="24"/>
        </w:rPr>
        <w:t xml:space="preserve">sobre </w:t>
      </w:r>
      <w:r>
        <w:rPr>
          <w:sz w:val="24"/>
        </w:rPr>
        <w:t xml:space="preserve">EJA. Foram incluídos ainda </w:t>
      </w:r>
      <w:r w:rsidRPr="00381CD3">
        <w:rPr>
          <w:sz w:val="24"/>
        </w:rPr>
        <w:t xml:space="preserve">outros trabalhos </w:t>
      </w:r>
      <w:r>
        <w:rPr>
          <w:sz w:val="24"/>
        </w:rPr>
        <w:t xml:space="preserve">que </w:t>
      </w:r>
      <w:r w:rsidRPr="00381CD3">
        <w:rPr>
          <w:sz w:val="24"/>
        </w:rPr>
        <w:t xml:space="preserve">trataram de ensino particular de música, tendo sido feito </w:t>
      </w:r>
      <w:r>
        <w:rPr>
          <w:sz w:val="24"/>
        </w:rPr>
        <w:t>um</w:t>
      </w:r>
      <w:r w:rsidRPr="00381CD3">
        <w:rPr>
          <w:sz w:val="24"/>
        </w:rPr>
        <w:t xml:space="preserve"> trabalho sobre piano, </w:t>
      </w:r>
      <w:r>
        <w:rPr>
          <w:sz w:val="24"/>
        </w:rPr>
        <w:t>um</w:t>
      </w:r>
      <w:r w:rsidRPr="00381CD3">
        <w:rPr>
          <w:sz w:val="24"/>
        </w:rPr>
        <w:t xml:space="preserve"> sobre violino e </w:t>
      </w:r>
      <w:r>
        <w:rPr>
          <w:sz w:val="24"/>
        </w:rPr>
        <w:t>um</w:t>
      </w:r>
      <w:r w:rsidRPr="00381CD3">
        <w:rPr>
          <w:sz w:val="24"/>
        </w:rPr>
        <w:t xml:space="preserve"> sobre violão.</w:t>
      </w:r>
    </w:p>
    <w:p w14:paraId="5D0A302F" w14:textId="637F0D07" w:rsidR="002C12C0" w:rsidRDefault="002C12C0" w:rsidP="002C12C0">
      <w:pPr>
        <w:spacing w:after="0" w:line="360" w:lineRule="auto"/>
        <w:ind w:firstLine="709"/>
        <w:jc w:val="both"/>
      </w:pPr>
      <w:r>
        <w:rPr>
          <w:sz w:val="24"/>
        </w:rPr>
        <w:t>Os aspectos metodológicos das pesquisas também foram analisados.</w:t>
      </w:r>
      <w:r>
        <w:t xml:space="preserve"> </w:t>
      </w:r>
      <w:r>
        <w:rPr>
          <w:sz w:val="24"/>
        </w:rPr>
        <w:t>Foram identificados 83 trabalhos que utilizaram as metodologias quantitativa e qualitativa, a associação quanti/quali e a pesquisa de caráter quase experimental. A maioria expressiva desses trabalhos utilizou pesquisa quantitativa, com um total de 49 trabalhos. A associação quanti/quali vem em segundo lugar, com 15 trabalhos</w:t>
      </w:r>
      <w:r w:rsidR="000B38AA">
        <w:rPr>
          <w:sz w:val="24"/>
        </w:rPr>
        <w:t>;</w:t>
      </w:r>
      <w:r>
        <w:rPr>
          <w:sz w:val="24"/>
        </w:rPr>
        <w:t xml:space="preserve"> e, em seguida, a abordagem qualitativa, com 11</w:t>
      </w:r>
      <w:r w:rsidR="000B38AA">
        <w:rPr>
          <w:sz w:val="24"/>
        </w:rPr>
        <w:t>;</w:t>
      </w:r>
      <w:r>
        <w:rPr>
          <w:sz w:val="24"/>
        </w:rPr>
        <w:t xml:space="preserve"> e a quase experimental, com oito trabalhos. </w:t>
      </w:r>
    </w:p>
    <w:p w14:paraId="4B016087" w14:textId="6C81EEF4" w:rsidR="002C12C0" w:rsidRDefault="002C12C0" w:rsidP="00D21310">
      <w:pPr>
        <w:spacing w:after="0" w:line="360" w:lineRule="auto"/>
        <w:ind w:firstLine="709"/>
        <w:jc w:val="both"/>
        <w:rPr>
          <w:sz w:val="24"/>
          <w:szCs w:val="24"/>
        </w:rPr>
      </w:pPr>
      <w:r>
        <w:rPr>
          <w:sz w:val="24"/>
          <w:szCs w:val="24"/>
        </w:rPr>
        <w:t xml:space="preserve">Os temas tratados nos trabalhos concentram-se principalmente nas crenças de autoeficácia docente, como pode ser visto </w:t>
      </w:r>
      <w:r w:rsidR="000B38AA">
        <w:rPr>
          <w:sz w:val="24"/>
          <w:szCs w:val="24"/>
        </w:rPr>
        <w:t>no Gráfico 7 a</w:t>
      </w:r>
      <w:r>
        <w:rPr>
          <w:sz w:val="24"/>
          <w:szCs w:val="24"/>
        </w:rPr>
        <w:t xml:space="preserve"> seguir.</w:t>
      </w:r>
    </w:p>
    <w:p w14:paraId="0EE1006D" w14:textId="77777777" w:rsidR="002C12C0" w:rsidRDefault="002C12C0" w:rsidP="002C12C0">
      <w:pPr>
        <w:spacing w:after="0"/>
        <w:rPr>
          <w:sz w:val="20"/>
          <w:szCs w:val="20"/>
        </w:rPr>
      </w:pPr>
      <w:r>
        <w:rPr>
          <w:noProof/>
          <w:lang w:eastAsia="pt-BR"/>
        </w:rPr>
        <w:drawing>
          <wp:inline distT="0" distB="0" distL="0" distR="0" wp14:anchorId="10044A14" wp14:editId="0F9AA1EF">
            <wp:extent cx="5069433" cy="2787091"/>
            <wp:effectExtent l="0" t="0" r="17145" b="1333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8D9FFDB" w14:textId="77777777" w:rsidR="002C12C0" w:rsidRPr="004D4D07" w:rsidRDefault="002C12C0" w:rsidP="002C12C0">
      <w:pPr>
        <w:spacing w:after="0"/>
        <w:rPr>
          <w:sz w:val="20"/>
          <w:szCs w:val="20"/>
        </w:rPr>
      </w:pPr>
      <w:r w:rsidRPr="000B38AA">
        <w:rPr>
          <w:b/>
          <w:bCs/>
          <w:sz w:val="20"/>
          <w:szCs w:val="20"/>
        </w:rPr>
        <w:t>Gráfico 7–</w:t>
      </w:r>
      <w:r w:rsidRPr="004D4D07">
        <w:rPr>
          <w:sz w:val="20"/>
          <w:szCs w:val="20"/>
        </w:rPr>
        <w:t xml:space="preserve"> Tipos de crenças de autoeficácia pesquisadas nas teses e dissertações no período 2007-2017 (Catálogo</w:t>
      </w:r>
      <w:r>
        <w:rPr>
          <w:sz w:val="20"/>
          <w:szCs w:val="20"/>
        </w:rPr>
        <w:t xml:space="preserve"> </w:t>
      </w:r>
      <w:r w:rsidRPr="004D4D07">
        <w:rPr>
          <w:sz w:val="20"/>
          <w:szCs w:val="20"/>
        </w:rPr>
        <w:t>Capes)</w:t>
      </w:r>
    </w:p>
    <w:p w14:paraId="50A5FFBD" w14:textId="77777777" w:rsidR="000B38AA" w:rsidRDefault="000B38AA" w:rsidP="000B38AA">
      <w:pPr>
        <w:spacing w:after="0"/>
        <w:rPr>
          <w:sz w:val="20"/>
          <w:szCs w:val="20"/>
        </w:rPr>
      </w:pPr>
      <w:r>
        <w:rPr>
          <w:sz w:val="20"/>
          <w:szCs w:val="20"/>
        </w:rPr>
        <w:t>Fonte: As autoras.</w:t>
      </w:r>
    </w:p>
    <w:p w14:paraId="0E395F7C" w14:textId="77777777" w:rsidR="002C12C0" w:rsidRDefault="002C12C0" w:rsidP="002C12C0">
      <w:pPr>
        <w:spacing w:after="0"/>
        <w:ind w:firstLine="709"/>
        <w:jc w:val="both"/>
        <w:rPr>
          <w:sz w:val="24"/>
          <w:szCs w:val="20"/>
        </w:rPr>
      </w:pPr>
    </w:p>
    <w:p w14:paraId="4A10D33D" w14:textId="0C67A5EF" w:rsidR="002C12C0" w:rsidRDefault="002C12C0" w:rsidP="002C12C0">
      <w:pPr>
        <w:spacing w:after="0" w:line="360" w:lineRule="auto"/>
        <w:ind w:firstLine="709"/>
        <w:jc w:val="both"/>
      </w:pPr>
      <w:r>
        <w:rPr>
          <w:sz w:val="24"/>
          <w:szCs w:val="20"/>
        </w:rPr>
        <w:t>Como demonstra o Gráfico 7, as crenças de autoeficácia</w:t>
      </w:r>
      <w:r w:rsidR="00460BD4">
        <w:rPr>
          <w:sz w:val="24"/>
          <w:szCs w:val="20"/>
        </w:rPr>
        <w:t xml:space="preserve"> (CAE)</w:t>
      </w:r>
      <w:r>
        <w:rPr>
          <w:sz w:val="24"/>
          <w:szCs w:val="20"/>
        </w:rPr>
        <w:t xml:space="preserve"> relacionadas à docência foram as mais estudadas nas teses e </w:t>
      </w:r>
      <w:r w:rsidR="000B38AA">
        <w:rPr>
          <w:sz w:val="24"/>
          <w:szCs w:val="20"/>
        </w:rPr>
        <w:t xml:space="preserve">nas </w:t>
      </w:r>
      <w:r>
        <w:rPr>
          <w:sz w:val="24"/>
          <w:szCs w:val="20"/>
        </w:rPr>
        <w:t xml:space="preserve">dissertações catalogadas pela Capes no período 2007-2017, perfazendo um total de 23 trabalhos. Em seguida, aparecem as </w:t>
      </w:r>
      <w:r w:rsidRPr="00460BD4">
        <w:rPr>
          <w:sz w:val="24"/>
          <w:szCs w:val="20"/>
        </w:rPr>
        <w:t>CAE</w:t>
      </w:r>
      <w:r>
        <w:rPr>
          <w:sz w:val="24"/>
          <w:szCs w:val="20"/>
        </w:rPr>
        <w:t xml:space="preserve"> de alunos, com 21 trabalhos. Logo após vêm as CAE associadas ao ensino de disciplinas, sendo realizadas 10 pesquisas de CAE relacionadas ao ensino de Música e oito relacionadas ao ensino de Matemática. Já a transição da vida acadêmica para o mundo do trabalho obteve 10 estudos.</w:t>
      </w:r>
    </w:p>
    <w:p w14:paraId="0284B809" w14:textId="2F3C1150" w:rsidR="002C12C0" w:rsidRDefault="002C12C0" w:rsidP="002C12C0">
      <w:pPr>
        <w:spacing w:after="0" w:line="360" w:lineRule="auto"/>
        <w:ind w:firstLine="709"/>
        <w:jc w:val="both"/>
        <w:rPr>
          <w:color w:val="00B050"/>
          <w:sz w:val="24"/>
          <w:szCs w:val="24"/>
        </w:rPr>
      </w:pPr>
      <w:r>
        <w:rPr>
          <w:sz w:val="24"/>
          <w:szCs w:val="20"/>
        </w:rPr>
        <w:lastRenderedPageBreak/>
        <w:t xml:space="preserve">Esses números indicam que a maioria das pesquisas feitas nas teses e </w:t>
      </w:r>
      <w:r w:rsidR="000B38AA">
        <w:rPr>
          <w:sz w:val="24"/>
          <w:szCs w:val="20"/>
        </w:rPr>
        <w:t xml:space="preserve">nas </w:t>
      </w:r>
      <w:r>
        <w:rPr>
          <w:sz w:val="24"/>
          <w:szCs w:val="20"/>
        </w:rPr>
        <w:t xml:space="preserve">dissertações foi sobre CAE de professores e alunos. Com relação às CAE associadas ao ensino de disciplinas, observa-se que, além de CAE associadas ao ensino de Música e Matemática, as demais se relacionam à Física e à Educação Física. </w:t>
      </w:r>
      <w:r>
        <w:rPr>
          <w:color w:val="00B050"/>
          <w:sz w:val="24"/>
          <w:szCs w:val="24"/>
        </w:rPr>
        <w:tab/>
      </w:r>
    </w:p>
    <w:p w14:paraId="3894E1D3" w14:textId="77777777" w:rsidR="002C12C0" w:rsidRDefault="002C12C0" w:rsidP="002C12C0">
      <w:pPr>
        <w:spacing w:after="0" w:line="360" w:lineRule="auto"/>
        <w:ind w:firstLine="709"/>
        <w:jc w:val="both"/>
        <w:rPr>
          <w:color w:val="00B050"/>
          <w:sz w:val="24"/>
          <w:szCs w:val="24"/>
        </w:rPr>
      </w:pPr>
    </w:p>
    <w:p w14:paraId="42A82A1B" w14:textId="77777777" w:rsidR="002C12C0" w:rsidRDefault="002C12C0" w:rsidP="002C12C0">
      <w:pPr>
        <w:pStyle w:val="PargrafodaLista"/>
        <w:numPr>
          <w:ilvl w:val="0"/>
          <w:numId w:val="25"/>
        </w:numPr>
        <w:tabs>
          <w:tab w:val="left" w:pos="284"/>
        </w:tabs>
        <w:spacing w:after="0" w:line="360" w:lineRule="auto"/>
        <w:ind w:left="0" w:firstLine="0"/>
        <w:jc w:val="both"/>
        <w:rPr>
          <w:rFonts w:ascii="Times New Roman" w:hAnsi="Times New Roman" w:cs="Times New Roman"/>
          <w:b/>
          <w:sz w:val="24"/>
        </w:rPr>
      </w:pPr>
      <w:r>
        <w:rPr>
          <w:rFonts w:ascii="Times New Roman" w:hAnsi="Times New Roman" w:cs="Times New Roman"/>
          <w:b/>
          <w:sz w:val="24"/>
        </w:rPr>
        <w:t>RESULTADOS – ANÁLISE QUALITATIVA</w:t>
      </w:r>
    </w:p>
    <w:p w14:paraId="48641F1B" w14:textId="4BE261C5" w:rsidR="002C12C0" w:rsidRDefault="002C12C0" w:rsidP="002C12C0">
      <w:pPr>
        <w:spacing w:after="0" w:line="360" w:lineRule="auto"/>
        <w:ind w:firstLine="709"/>
        <w:jc w:val="both"/>
        <w:rPr>
          <w:sz w:val="24"/>
          <w:szCs w:val="24"/>
        </w:rPr>
      </w:pPr>
      <w:r>
        <w:rPr>
          <w:sz w:val="24"/>
          <w:szCs w:val="24"/>
        </w:rPr>
        <w:t xml:space="preserve">As pesquisas a respeito das crenças de autoeficácia na área da docência no Brasil revelaram muitas relações </w:t>
      </w:r>
      <w:r w:rsidR="00460BD4">
        <w:rPr>
          <w:sz w:val="24"/>
          <w:szCs w:val="24"/>
        </w:rPr>
        <w:t>pertinentes</w:t>
      </w:r>
      <w:r>
        <w:rPr>
          <w:sz w:val="24"/>
          <w:szCs w:val="24"/>
        </w:rPr>
        <w:t xml:space="preserve">. As investigações apontaram no </w:t>
      </w:r>
      <w:r w:rsidR="00D21310">
        <w:rPr>
          <w:sz w:val="24"/>
          <w:szCs w:val="24"/>
        </w:rPr>
        <w:t>Ensino Superior</w:t>
      </w:r>
      <w:r>
        <w:rPr>
          <w:sz w:val="24"/>
          <w:szCs w:val="24"/>
        </w:rPr>
        <w:t>: relações entre crenças de autoeficácia robusta na docência e mai</w:t>
      </w:r>
      <w:r w:rsidR="00460BD4">
        <w:rPr>
          <w:sz w:val="24"/>
          <w:szCs w:val="24"/>
        </w:rPr>
        <w:t>or</w:t>
      </w:r>
      <w:r>
        <w:rPr>
          <w:sz w:val="24"/>
          <w:szCs w:val="24"/>
        </w:rPr>
        <w:t xml:space="preserve"> satisfação com o trabalho docente (</w:t>
      </w:r>
      <w:bookmarkStart w:id="11" w:name="_Hlk20351305"/>
      <w:r>
        <w:rPr>
          <w:sz w:val="24"/>
          <w:szCs w:val="24"/>
        </w:rPr>
        <w:t>ROCHA, 2009</w:t>
      </w:r>
      <w:bookmarkEnd w:id="11"/>
      <w:r>
        <w:rPr>
          <w:sz w:val="24"/>
          <w:szCs w:val="24"/>
        </w:rPr>
        <w:t>), percepção de apoio por parte do corpo administrativo (</w:t>
      </w:r>
      <w:bookmarkStart w:id="12" w:name="_Hlk20351314"/>
      <w:r>
        <w:rPr>
          <w:sz w:val="24"/>
          <w:szCs w:val="24"/>
        </w:rPr>
        <w:t>ROCHA, 2009; MACEDO, 2009</w:t>
      </w:r>
      <w:bookmarkEnd w:id="12"/>
      <w:r>
        <w:rPr>
          <w:sz w:val="24"/>
          <w:szCs w:val="24"/>
        </w:rPr>
        <w:t xml:space="preserve">) e dos colegas (ROCHA, </w:t>
      </w:r>
      <w:r>
        <w:rPr>
          <w:sz w:val="24"/>
          <w:szCs w:val="24"/>
        </w:rPr>
        <w:softHyphen/>
        <w:t>2009; MACEDO, 2009), mais percepções positivas de si como docentes (ROCHA, 2009), liberdade para expressar ideias (ROCHA, 2009), maior nível de intencionalidade da ação docente e manejo de classe (ROCHA, 2009) e maior carga horária (</w:t>
      </w:r>
      <w:bookmarkStart w:id="13" w:name="_Hlk20351338"/>
      <w:r>
        <w:rPr>
          <w:sz w:val="24"/>
          <w:szCs w:val="24"/>
        </w:rPr>
        <w:t>LIRA, 2017).</w:t>
      </w:r>
      <w:bookmarkEnd w:id="13"/>
    </w:p>
    <w:p w14:paraId="440A2BB8" w14:textId="243BCF6B" w:rsidR="002C12C0" w:rsidRDefault="002C12C0" w:rsidP="002C12C0">
      <w:pPr>
        <w:spacing w:after="0" w:line="360" w:lineRule="auto"/>
        <w:ind w:firstLine="709"/>
        <w:jc w:val="both"/>
        <w:rPr>
          <w:sz w:val="24"/>
          <w:szCs w:val="24"/>
        </w:rPr>
      </w:pPr>
      <w:r>
        <w:rPr>
          <w:sz w:val="24"/>
          <w:szCs w:val="24"/>
        </w:rPr>
        <w:t xml:space="preserve">No </w:t>
      </w:r>
      <w:r w:rsidR="00D21310">
        <w:rPr>
          <w:sz w:val="24"/>
          <w:szCs w:val="24"/>
        </w:rPr>
        <w:t xml:space="preserve">Ensino Médio, </w:t>
      </w:r>
      <w:r>
        <w:rPr>
          <w:sz w:val="24"/>
          <w:szCs w:val="24"/>
        </w:rPr>
        <w:t>quanto maior o tempo de atuação do professor em uma mesma escola, maior a percepção de autoeficácia docente (</w:t>
      </w:r>
      <w:bookmarkStart w:id="14" w:name="_Hlk20351351"/>
      <w:r>
        <w:rPr>
          <w:sz w:val="24"/>
          <w:szCs w:val="24"/>
        </w:rPr>
        <w:t>CASANOVA, 2013</w:t>
      </w:r>
      <w:bookmarkEnd w:id="14"/>
      <w:r>
        <w:rPr>
          <w:sz w:val="24"/>
          <w:szCs w:val="24"/>
        </w:rPr>
        <w:t>), quanto maior a titulação (CASANOVA, 2013), maior o tempo de docência (</w:t>
      </w:r>
      <w:bookmarkStart w:id="15" w:name="_Hlk20351358"/>
      <w:r>
        <w:rPr>
          <w:sz w:val="24"/>
          <w:szCs w:val="24"/>
        </w:rPr>
        <w:t>FERNANDEZ, 2015</w:t>
      </w:r>
      <w:bookmarkEnd w:id="15"/>
      <w:r>
        <w:rPr>
          <w:sz w:val="24"/>
          <w:szCs w:val="24"/>
        </w:rPr>
        <w:t xml:space="preserve">) e as crenças de autoeficácia. Os docentes relataram uma crença mais robusta no uso de estratégias instrucionais, no manejo de sala de aula e no incremento e engajamento dos alunos. Docentes sem </w:t>
      </w:r>
      <w:r w:rsidR="00D21310">
        <w:rPr>
          <w:sz w:val="24"/>
          <w:szCs w:val="24"/>
        </w:rPr>
        <w:t xml:space="preserve">Pós-Graduação </w:t>
      </w:r>
      <w:r>
        <w:rPr>
          <w:sz w:val="24"/>
          <w:szCs w:val="24"/>
        </w:rPr>
        <w:t xml:space="preserve">apresentaram maior autoeficácia para motivarem alunos (FERNANDEZ, 2015). Já na comparação entre professores com e sem especialização, os primeiros apresentaram autoeficácia mais alta (FERNANDEZ, 2015). Nos </w:t>
      </w:r>
      <w:r w:rsidR="00D21310">
        <w:rPr>
          <w:sz w:val="24"/>
          <w:szCs w:val="24"/>
        </w:rPr>
        <w:t>E</w:t>
      </w:r>
      <w:r>
        <w:rPr>
          <w:sz w:val="24"/>
          <w:szCs w:val="24"/>
        </w:rPr>
        <w:t xml:space="preserve">nsinos </w:t>
      </w:r>
      <w:r w:rsidR="00D21310">
        <w:rPr>
          <w:sz w:val="24"/>
          <w:szCs w:val="24"/>
        </w:rPr>
        <w:t>Fundamental e Médio</w:t>
      </w:r>
      <w:r>
        <w:rPr>
          <w:sz w:val="24"/>
          <w:szCs w:val="24"/>
        </w:rPr>
        <w:t xml:space="preserve">, docentes com mais de 15 anos de atuação docente, com alto escore no Índice de Desenvolvimento da Educação Básica </w:t>
      </w:r>
      <w:r w:rsidR="00D21310">
        <w:rPr>
          <w:sz w:val="24"/>
          <w:szCs w:val="24"/>
        </w:rPr>
        <w:t>(</w:t>
      </w:r>
      <w:r>
        <w:rPr>
          <w:sz w:val="24"/>
          <w:szCs w:val="24"/>
        </w:rPr>
        <w:t>IDEB</w:t>
      </w:r>
      <w:r w:rsidR="00D21310">
        <w:rPr>
          <w:sz w:val="24"/>
          <w:szCs w:val="24"/>
        </w:rPr>
        <w:t>)</w:t>
      </w:r>
      <w:r>
        <w:rPr>
          <w:sz w:val="24"/>
          <w:szCs w:val="24"/>
        </w:rPr>
        <w:t xml:space="preserve"> e com alta percepção de apoio apresentaram nível alto de crenças de autoeficácia coletiva (</w:t>
      </w:r>
      <w:bookmarkStart w:id="16" w:name="_Hlk20351404"/>
      <w:r>
        <w:rPr>
          <w:sz w:val="24"/>
          <w:szCs w:val="24"/>
        </w:rPr>
        <w:t>BOTTI-MANOEL, 2014</w:t>
      </w:r>
      <w:bookmarkEnd w:id="16"/>
      <w:r>
        <w:rPr>
          <w:sz w:val="24"/>
          <w:szCs w:val="24"/>
        </w:rPr>
        <w:t xml:space="preserve">). </w:t>
      </w:r>
    </w:p>
    <w:p w14:paraId="553C14AC" w14:textId="484C6B61" w:rsidR="002C12C0" w:rsidRDefault="002C12C0" w:rsidP="002C12C0">
      <w:pPr>
        <w:spacing w:after="0" w:line="360" w:lineRule="auto"/>
        <w:ind w:firstLine="709"/>
        <w:jc w:val="both"/>
        <w:rPr>
          <w:sz w:val="24"/>
          <w:szCs w:val="24"/>
        </w:rPr>
      </w:pPr>
      <w:bookmarkStart w:id="17" w:name="_Hlk20351409"/>
      <w:r>
        <w:rPr>
          <w:sz w:val="24"/>
          <w:szCs w:val="24"/>
        </w:rPr>
        <w:t>Neves (2017</w:t>
      </w:r>
      <w:bookmarkEnd w:id="17"/>
      <w:r>
        <w:rPr>
          <w:sz w:val="24"/>
          <w:szCs w:val="24"/>
        </w:rPr>
        <w:t xml:space="preserve">) encontrou crenças de autoeficácia mediana entre professores </w:t>
      </w:r>
      <w:r>
        <w:rPr>
          <w:rFonts w:eastAsia="Times New Roman"/>
          <w:sz w:val="24"/>
          <w:szCs w:val="24"/>
          <w:lang w:eastAsia="pt-BR"/>
        </w:rPr>
        <w:t xml:space="preserve">do Instituto Federal </w:t>
      </w:r>
      <w:r w:rsidR="00D21310">
        <w:rPr>
          <w:rFonts w:eastAsia="Times New Roman"/>
          <w:sz w:val="24"/>
          <w:szCs w:val="24"/>
          <w:lang w:eastAsia="pt-BR"/>
        </w:rPr>
        <w:t>(</w:t>
      </w:r>
      <w:r>
        <w:rPr>
          <w:rFonts w:eastAsia="Times New Roman"/>
          <w:sz w:val="24"/>
          <w:szCs w:val="24"/>
          <w:lang w:eastAsia="pt-BR"/>
        </w:rPr>
        <w:t>IF</w:t>
      </w:r>
      <w:r w:rsidR="00D21310">
        <w:rPr>
          <w:rFonts w:eastAsia="Times New Roman"/>
          <w:sz w:val="24"/>
          <w:szCs w:val="24"/>
          <w:lang w:eastAsia="pt-BR"/>
        </w:rPr>
        <w:t>)</w:t>
      </w:r>
      <w:r>
        <w:rPr>
          <w:rFonts w:eastAsia="Times New Roman"/>
          <w:sz w:val="24"/>
          <w:szCs w:val="24"/>
          <w:lang w:eastAsia="pt-BR"/>
        </w:rPr>
        <w:t xml:space="preserve"> Sertão-PE que ministravam aulas </w:t>
      </w:r>
      <w:r>
        <w:rPr>
          <w:sz w:val="24"/>
          <w:szCs w:val="24"/>
        </w:rPr>
        <w:t xml:space="preserve">somente no nível médio e no nível médio e superior. </w:t>
      </w:r>
      <w:r>
        <w:rPr>
          <w:rFonts w:eastAsia="Times New Roman"/>
          <w:sz w:val="24"/>
          <w:szCs w:val="24"/>
        </w:rPr>
        <w:t>Professores com licenciatura apresentaram crenças de autoeficácia robusta no item domínio de classe (NEVES, 2017).</w:t>
      </w:r>
    </w:p>
    <w:p w14:paraId="7CF1FAB9" w14:textId="753C0697" w:rsidR="002C12C0" w:rsidRDefault="002C12C0" w:rsidP="002C12C0">
      <w:pPr>
        <w:spacing w:after="0" w:line="360" w:lineRule="auto"/>
        <w:ind w:firstLine="709"/>
        <w:jc w:val="both"/>
      </w:pPr>
      <w:r>
        <w:rPr>
          <w:sz w:val="24"/>
          <w:szCs w:val="24"/>
        </w:rPr>
        <w:t xml:space="preserve">Docentes do </w:t>
      </w:r>
      <w:r w:rsidR="00D21310">
        <w:rPr>
          <w:sz w:val="24"/>
          <w:szCs w:val="24"/>
        </w:rPr>
        <w:t xml:space="preserve">Ensino Fundamental </w:t>
      </w:r>
      <w:r>
        <w:rPr>
          <w:sz w:val="24"/>
          <w:szCs w:val="24"/>
        </w:rPr>
        <w:t>com faixa etária mais avançada (MACEDO, 2009) e mai</w:t>
      </w:r>
      <w:r w:rsidR="00460BD4">
        <w:rPr>
          <w:sz w:val="24"/>
          <w:szCs w:val="24"/>
        </w:rPr>
        <w:t>or</w:t>
      </w:r>
      <w:r>
        <w:rPr>
          <w:sz w:val="24"/>
          <w:szCs w:val="24"/>
        </w:rPr>
        <w:t xml:space="preserve"> percepção de apoio da escola (</w:t>
      </w:r>
      <w:bookmarkStart w:id="18" w:name="_Hlk20351440"/>
      <w:r>
        <w:rPr>
          <w:sz w:val="24"/>
          <w:szCs w:val="24"/>
        </w:rPr>
        <w:t>BOTTI-MANOEL, 2014</w:t>
      </w:r>
      <w:bookmarkEnd w:id="18"/>
      <w:r>
        <w:rPr>
          <w:sz w:val="24"/>
          <w:szCs w:val="24"/>
        </w:rPr>
        <w:t xml:space="preserve">) relataram possuir autoeficácia docente robusta. Na </w:t>
      </w:r>
      <w:r w:rsidR="00D21310">
        <w:rPr>
          <w:sz w:val="24"/>
          <w:szCs w:val="24"/>
        </w:rPr>
        <w:t>Educação I</w:t>
      </w:r>
      <w:r>
        <w:rPr>
          <w:sz w:val="24"/>
          <w:szCs w:val="24"/>
        </w:rPr>
        <w:t>nfantil, a crença de autoeficácia alta relacionou</w:t>
      </w:r>
      <w:r w:rsidR="00D21310">
        <w:rPr>
          <w:sz w:val="24"/>
          <w:szCs w:val="24"/>
        </w:rPr>
        <w:t>-</w:t>
      </w:r>
      <w:r w:rsidR="00D21310">
        <w:rPr>
          <w:sz w:val="24"/>
          <w:szCs w:val="24"/>
        </w:rPr>
        <w:lastRenderedPageBreak/>
        <w:t>se</w:t>
      </w:r>
      <w:r>
        <w:rPr>
          <w:sz w:val="24"/>
          <w:szCs w:val="24"/>
        </w:rPr>
        <w:t xml:space="preserve"> com julgamento mais positivo da infraestrutura e menor tamanho de turma. Mais especificamente, classes com menor quantidade de alunos foram apontadas pelos docentes da </w:t>
      </w:r>
      <w:r w:rsidR="00D21310">
        <w:rPr>
          <w:sz w:val="24"/>
          <w:szCs w:val="24"/>
        </w:rPr>
        <w:t xml:space="preserve">Educação Infantil </w:t>
      </w:r>
      <w:r>
        <w:rPr>
          <w:sz w:val="24"/>
          <w:szCs w:val="24"/>
        </w:rPr>
        <w:t xml:space="preserve">como mais favoráveis à construção de crença de autoeficácia docente positiva (FERNANDEZ, 2015).  </w:t>
      </w:r>
    </w:p>
    <w:p w14:paraId="4A7CC66D" w14:textId="3813867B" w:rsidR="002C12C0" w:rsidRPr="00D21310" w:rsidRDefault="002C12C0" w:rsidP="00D21310">
      <w:pPr>
        <w:spacing w:after="0" w:line="360" w:lineRule="auto"/>
        <w:ind w:firstLine="709"/>
        <w:jc w:val="both"/>
      </w:pPr>
      <w:r>
        <w:rPr>
          <w:sz w:val="24"/>
          <w:szCs w:val="24"/>
        </w:rPr>
        <w:t xml:space="preserve">Alguns estudos encontraram dados </w:t>
      </w:r>
      <w:r w:rsidR="00D21310">
        <w:rPr>
          <w:sz w:val="24"/>
          <w:szCs w:val="24"/>
        </w:rPr>
        <w:t>relevantes</w:t>
      </w:r>
      <w:r>
        <w:rPr>
          <w:sz w:val="24"/>
          <w:szCs w:val="24"/>
        </w:rPr>
        <w:t xml:space="preserve"> a respeito das crenças de autoeficácia docente em quatro subitens presentes na escala relativos à: </w:t>
      </w:r>
      <w:r w:rsidRPr="00381CD3">
        <w:rPr>
          <w:i/>
          <w:iCs/>
          <w:sz w:val="24"/>
          <w:szCs w:val="24"/>
        </w:rPr>
        <w:t>intencionalidade da ação docente</w:t>
      </w:r>
      <w:r>
        <w:rPr>
          <w:i/>
          <w:iCs/>
          <w:sz w:val="24"/>
          <w:szCs w:val="24"/>
        </w:rPr>
        <w:t>,</w:t>
      </w:r>
      <w:r>
        <w:rPr>
          <w:sz w:val="24"/>
          <w:szCs w:val="24"/>
        </w:rPr>
        <w:t xml:space="preserve"> </w:t>
      </w:r>
      <w:r w:rsidRPr="00381CD3">
        <w:rPr>
          <w:i/>
          <w:iCs/>
          <w:sz w:val="24"/>
          <w:szCs w:val="24"/>
        </w:rPr>
        <w:t>manejo de classe</w:t>
      </w:r>
      <w:r>
        <w:rPr>
          <w:sz w:val="24"/>
          <w:szCs w:val="24"/>
        </w:rPr>
        <w:t xml:space="preserve">, </w:t>
      </w:r>
      <w:r w:rsidRPr="00381CD3">
        <w:rPr>
          <w:i/>
          <w:iCs/>
          <w:sz w:val="24"/>
          <w:szCs w:val="24"/>
        </w:rPr>
        <w:t>autoeficácia pessoal</w:t>
      </w:r>
      <w:r>
        <w:rPr>
          <w:sz w:val="24"/>
          <w:szCs w:val="24"/>
        </w:rPr>
        <w:t xml:space="preserve"> e </w:t>
      </w:r>
      <w:r w:rsidRPr="00381CD3">
        <w:rPr>
          <w:i/>
          <w:iCs/>
          <w:sz w:val="24"/>
          <w:szCs w:val="24"/>
        </w:rPr>
        <w:t>autoefic</w:t>
      </w:r>
      <w:r>
        <w:rPr>
          <w:i/>
          <w:iCs/>
          <w:sz w:val="24"/>
          <w:szCs w:val="24"/>
        </w:rPr>
        <w:t>á</w:t>
      </w:r>
      <w:r w:rsidRPr="00381CD3">
        <w:rPr>
          <w:i/>
          <w:iCs/>
          <w:sz w:val="24"/>
          <w:szCs w:val="24"/>
        </w:rPr>
        <w:t>cia no ensino</w:t>
      </w:r>
      <w:r>
        <w:rPr>
          <w:sz w:val="24"/>
          <w:szCs w:val="24"/>
        </w:rPr>
        <w:t xml:space="preserve">. Maior nível de </w:t>
      </w:r>
      <w:r w:rsidRPr="00381CD3">
        <w:rPr>
          <w:i/>
          <w:iCs/>
          <w:sz w:val="24"/>
          <w:szCs w:val="24"/>
        </w:rPr>
        <w:t>intencionalidade da ação docente</w:t>
      </w:r>
      <w:r>
        <w:rPr>
          <w:sz w:val="24"/>
          <w:szCs w:val="24"/>
        </w:rPr>
        <w:t xml:space="preserve"> no </w:t>
      </w:r>
      <w:r w:rsidR="00D21310">
        <w:rPr>
          <w:sz w:val="24"/>
          <w:szCs w:val="24"/>
        </w:rPr>
        <w:t xml:space="preserve">Ensino Superior </w:t>
      </w:r>
      <w:r>
        <w:rPr>
          <w:sz w:val="24"/>
          <w:szCs w:val="24"/>
        </w:rPr>
        <w:t xml:space="preserve">(ROCHA, 2009) e no </w:t>
      </w:r>
      <w:r w:rsidR="00D21310">
        <w:rPr>
          <w:sz w:val="24"/>
          <w:szCs w:val="24"/>
        </w:rPr>
        <w:t xml:space="preserve">Ensino Fundamental </w:t>
      </w:r>
      <w:r>
        <w:rPr>
          <w:sz w:val="24"/>
          <w:szCs w:val="24"/>
        </w:rPr>
        <w:t>(</w:t>
      </w:r>
      <w:bookmarkStart w:id="19" w:name="_Hlk20351493"/>
      <w:r>
        <w:rPr>
          <w:sz w:val="24"/>
          <w:szCs w:val="24"/>
        </w:rPr>
        <w:t>SILVA, 2016</w:t>
      </w:r>
      <w:bookmarkEnd w:id="19"/>
      <w:r>
        <w:rPr>
          <w:sz w:val="24"/>
          <w:szCs w:val="24"/>
        </w:rPr>
        <w:t xml:space="preserve">), bem como </w:t>
      </w:r>
      <w:r w:rsidRPr="00381CD3">
        <w:rPr>
          <w:i/>
          <w:iCs/>
          <w:sz w:val="24"/>
          <w:szCs w:val="24"/>
        </w:rPr>
        <w:t>autoatribuição positiva no manejo de classe</w:t>
      </w:r>
      <w:r>
        <w:rPr>
          <w:sz w:val="24"/>
          <w:szCs w:val="24"/>
        </w:rPr>
        <w:t xml:space="preserve"> no </w:t>
      </w:r>
      <w:r w:rsidR="00D21310">
        <w:rPr>
          <w:sz w:val="24"/>
          <w:szCs w:val="24"/>
        </w:rPr>
        <w:t>Ensino Superior (</w:t>
      </w:r>
      <w:r>
        <w:rPr>
          <w:sz w:val="24"/>
          <w:szCs w:val="24"/>
        </w:rPr>
        <w:t xml:space="preserve">ROCHA, 2009), no </w:t>
      </w:r>
      <w:r w:rsidR="00D21310">
        <w:rPr>
          <w:sz w:val="24"/>
          <w:szCs w:val="24"/>
        </w:rPr>
        <w:t xml:space="preserve">Ensino Médio </w:t>
      </w:r>
      <w:r>
        <w:rPr>
          <w:sz w:val="24"/>
          <w:szCs w:val="24"/>
        </w:rPr>
        <w:t xml:space="preserve">(FERNANDEZ, 2015), no </w:t>
      </w:r>
      <w:r w:rsidR="00D21310">
        <w:rPr>
          <w:sz w:val="24"/>
          <w:szCs w:val="24"/>
        </w:rPr>
        <w:t xml:space="preserve">Ensino Fundamental </w:t>
      </w:r>
      <w:r>
        <w:rPr>
          <w:sz w:val="24"/>
          <w:szCs w:val="24"/>
        </w:rPr>
        <w:t xml:space="preserve">(MACEDO, 2009) e nos anos iniciais do </w:t>
      </w:r>
      <w:r w:rsidR="00D21310">
        <w:rPr>
          <w:sz w:val="24"/>
          <w:szCs w:val="24"/>
        </w:rPr>
        <w:t xml:space="preserve">Ensino Fundamental </w:t>
      </w:r>
      <w:r>
        <w:rPr>
          <w:sz w:val="24"/>
          <w:szCs w:val="24"/>
        </w:rPr>
        <w:t xml:space="preserve">(MACEDO, 2009; SILVA, 2016) foram encontrados correlacionados à CAE robusta entre docentes brasileiros. </w:t>
      </w:r>
    </w:p>
    <w:p w14:paraId="1CAF10AF" w14:textId="75F44E3B" w:rsidR="002C12C0" w:rsidRDefault="002C12C0" w:rsidP="00D21310">
      <w:pPr>
        <w:spacing w:after="0" w:line="360" w:lineRule="auto"/>
        <w:ind w:firstLine="709"/>
        <w:jc w:val="both"/>
      </w:pPr>
      <w:r>
        <w:rPr>
          <w:sz w:val="24"/>
          <w:szCs w:val="24"/>
        </w:rPr>
        <w:t xml:space="preserve">No </w:t>
      </w:r>
      <w:r w:rsidR="00D21310">
        <w:rPr>
          <w:sz w:val="24"/>
          <w:szCs w:val="24"/>
        </w:rPr>
        <w:t>Ensino Médio</w:t>
      </w:r>
      <w:r>
        <w:rPr>
          <w:sz w:val="24"/>
          <w:szCs w:val="24"/>
        </w:rPr>
        <w:t xml:space="preserve">, os subitens </w:t>
      </w:r>
      <w:r w:rsidRPr="00381CD3">
        <w:rPr>
          <w:i/>
          <w:iCs/>
          <w:sz w:val="24"/>
          <w:szCs w:val="24"/>
        </w:rPr>
        <w:t>intencionalidade da ação docente</w:t>
      </w:r>
      <w:r>
        <w:rPr>
          <w:sz w:val="24"/>
          <w:szCs w:val="24"/>
        </w:rPr>
        <w:t xml:space="preserve"> e de </w:t>
      </w:r>
      <w:r w:rsidRPr="00381CD3">
        <w:rPr>
          <w:i/>
          <w:iCs/>
          <w:sz w:val="24"/>
          <w:szCs w:val="24"/>
        </w:rPr>
        <w:t>manejo de classe</w:t>
      </w:r>
      <w:r>
        <w:rPr>
          <w:sz w:val="24"/>
          <w:szCs w:val="24"/>
        </w:rPr>
        <w:t xml:space="preserve"> apareceram relacionados com maior tempo de </w:t>
      </w:r>
      <w:r w:rsidR="00D21310">
        <w:rPr>
          <w:sz w:val="24"/>
          <w:szCs w:val="24"/>
        </w:rPr>
        <w:t>G</w:t>
      </w:r>
      <w:r>
        <w:rPr>
          <w:sz w:val="24"/>
          <w:szCs w:val="24"/>
        </w:rPr>
        <w:t>raduação (</w:t>
      </w:r>
      <w:bookmarkStart w:id="20" w:name="_Hlk20351530"/>
      <w:r>
        <w:rPr>
          <w:sz w:val="24"/>
          <w:szCs w:val="24"/>
        </w:rPr>
        <w:t>FERREIRA, 2011</w:t>
      </w:r>
      <w:bookmarkEnd w:id="20"/>
      <w:r>
        <w:rPr>
          <w:sz w:val="24"/>
          <w:szCs w:val="24"/>
        </w:rPr>
        <w:t xml:space="preserve">) e de regência (BOTTI-MANOEL, 2014), percepção de apoio dos pares, da administração (FERREIRA, 2011), liberdade para expressarem ideias, opiniões e apresentação de propostas na instituição em que trabalham (FERREIRA, 2011), bem como percepção de estarem mais preparados para a docência. Quanto maior a faixa etária docente, menor a percepção de autoeficácia no manejo de sala de aula (FERNANDEZ, 2015). Alunos trabalhadores apresentaram maior autoeficácia no manejo de sala de aula do que alunos não trabalhadores (FERNANDEZ, 2015). Vale esclarecer que tais alunos eram docentes trabalhadores participando de um curso de formação em </w:t>
      </w:r>
      <w:r w:rsidR="00D21310">
        <w:rPr>
          <w:sz w:val="24"/>
          <w:szCs w:val="24"/>
        </w:rPr>
        <w:t>G</w:t>
      </w:r>
      <w:r>
        <w:rPr>
          <w:sz w:val="24"/>
          <w:szCs w:val="24"/>
        </w:rPr>
        <w:t xml:space="preserve">raduação.  </w:t>
      </w:r>
    </w:p>
    <w:p w14:paraId="031FBF14" w14:textId="08B2E307" w:rsidR="002C12C0" w:rsidRDefault="002C12C0" w:rsidP="002C12C0">
      <w:pPr>
        <w:spacing w:after="0" w:line="360" w:lineRule="auto"/>
        <w:ind w:firstLine="709"/>
        <w:jc w:val="both"/>
      </w:pPr>
      <w:r>
        <w:rPr>
          <w:sz w:val="24"/>
          <w:szCs w:val="24"/>
        </w:rPr>
        <w:t xml:space="preserve">No subitem </w:t>
      </w:r>
      <w:r w:rsidRPr="00381CD3">
        <w:rPr>
          <w:i/>
          <w:iCs/>
          <w:sz w:val="24"/>
          <w:szCs w:val="24"/>
        </w:rPr>
        <w:t>autoeficácia pessoal</w:t>
      </w:r>
      <w:r>
        <w:rPr>
          <w:sz w:val="24"/>
          <w:szCs w:val="24"/>
        </w:rPr>
        <w:t>, Neves (2017) destaca que</w:t>
      </w:r>
      <w:r w:rsidR="00D21310">
        <w:rPr>
          <w:sz w:val="24"/>
          <w:szCs w:val="24"/>
        </w:rPr>
        <w:t>,</w:t>
      </w:r>
      <w:r>
        <w:rPr>
          <w:sz w:val="24"/>
          <w:szCs w:val="24"/>
        </w:rPr>
        <w:t xml:space="preserve"> quanto maior o tempo de atuação em uma mesma instituição, maior a crença na autoeficácia pessoal. No </w:t>
      </w:r>
      <w:r w:rsidR="00D21310">
        <w:rPr>
          <w:sz w:val="24"/>
          <w:szCs w:val="24"/>
        </w:rPr>
        <w:t>Ensino Superior</w:t>
      </w:r>
      <w:r>
        <w:rPr>
          <w:sz w:val="24"/>
          <w:szCs w:val="24"/>
        </w:rPr>
        <w:t xml:space="preserve">, </w:t>
      </w:r>
      <w:bookmarkStart w:id="21" w:name="_Hlk20351572"/>
      <w:r>
        <w:rPr>
          <w:sz w:val="24"/>
          <w:szCs w:val="24"/>
        </w:rPr>
        <w:t>Domingues (2017</w:t>
      </w:r>
      <w:bookmarkEnd w:id="21"/>
      <w:r>
        <w:rPr>
          <w:sz w:val="24"/>
          <w:szCs w:val="24"/>
        </w:rPr>
        <w:t xml:space="preserve">) encontrou crença de autoeficácia pessoal robusta entre os docentes por ele pesquisados. Educadores dos </w:t>
      </w:r>
      <w:r w:rsidR="00D21310">
        <w:rPr>
          <w:sz w:val="24"/>
          <w:szCs w:val="24"/>
        </w:rPr>
        <w:t xml:space="preserve">Ensinos Médio </w:t>
      </w:r>
      <w:r>
        <w:rPr>
          <w:sz w:val="24"/>
          <w:szCs w:val="24"/>
        </w:rPr>
        <w:t xml:space="preserve">e </w:t>
      </w:r>
      <w:r w:rsidR="00D21310">
        <w:rPr>
          <w:sz w:val="24"/>
          <w:szCs w:val="24"/>
        </w:rPr>
        <w:t>Su</w:t>
      </w:r>
      <w:r>
        <w:rPr>
          <w:sz w:val="24"/>
          <w:szCs w:val="24"/>
        </w:rPr>
        <w:t xml:space="preserve">perior apresentaram maior autoeficácia pessoal nos fatores avaliação (NEVES, 2017). </w:t>
      </w:r>
      <w:r>
        <w:rPr>
          <w:rFonts w:eastAsia="Times New Roman"/>
          <w:sz w:val="24"/>
          <w:szCs w:val="24"/>
        </w:rPr>
        <w:t xml:space="preserve">Docentes </w:t>
      </w:r>
      <w:r>
        <w:rPr>
          <w:sz w:val="24"/>
          <w:szCs w:val="24"/>
        </w:rPr>
        <w:t xml:space="preserve">que atuam nos </w:t>
      </w:r>
      <w:r w:rsidR="00D21310">
        <w:rPr>
          <w:sz w:val="24"/>
          <w:szCs w:val="24"/>
        </w:rPr>
        <w:t>Ensinos Médio e Superio</w:t>
      </w:r>
      <w:r>
        <w:rPr>
          <w:sz w:val="24"/>
          <w:szCs w:val="24"/>
        </w:rPr>
        <w:t xml:space="preserve">r ao mesmo tempo apresentaram maior autoeficácia no ensino (FERNANDEZ, 2017). Macedo (2009) encontrou, entre professores dos anos iniciais do </w:t>
      </w:r>
      <w:r w:rsidR="00D21310">
        <w:rPr>
          <w:sz w:val="24"/>
          <w:szCs w:val="24"/>
        </w:rPr>
        <w:t>Ensino Fundamental</w:t>
      </w:r>
      <w:r>
        <w:rPr>
          <w:sz w:val="24"/>
          <w:szCs w:val="24"/>
        </w:rPr>
        <w:t xml:space="preserve">, autoeficácia robusta no item ensino (MACEDO, 2009). Neves (2017) </w:t>
      </w:r>
      <w:r>
        <w:rPr>
          <w:sz w:val="24"/>
          <w:szCs w:val="24"/>
        </w:rPr>
        <w:lastRenderedPageBreak/>
        <w:t>também encontrou</w:t>
      </w:r>
      <w:r w:rsidR="00D21310">
        <w:rPr>
          <w:sz w:val="24"/>
          <w:szCs w:val="24"/>
        </w:rPr>
        <w:t>,</w:t>
      </w:r>
      <w:r>
        <w:rPr>
          <w:sz w:val="24"/>
          <w:szCs w:val="24"/>
        </w:rPr>
        <w:t xml:space="preserve"> na subescala autoeficácia no ensino</w:t>
      </w:r>
      <w:r w:rsidR="00D21310">
        <w:rPr>
          <w:sz w:val="24"/>
          <w:szCs w:val="24"/>
        </w:rPr>
        <w:t>,</w:t>
      </w:r>
      <w:r>
        <w:rPr>
          <w:sz w:val="24"/>
          <w:szCs w:val="24"/>
        </w:rPr>
        <w:t xml:space="preserve"> a crença por parte do professor de que os alunos estão dispostos a aprenderem devido à influência do ambiente familiar. </w:t>
      </w:r>
    </w:p>
    <w:p w14:paraId="73F209E6" w14:textId="755EB3ED" w:rsidR="002C12C0" w:rsidRDefault="002C12C0" w:rsidP="002C12C0">
      <w:pPr>
        <w:spacing w:after="0" w:line="360" w:lineRule="auto"/>
        <w:ind w:firstLine="709"/>
        <w:jc w:val="both"/>
        <w:rPr>
          <w:sz w:val="24"/>
          <w:szCs w:val="24"/>
        </w:rPr>
      </w:pPr>
      <w:r>
        <w:rPr>
          <w:sz w:val="24"/>
          <w:szCs w:val="24"/>
        </w:rPr>
        <w:t xml:space="preserve">Educadores com maior tempo de atuação no </w:t>
      </w:r>
      <w:r w:rsidR="00D21310">
        <w:rPr>
          <w:sz w:val="24"/>
          <w:szCs w:val="24"/>
        </w:rPr>
        <w:t xml:space="preserve">Ensino Superior </w:t>
      </w:r>
      <w:r>
        <w:rPr>
          <w:sz w:val="24"/>
          <w:szCs w:val="24"/>
        </w:rPr>
        <w:t xml:space="preserve">(ROCHA, 2009; LIRA, 2017), no </w:t>
      </w:r>
      <w:r w:rsidR="00D21310">
        <w:rPr>
          <w:sz w:val="24"/>
          <w:szCs w:val="24"/>
        </w:rPr>
        <w:t xml:space="preserve">Ensino Médio </w:t>
      </w:r>
      <w:r>
        <w:rPr>
          <w:sz w:val="24"/>
          <w:szCs w:val="24"/>
        </w:rPr>
        <w:t xml:space="preserve">(FERNANDEZ, 2015), no </w:t>
      </w:r>
      <w:r w:rsidR="00D21310">
        <w:rPr>
          <w:sz w:val="24"/>
          <w:szCs w:val="24"/>
        </w:rPr>
        <w:t xml:space="preserve">Ensino Fundamental </w:t>
      </w:r>
      <w:r>
        <w:rPr>
          <w:sz w:val="24"/>
          <w:szCs w:val="24"/>
        </w:rPr>
        <w:t xml:space="preserve">(BOTTI-MANOEL, 2014) e na </w:t>
      </w:r>
      <w:r w:rsidR="00D21310">
        <w:rPr>
          <w:sz w:val="24"/>
          <w:szCs w:val="24"/>
        </w:rPr>
        <w:t xml:space="preserve">Educação Infantil </w:t>
      </w:r>
      <w:r>
        <w:rPr>
          <w:sz w:val="24"/>
          <w:szCs w:val="24"/>
        </w:rPr>
        <w:t>(FERNANDEZ, 2015) apresentaram crenças de autoeficácia mais robustas do que os com menor tempo. Vale esclarecer que</w:t>
      </w:r>
      <w:r w:rsidR="00D21310">
        <w:rPr>
          <w:sz w:val="24"/>
          <w:szCs w:val="24"/>
        </w:rPr>
        <w:t>,</w:t>
      </w:r>
      <w:r>
        <w:rPr>
          <w:sz w:val="24"/>
          <w:szCs w:val="24"/>
        </w:rPr>
        <w:t xml:space="preserve"> no estudo de Rocha (2009)</w:t>
      </w:r>
      <w:r w:rsidR="00D21310">
        <w:rPr>
          <w:sz w:val="24"/>
          <w:szCs w:val="24"/>
        </w:rPr>
        <w:t>,</w:t>
      </w:r>
      <w:r>
        <w:rPr>
          <w:sz w:val="24"/>
          <w:szCs w:val="24"/>
        </w:rPr>
        <w:t xml:space="preserve"> foram categorizadas mais crenças de autoeficácia robusta em docentes com mais de 30 anos de magistério</w:t>
      </w:r>
      <w:r w:rsidR="00D21310">
        <w:rPr>
          <w:sz w:val="24"/>
          <w:szCs w:val="24"/>
        </w:rPr>
        <w:t>;</w:t>
      </w:r>
      <w:r>
        <w:rPr>
          <w:sz w:val="24"/>
          <w:szCs w:val="24"/>
        </w:rPr>
        <w:t xml:space="preserve"> no estudo de Lira (2017) em docentes entre 11 e 20 anos</w:t>
      </w:r>
      <w:r w:rsidR="00D21310">
        <w:rPr>
          <w:sz w:val="24"/>
          <w:szCs w:val="24"/>
        </w:rPr>
        <w:t>;</w:t>
      </w:r>
      <w:r>
        <w:rPr>
          <w:sz w:val="24"/>
          <w:szCs w:val="24"/>
        </w:rPr>
        <w:t xml:space="preserve"> e no estudo de Fernandez (2015), de 15 a 20 anos. Docentes do </w:t>
      </w:r>
      <w:r w:rsidR="00D21310">
        <w:rPr>
          <w:sz w:val="24"/>
          <w:szCs w:val="24"/>
        </w:rPr>
        <w:t>Ensino Superior</w:t>
      </w:r>
      <w:r>
        <w:rPr>
          <w:sz w:val="24"/>
          <w:szCs w:val="24"/>
        </w:rPr>
        <w:t xml:space="preserve">, com jornada de trabalho superior a 40 horas/aula semanais (ROCHA, 2209; LIRA, 2017) e com tamanho de turma menor (menor quantidade de alunos em sala), com pós-doutorado (ROCHA, 2009), que consideravam a infraestrutura suficiente (ROCHA, 2009), relataram altas crenças de autoeficácia. </w:t>
      </w:r>
    </w:p>
    <w:p w14:paraId="2772C022" w14:textId="5ED5BBDE" w:rsidR="002C12C0" w:rsidRDefault="002C12C0" w:rsidP="002C12C0">
      <w:pPr>
        <w:spacing w:after="0" w:line="360" w:lineRule="auto"/>
        <w:ind w:firstLine="709"/>
        <w:jc w:val="both"/>
      </w:pPr>
      <w:r>
        <w:rPr>
          <w:sz w:val="24"/>
          <w:szCs w:val="24"/>
        </w:rPr>
        <w:t xml:space="preserve">O estudo de Lira (2017) encontrou entre professores universitários correlação entre CAE rebaixada e maior probabilidade de exaustão emocional e despersonalização e propensão ao </w:t>
      </w:r>
      <w:r>
        <w:rPr>
          <w:i/>
          <w:sz w:val="24"/>
          <w:szCs w:val="24"/>
          <w:shd w:val="clear" w:color="auto" w:fill="FFFFFF"/>
        </w:rPr>
        <w:t>burnout</w:t>
      </w:r>
      <w:r>
        <w:rPr>
          <w:sz w:val="24"/>
          <w:szCs w:val="24"/>
          <w:shd w:val="clear" w:color="auto" w:fill="FFFFFF"/>
        </w:rPr>
        <w:t xml:space="preserve"> </w:t>
      </w:r>
      <w:r>
        <w:rPr>
          <w:sz w:val="24"/>
          <w:szCs w:val="24"/>
        </w:rPr>
        <w:t>(</w:t>
      </w:r>
      <w:r>
        <w:rPr>
          <w:sz w:val="24"/>
          <w:szCs w:val="24"/>
          <w:shd w:val="clear" w:color="auto" w:fill="FFFFFF"/>
        </w:rPr>
        <w:t>BERNA</w:t>
      </w:r>
      <w:r w:rsidR="004928EF">
        <w:rPr>
          <w:sz w:val="24"/>
          <w:szCs w:val="24"/>
          <w:shd w:val="clear" w:color="auto" w:fill="FFFFFF"/>
        </w:rPr>
        <w:t>R</w:t>
      </w:r>
      <w:r>
        <w:rPr>
          <w:sz w:val="24"/>
          <w:szCs w:val="24"/>
          <w:shd w:val="clear" w:color="auto" w:fill="FFFFFF"/>
        </w:rPr>
        <w:t>DINI, 2017), traduzidos em comportamentos tais como: prevalência de cansaço intenso, distúrbios do sono e desânimo</w:t>
      </w:r>
      <w:r>
        <w:rPr>
          <w:sz w:val="24"/>
          <w:szCs w:val="24"/>
        </w:rPr>
        <w:t xml:space="preserve">. Entre professores dos </w:t>
      </w:r>
      <w:r w:rsidR="00D21310">
        <w:rPr>
          <w:sz w:val="24"/>
          <w:szCs w:val="24"/>
        </w:rPr>
        <w:t xml:space="preserve">Ensinos Fundamental e Médio </w:t>
      </w:r>
      <w:r>
        <w:rPr>
          <w:sz w:val="24"/>
          <w:szCs w:val="24"/>
        </w:rPr>
        <w:t xml:space="preserve">foram encontradas crenças de autoeficácia rebaixada quanto à: avaliação de </w:t>
      </w:r>
      <w:r w:rsidRPr="00381CD3">
        <w:rPr>
          <w:i/>
          <w:iCs/>
          <w:sz w:val="24"/>
          <w:szCs w:val="24"/>
        </w:rPr>
        <w:t>softwares</w:t>
      </w:r>
      <w:r>
        <w:rPr>
          <w:sz w:val="24"/>
          <w:szCs w:val="24"/>
        </w:rPr>
        <w:t xml:space="preserve"> educacionais, utilização adequada da terminologia de informática, incrementar maneiras criativas de lidar com restrições do sistema, ensinar utilizando a tecnologia, requerer e julgar projetos realizados pelos estudantes usando as tecnologias; avaliar a aprendizagem do aluno quando o conteúdo foi assimilado mediante as tecnologias de informática (</w:t>
      </w:r>
      <w:bookmarkStart w:id="22" w:name="_Hlk20351708"/>
      <w:r>
        <w:rPr>
          <w:sz w:val="24"/>
          <w:szCs w:val="24"/>
        </w:rPr>
        <w:t>ALVARENGA, 2011)</w:t>
      </w:r>
      <w:r w:rsidR="00D21310">
        <w:rPr>
          <w:sz w:val="24"/>
          <w:szCs w:val="24"/>
        </w:rPr>
        <w:t>.</w:t>
      </w:r>
      <w:r>
        <w:rPr>
          <w:sz w:val="24"/>
          <w:szCs w:val="24"/>
        </w:rPr>
        <w:t xml:space="preserve"> </w:t>
      </w:r>
    </w:p>
    <w:bookmarkEnd w:id="22"/>
    <w:p w14:paraId="7841A167" w14:textId="07325506" w:rsidR="002C12C0" w:rsidRDefault="002C12C0" w:rsidP="002C12C0">
      <w:pPr>
        <w:spacing w:after="0" w:line="360" w:lineRule="auto"/>
        <w:ind w:firstLine="709"/>
        <w:jc w:val="both"/>
        <w:rPr>
          <w:sz w:val="24"/>
          <w:szCs w:val="24"/>
        </w:rPr>
      </w:pPr>
      <w:r>
        <w:rPr>
          <w:sz w:val="24"/>
          <w:szCs w:val="24"/>
        </w:rPr>
        <w:t xml:space="preserve">Na área de crenças de autoeficácia computacional docente, os professores dos </w:t>
      </w:r>
      <w:r w:rsidR="00D21310">
        <w:rPr>
          <w:sz w:val="24"/>
          <w:szCs w:val="24"/>
        </w:rPr>
        <w:t xml:space="preserve">Ensinos Fundamental e Médio </w:t>
      </w:r>
      <w:r>
        <w:rPr>
          <w:sz w:val="24"/>
          <w:szCs w:val="24"/>
        </w:rPr>
        <w:t>com autoeficácia robusta relataram maior confiança para motivar alunos a participarem de projetos com o uso de tecnologias de informática (ALVARENGA, 2011). Um curso de formação continuada sobre o uso das mídias digitais em sala de aula ofertado para um grupo de professores do Ensino Fundamental II e do Ensino Médio não mudou de maneira significativa as crenças na área computacional (</w:t>
      </w:r>
      <w:bookmarkStart w:id="23" w:name="_Hlk20351738"/>
      <w:r>
        <w:rPr>
          <w:sz w:val="24"/>
          <w:szCs w:val="24"/>
        </w:rPr>
        <w:t>SCHIMID, 2015</w:t>
      </w:r>
      <w:bookmarkEnd w:id="23"/>
      <w:r>
        <w:rPr>
          <w:sz w:val="24"/>
          <w:szCs w:val="24"/>
        </w:rPr>
        <w:t xml:space="preserve">). </w:t>
      </w:r>
    </w:p>
    <w:p w14:paraId="08D9F072" w14:textId="77777777" w:rsidR="002C12C0" w:rsidRDefault="002C12C0" w:rsidP="002C12C0">
      <w:pPr>
        <w:spacing w:after="0" w:line="360" w:lineRule="auto"/>
        <w:ind w:firstLine="709"/>
        <w:jc w:val="both"/>
        <w:rPr>
          <w:sz w:val="24"/>
          <w:szCs w:val="24"/>
        </w:rPr>
      </w:pPr>
    </w:p>
    <w:p w14:paraId="2BE9FAFD" w14:textId="77777777" w:rsidR="002C12C0" w:rsidRDefault="002C12C0" w:rsidP="002C12C0">
      <w:pPr>
        <w:pStyle w:val="PargrafodaLista"/>
        <w:numPr>
          <w:ilvl w:val="0"/>
          <w:numId w:val="25"/>
        </w:numPr>
        <w:tabs>
          <w:tab w:val="left" w:pos="284"/>
        </w:tabs>
        <w:spacing w:after="120" w:line="360" w:lineRule="auto"/>
        <w:ind w:left="0" w:firstLine="0"/>
        <w:jc w:val="both"/>
        <w:rPr>
          <w:rFonts w:ascii="Times New Roman" w:hAnsi="Times New Roman" w:cs="Times New Roman"/>
          <w:b/>
          <w:sz w:val="24"/>
        </w:rPr>
      </w:pPr>
      <w:r>
        <w:rPr>
          <w:rFonts w:ascii="Times New Roman" w:hAnsi="Times New Roman" w:cs="Times New Roman"/>
          <w:b/>
          <w:sz w:val="24"/>
        </w:rPr>
        <w:t>CONSIDERAÇÕES FINAIS</w:t>
      </w:r>
    </w:p>
    <w:p w14:paraId="4A4E90E1" w14:textId="00F296AC" w:rsidR="002C12C0" w:rsidRDefault="002C12C0" w:rsidP="002C12C0">
      <w:pPr>
        <w:pStyle w:val="PargrafodaLista"/>
        <w:spacing w:after="120" w:line="360" w:lineRule="auto"/>
        <w:ind w:left="0" w:firstLine="709"/>
        <w:jc w:val="both"/>
      </w:pPr>
      <w:r>
        <w:rPr>
          <w:rFonts w:ascii="Times New Roman" w:hAnsi="Times New Roman" w:cs="Times New Roman"/>
          <w:sz w:val="24"/>
          <w:szCs w:val="24"/>
        </w:rPr>
        <w:lastRenderedPageBreak/>
        <w:t>O presente trabalho apresentou uma revisão sistemática sobre crenças de autoeficácia na educação</w:t>
      </w:r>
      <w:r w:rsidR="00754C71">
        <w:rPr>
          <w:rFonts w:ascii="Times New Roman" w:hAnsi="Times New Roman" w:cs="Times New Roman"/>
          <w:sz w:val="24"/>
          <w:szCs w:val="24"/>
        </w:rPr>
        <w:t>. Foram analisadas t</w:t>
      </w:r>
      <w:r>
        <w:rPr>
          <w:rFonts w:ascii="Times New Roman" w:hAnsi="Times New Roman" w:cs="Times New Roman"/>
          <w:sz w:val="24"/>
          <w:szCs w:val="24"/>
        </w:rPr>
        <w:t>eses e dissertações catalogadas no repositório da Capes, entre 2007 e 2017</w:t>
      </w:r>
      <w:r w:rsidR="00754C71">
        <w:rPr>
          <w:rFonts w:ascii="Times New Roman" w:hAnsi="Times New Roman" w:cs="Times New Roman"/>
          <w:sz w:val="24"/>
          <w:szCs w:val="24"/>
        </w:rPr>
        <w:t>.</w:t>
      </w:r>
      <w:r>
        <w:rPr>
          <w:rFonts w:ascii="Times New Roman" w:hAnsi="Times New Roman" w:cs="Times New Roman"/>
          <w:sz w:val="24"/>
          <w:szCs w:val="24"/>
        </w:rPr>
        <w:t xml:space="preserve"> Foram encontrados 92 trabalhos (30 teses e 62 dissertações), defendidos em 33 universidades nesse período. Os resultados mostram que a maioria das teses e</w:t>
      </w:r>
      <w:r w:rsidR="00D21310">
        <w:rPr>
          <w:rFonts w:ascii="Times New Roman" w:hAnsi="Times New Roman" w:cs="Times New Roman"/>
          <w:sz w:val="24"/>
          <w:szCs w:val="24"/>
        </w:rPr>
        <w:t xml:space="preserve"> das</w:t>
      </w:r>
      <w:r>
        <w:rPr>
          <w:rFonts w:ascii="Times New Roman" w:hAnsi="Times New Roman" w:cs="Times New Roman"/>
          <w:sz w:val="24"/>
          <w:szCs w:val="24"/>
        </w:rPr>
        <w:t xml:space="preserve"> dissertações foi defendida em programas de </w:t>
      </w:r>
      <w:r w:rsidR="00D21310">
        <w:rPr>
          <w:rFonts w:ascii="Times New Roman" w:hAnsi="Times New Roman" w:cs="Times New Roman"/>
          <w:sz w:val="24"/>
          <w:szCs w:val="24"/>
        </w:rPr>
        <w:t xml:space="preserve">Pós-Graduação </w:t>
      </w:r>
      <w:r>
        <w:rPr>
          <w:rFonts w:ascii="Times New Roman" w:hAnsi="Times New Roman" w:cs="Times New Roman"/>
          <w:sz w:val="24"/>
          <w:szCs w:val="24"/>
        </w:rPr>
        <w:t xml:space="preserve">de universidades públicas das regiões Sudeste e Sul, com destaque para a Unicamp e a UFRGS. Aparentemente, há uma tendência de crescimento da temática das crenças de autoeficácia nos últimos anos. Na parte qualitativa, destacou-se nos níveis de </w:t>
      </w:r>
      <w:r w:rsidR="00D21310">
        <w:rPr>
          <w:rFonts w:ascii="Times New Roman" w:hAnsi="Times New Roman" w:cs="Times New Roman"/>
          <w:sz w:val="24"/>
          <w:szCs w:val="24"/>
        </w:rPr>
        <w:t xml:space="preserve">Ensinos Superior, Médio, Fundamental e Infantil </w:t>
      </w:r>
      <w:r>
        <w:rPr>
          <w:rFonts w:ascii="Times New Roman" w:hAnsi="Times New Roman" w:cs="Times New Roman"/>
          <w:sz w:val="24"/>
          <w:szCs w:val="24"/>
        </w:rPr>
        <w:t>a importância do apoio dos colegas (ROCHA, 2009; MACEDO, 2009), da escola (ROCHA, 2009; MACEDO, 2009; BOTTI-MANOEL, 2014; FERNANDEZ, 2015; FERREIRA, 2011) e o maior tempo de docência (FERNANDEZ, 2015; ROCHA, 2009; LIRA, 2017; BOTTI-MANOEL, 2014) na construção de crenças de autoeficácia docente positivas e robustas, no que diz respeito à intencionalidade da ação docente (ROCHA, 2009; SILVA, 2016),  ao manejo de classe (ROCHA, 2009; FERNANDEZ, 2015; MACEDO, 2009; MACEDO, 2009; SILVA, 2016), à autoeficácia pessoal (NEVES, 2017; DOMINGUES, 2017) e à autoeficácia pessoal nos fatores avaliação (NEVES, 2017) e ensino (FERNANDEZ, 2017; MACEDO, 2009; NEVES, 2017).</w:t>
      </w:r>
    </w:p>
    <w:p w14:paraId="4318E0D4" w14:textId="77777777" w:rsidR="002C12C0" w:rsidRDefault="002C12C0" w:rsidP="002C12C0">
      <w:pPr>
        <w:pStyle w:val="PargrafodaLista"/>
        <w:spacing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Como ocorre na proposta da revisão sistemática, os resultados apontam tanto as contribuições da pesquisa, como também suas lacunas. As poucas áreas disciplinares pesquisadas (Matemática, Música, Física, Educação Física e Língua Estrangeira) ilustram essa lacuna e ainda instigam questionamentos.</w:t>
      </w:r>
    </w:p>
    <w:p w14:paraId="2C75FDBB" w14:textId="791ABBE4" w:rsidR="002C12C0" w:rsidRDefault="002C12C0" w:rsidP="002C12C0">
      <w:pPr>
        <w:pStyle w:val="PargrafodaLista"/>
        <w:spacing w:after="12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Há </w:t>
      </w:r>
      <w:r w:rsidR="004928EF">
        <w:rPr>
          <w:rFonts w:ascii="Times New Roman" w:hAnsi="Times New Roman" w:cs="Times New Roman"/>
          <w:sz w:val="24"/>
          <w:szCs w:val="24"/>
        </w:rPr>
        <w:t>de</w:t>
      </w:r>
      <w:r>
        <w:rPr>
          <w:rFonts w:ascii="Times New Roman" w:hAnsi="Times New Roman" w:cs="Times New Roman"/>
          <w:sz w:val="24"/>
          <w:szCs w:val="24"/>
        </w:rPr>
        <w:t xml:space="preserve"> salientar</w:t>
      </w:r>
      <w:r w:rsidR="004928EF">
        <w:rPr>
          <w:rFonts w:ascii="Times New Roman" w:hAnsi="Times New Roman" w:cs="Times New Roman"/>
          <w:sz w:val="24"/>
          <w:szCs w:val="24"/>
        </w:rPr>
        <w:t>em-se</w:t>
      </w:r>
      <w:r>
        <w:rPr>
          <w:rFonts w:ascii="Times New Roman" w:hAnsi="Times New Roman" w:cs="Times New Roman"/>
          <w:sz w:val="24"/>
          <w:szCs w:val="24"/>
        </w:rPr>
        <w:t xml:space="preserve"> algumas dificuldades relacionadas ao método de pesquisa escolhido, a revisão sistemática, dado que es</w:t>
      </w:r>
      <w:r w:rsidR="004928EF">
        <w:rPr>
          <w:rFonts w:ascii="Times New Roman" w:hAnsi="Times New Roman" w:cs="Times New Roman"/>
          <w:sz w:val="24"/>
          <w:szCs w:val="24"/>
        </w:rPr>
        <w:t>s</w:t>
      </w:r>
      <w:r>
        <w:rPr>
          <w:rFonts w:ascii="Times New Roman" w:hAnsi="Times New Roman" w:cs="Times New Roman"/>
          <w:sz w:val="24"/>
          <w:szCs w:val="24"/>
        </w:rPr>
        <w:t>e modelo de investigação é utilizado primordialmente em medicina e outras ciências médicas, e sua adaptação para as ciências humanas é ainda incipiente. Houve uma disposição das autoras em explicar minuciosamente os procedimentos de pesquisa, com o intuito de obedecer ao rigor metodológico proposto pela revisão sistemática, principalmente no que tange aos seus princípios básicos.</w:t>
      </w:r>
    </w:p>
    <w:p w14:paraId="4593CB2C" w14:textId="2EA91B72" w:rsidR="002C12C0" w:rsidRDefault="002C12C0" w:rsidP="002C12C0">
      <w:pPr>
        <w:pStyle w:val="PargrafodaLista"/>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Considerando-se que o presente estudo privilegia um aspecto panorâmico do objeto de estudo, a investigação sobre as crenças de autoeficácia não se esgota nos resultados apresentados. Um aprofundamento dos temas estudados nas teses e </w:t>
      </w:r>
      <w:r w:rsidR="004928EF">
        <w:rPr>
          <w:rFonts w:ascii="Times New Roman" w:hAnsi="Times New Roman" w:cs="Times New Roman"/>
          <w:sz w:val="24"/>
          <w:szCs w:val="24"/>
        </w:rPr>
        <w:t xml:space="preserve">nas </w:t>
      </w:r>
      <w:r>
        <w:rPr>
          <w:rFonts w:ascii="Times New Roman" w:hAnsi="Times New Roman" w:cs="Times New Roman"/>
          <w:sz w:val="24"/>
          <w:szCs w:val="24"/>
        </w:rPr>
        <w:t xml:space="preserve">dissertações deve ser proposto, com o intuito de trazer à tona as questões relacionadas às crenças de autoeficácia de professores na sua prática docente, na interação com seus alunos, nas indagações acerca de </w:t>
      </w:r>
      <w:r>
        <w:rPr>
          <w:rFonts w:ascii="Times New Roman" w:hAnsi="Times New Roman" w:cs="Times New Roman"/>
          <w:sz w:val="24"/>
          <w:szCs w:val="24"/>
        </w:rPr>
        <w:lastRenderedPageBreak/>
        <w:t xml:space="preserve">suas motivações e competências, nas suas expectativas profissionais, dentre tantos outros. Por fim, pretende-se, a partir desta investigação, abrir espaços de atuação nas escolas para as contribuições potenciais das crenças de autoeficácia para a formação inicial e continuada de educadores e a aprendizagem dos alunos nos diversos níveis de escolaridade. </w:t>
      </w:r>
    </w:p>
    <w:p w14:paraId="5B0CD7D6" w14:textId="0F95BCAD" w:rsidR="001E1F40" w:rsidRDefault="001E1F40">
      <w:pPr>
        <w:rPr>
          <w:b/>
        </w:rPr>
      </w:pPr>
      <w:bookmarkStart w:id="24" w:name="_GoBack"/>
      <w:bookmarkEnd w:id="24"/>
      <w:r>
        <w:rPr>
          <w:b/>
        </w:rPr>
        <w:br w:type="page"/>
      </w:r>
    </w:p>
    <w:p w14:paraId="23FFA244" w14:textId="47C9C90F" w:rsidR="00E94FD3" w:rsidRPr="00F74337" w:rsidRDefault="00940050" w:rsidP="00F74337">
      <w:pPr>
        <w:spacing w:after="0" w:line="360" w:lineRule="auto"/>
        <w:rPr>
          <w:b/>
          <w:color w:val="FF0000"/>
        </w:rPr>
      </w:pPr>
      <w:r w:rsidRPr="00F856D7">
        <w:rPr>
          <w:b/>
        </w:rPr>
        <w:lastRenderedPageBreak/>
        <w:t>REFERÊNCIAS</w:t>
      </w:r>
      <w:r w:rsidR="00297898" w:rsidRPr="00F856D7">
        <w:rPr>
          <w:b/>
        </w:rPr>
        <w:t xml:space="preserve"> </w:t>
      </w:r>
    </w:p>
    <w:p w14:paraId="2C1C73AC" w14:textId="782ABDC6" w:rsidR="001E1F40" w:rsidRPr="003F24D7" w:rsidRDefault="001E1F40" w:rsidP="001E1F40">
      <w:pPr>
        <w:spacing w:before="200" w:after="200"/>
        <w:jc w:val="both"/>
        <w:rPr>
          <w:sz w:val="24"/>
          <w:szCs w:val="24"/>
        </w:rPr>
      </w:pPr>
      <w:r w:rsidRPr="003F24D7">
        <w:rPr>
          <w:sz w:val="24"/>
          <w:szCs w:val="24"/>
        </w:rPr>
        <w:t xml:space="preserve">ALVARENGA, Cacilda Encarnação Augusto. </w:t>
      </w:r>
      <w:r w:rsidRPr="003F24D7">
        <w:rPr>
          <w:b/>
          <w:sz w:val="24"/>
          <w:szCs w:val="24"/>
        </w:rPr>
        <w:t>Autoeficácia de professores para utilizarem tecnologias de informática no ensino</w:t>
      </w:r>
      <w:r w:rsidRPr="003F24D7">
        <w:rPr>
          <w:bCs/>
          <w:sz w:val="24"/>
          <w:szCs w:val="24"/>
        </w:rPr>
        <w:t xml:space="preserve">. </w:t>
      </w:r>
      <w:r w:rsidRPr="003F24D7">
        <w:rPr>
          <w:sz w:val="24"/>
          <w:szCs w:val="24"/>
        </w:rPr>
        <w:t>2011.183 f. Tese (Doutorado em Educação)</w:t>
      </w:r>
      <w:r w:rsidR="004928EF" w:rsidRPr="003F24D7">
        <w:rPr>
          <w:sz w:val="24"/>
          <w:szCs w:val="24"/>
        </w:rPr>
        <w:t xml:space="preserve"> -</w:t>
      </w:r>
      <w:r w:rsidRPr="003F24D7">
        <w:rPr>
          <w:sz w:val="24"/>
          <w:szCs w:val="24"/>
        </w:rPr>
        <w:t xml:space="preserve"> Faculdade de Educação, Universidade Estadual de Campinas, Campinas, 2011.</w:t>
      </w:r>
    </w:p>
    <w:p w14:paraId="5923AFC1" w14:textId="656A22A7" w:rsidR="003F24D7" w:rsidRPr="003F24D7" w:rsidRDefault="001E1F40" w:rsidP="001E1F40">
      <w:pPr>
        <w:spacing w:before="200" w:after="200"/>
        <w:jc w:val="both"/>
        <w:rPr>
          <w:sz w:val="24"/>
          <w:szCs w:val="24"/>
          <w:shd w:val="clear" w:color="auto" w:fill="FFFFFF"/>
        </w:rPr>
      </w:pPr>
      <w:r w:rsidRPr="003F24D7">
        <w:rPr>
          <w:sz w:val="24"/>
          <w:szCs w:val="24"/>
        </w:rPr>
        <w:t>ANTUNES, Mitsuko Aparecida Makino. Psicologia Escolar e Educacional: história, compromissos e perspectivas.</w:t>
      </w:r>
      <w:r w:rsidRPr="003F24D7">
        <w:rPr>
          <w:b/>
          <w:bCs/>
          <w:sz w:val="24"/>
          <w:szCs w:val="24"/>
        </w:rPr>
        <w:t> </w:t>
      </w:r>
      <w:r w:rsidR="004928EF" w:rsidRPr="003F24D7">
        <w:rPr>
          <w:b/>
          <w:bCs/>
          <w:sz w:val="24"/>
          <w:szCs w:val="24"/>
        </w:rPr>
        <w:t>P</w:t>
      </w:r>
      <w:r w:rsidR="004928EF" w:rsidRPr="003F24D7">
        <w:rPr>
          <w:rStyle w:val="nfase"/>
          <w:b/>
          <w:bCs/>
          <w:i w:val="0"/>
          <w:iCs w:val="0"/>
          <w:sz w:val="24"/>
          <w:szCs w:val="24"/>
        </w:rPr>
        <w:t>sicologia</w:t>
      </w:r>
      <w:r w:rsidR="004928EF" w:rsidRPr="003F24D7">
        <w:rPr>
          <w:rStyle w:val="st"/>
          <w:b/>
          <w:bCs/>
          <w:sz w:val="24"/>
          <w:szCs w:val="24"/>
        </w:rPr>
        <w:t xml:space="preserve"> Escolar e Educacional</w:t>
      </w:r>
      <w:r w:rsidR="004928EF" w:rsidRPr="003F24D7">
        <w:rPr>
          <w:rStyle w:val="st"/>
          <w:sz w:val="24"/>
          <w:szCs w:val="24"/>
        </w:rPr>
        <w:t xml:space="preserve">, </w:t>
      </w:r>
      <w:r w:rsidRPr="003F24D7">
        <w:rPr>
          <w:sz w:val="24"/>
          <w:szCs w:val="24"/>
        </w:rPr>
        <w:t>Campinas,  v. 12, n. 2, </w:t>
      </w:r>
      <w:r w:rsidR="004928EF" w:rsidRPr="003F24D7">
        <w:rPr>
          <w:sz w:val="24"/>
          <w:szCs w:val="24"/>
        </w:rPr>
        <w:t xml:space="preserve">p. 469-475, </w:t>
      </w:r>
      <w:r w:rsidRPr="003F24D7">
        <w:rPr>
          <w:sz w:val="24"/>
          <w:szCs w:val="24"/>
        </w:rPr>
        <w:t xml:space="preserve">2008. </w:t>
      </w:r>
      <w:r w:rsidR="003F24D7" w:rsidRPr="003F24D7">
        <w:rPr>
          <w:sz w:val="24"/>
          <w:szCs w:val="24"/>
        </w:rPr>
        <w:t xml:space="preserve">DOI: </w:t>
      </w:r>
      <w:hyperlink r:id="rId21" w:history="1">
        <w:r w:rsidR="003F24D7" w:rsidRPr="003F24D7">
          <w:rPr>
            <w:rStyle w:val="Hyperlink"/>
            <w:sz w:val="24"/>
            <w:szCs w:val="24"/>
          </w:rPr>
          <w:t>http://dx.doi.org/10.1590/S1413-85572008000200020</w:t>
        </w:r>
      </w:hyperlink>
    </w:p>
    <w:p w14:paraId="2A77CB56" w14:textId="33C03EDB" w:rsidR="001E1F40" w:rsidRPr="003F24D7" w:rsidRDefault="003F24D7" w:rsidP="001E1F40">
      <w:pPr>
        <w:spacing w:before="200" w:after="200"/>
        <w:jc w:val="both"/>
        <w:rPr>
          <w:sz w:val="24"/>
          <w:szCs w:val="24"/>
          <w:shd w:val="clear" w:color="auto" w:fill="FFFFFF"/>
        </w:rPr>
      </w:pPr>
      <w:r w:rsidRPr="003F24D7">
        <w:rPr>
          <w:sz w:val="24"/>
          <w:szCs w:val="24"/>
          <w:shd w:val="clear" w:color="auto" w:fill="FFFFFF"/>
        </w:rPr>
        <w:t> </w:t>
      </w:r>
      <w:r w:rsidR="001E1F40" w:rsidRPr="003F24D7">
        <w:rPr>
          <w:sz w:val="24"/>
          <w:szCs w:val="24"/>
          <w:shd w:val="clear" w:color="auto" w:fill="FFFFFF"/>
        </w:rPr>
        <w:t xml:space="preserve">AZZI, Roberta, Gurgel. Introdução à Teoria Social Cognitiva. </w:t>
      </w:r>
      <w:r w:rsidR="001E1F40" w:rsidRPr="003F24D7">
        <w:rPr>
          <w:b/>
          <w:sz w:val="24"/>
          <w:szCs w:val="24"/>
          <w:shd w:val="clear" w:color="auto" w:fill="FFFFFF"/>
        </w:rPr>
        <w:t>Série Teoria Social Cognitiva em Contexto Educativo</w:t>
      </w:r>
      <w:r w:rsidR="001E1F40" w:rsidRPr="003F24D7">
        <w:rPr>
          <w:sz w:val="24"/>
          <w:szCs w:val="24"/>
          <w:shd w:val="clear" w:color="auto" w:fill="FFFFFF"/>
        </w:rPr>
        <w:t>, v. 1. São Paulo: Casa do Psicólogo, 2014.</w:t>
      </w:r>
    </w:p>
    <w:p w14:paraId="02A18C19" w14:textId="1B91D3B4" w:rsidR="001E1F40" w:rsidRPr="003F24D7" w:rsidRDefault="001E1F40" w:rsidP="001E1F40">
      <w:pPr>
        <w:spacing w:before="200" w:after="200"/>
        <w:jc w:val="both"/>
        <w:rPr>
          <w:sz w:val="24"/>
          <w:szCs w:val="24"/>
        </w:rPr>
      </w:pPr>
      <w:r w:rsidRPr="003F24D7">
        <w:rPr>
          <w:sz w:val="24"/>
          <w:szCs w:val="24"/>
        </w:rPr>
        <w:t>BANDURA, Albert. A teoria social cognitiva e auto-eficácia: uma visão geral. In: BANDURA, Albert; AZZI, Roberta Gurgel; POLYDORO, Soely Aparecida Jorge.</w:t>
      </w:r>
      <w:r w:rsidR="004928EF" w:rsidRPr="003F24D7">
        <w:rPr>
          <w:sz w:val="24"/>
          <w:szCs w:val="24"/>
        </w:rPr>
        <w:t xml:space="preserve"> (orgs.).</w:t>
      </w:r>
      <w:r w:rsidRPr="003F24D7">
        <w:rPr>
          <w:sz w:val="24"/>
          <w:szCs w:val="24"/>
        </w:rPr>
        <w:t xml:space="preserve"> </w:t>
      </w:r>
      <w:r w:rsidRPr="003F24D7">
        <w:rPr>
          <w:b/>
          <w:bCs/>
          <w:sz w:val="24"/>
          <w:szCs w:val="24"/>
        </w:rPr>
        <w:t xml:space="preserve">Teoria cognitiva: </w:t>
      </w:r>
      <w:r w:rsidRPr="003F24D7">
        <w:rPr>
          <w:bCs/>
          <w:sz w:val="24"/>
          <w:szCs w:val="24"/>
        </w:rPr>
        <w:t>conceitos básicos.</w:t>
      </w:r>
      <w:r w:rsidRPr="003F24D7">
        <w:rPr>
          <w:sz w:val="24"/>
          <w:szCs w:val="24"/>
        </w:rPr>
        <w:t xml:space="preserve"> Porto Alegre: Artmed 2008. p. 69-96.</w:t>
      </w:r>
    </w:p>
    <w:p w14:paraId="2BE9C23A" w14:textId="387B91E2" w:rsidR="001E1F40" w:rsidRPr="003F24D7" w:rsidRDefault="001E1F40" w:rsidP="001E1F40">
      <w:pPr>
        <w:spacing w:before="200" w:after="200"/>
        <w:jc w:val="both"/>
        <w:rPr>
          <w:sz w:val="24"/>
          <w:szCs w:val="24"/>
          <w:highlight w:val="white"/>
          <w:lang w:val="en-US"/>
        </w:rPr>
      </w:pPr>
      <w:r w:rsidRPr="003F24D7">
        <w:rPr>
          <w:sz w:val="24"/>
          <w:szCs w:val="24"/>
        </w:rPr>
        <w:t xml:space="preserve">BANDURA, Albert. </w:t>
      </w:r>
      <w:r w:rsidRPr="003F24D7">
        <w:rPr>
          <w:b/>
          <w:bCs/>
          <w:sz w:val="24"/>
          <w:szCs w:val="24"/>
          <w:lang w:val="en-US"/>
        </w:rPr>
        <w:t>Self-efficacy</w:t>
      </w:r>
      <w:r w:rsidRPr="003F24D7">
        <w:rPr>
          <w:sz w:val="24"/>
          <w:szCs w:val="24"/>
          <w:lang w:val="en-US"/>
        </w:rPr>
        <w:t>: the exercise of control. New York: W. H. Freeman, 1997.</w:t>
      </w:r>
    </w:p>
    <w:p w14:paraId="6E3C9721" w14:textId="2A35D9AE" w:rsidR="001E1F40" w:rsidRPr="003F24D7" w:rsidRDefault="001E1F40" w:rsidP="001E1F40">
      <w:pPr>
        <w:spacing w:before="200" w:after="200"/>
        <w:jc w:val="both"/>
        <w:rPr>
          <w:sz w:val="24"/>
          <w:szCs w:val="24"/>
        </w:rPr>
      </w:pPr>
      <w:r w:rsidRPr="003F24D7">
        <w:rPr>
          <w:sz w:val="24"/>
          <w:szCs w:val="24"/>
        </w:rPr>
        <w:t>BERNARDINI, Priscile. </w:t>
      </w:r>
      <w:r w:rsidRPr="003F24D7">
        <w:rPr>
          <w:b/>
          <w:sz w:val="24"/>
          <w:szCs w:val="24"/>
        </w:rPr>
        <w:t>Estudo correlacional sobre autoeficácia e Burnout no trabalho docente no ensino superior</w:t>
      </w:r>
      <w:r w:rsidRPr="003F24D7">
        <w:rPr>
          <w:sz w:val="24"/>
          <w:szCs w:val="24"/>
        </w:rPr>
        <w:t xml:space="preserve">. 2017. </w:t>
      </w:r>
      <w:r w:rsidR="004928EF" w:rsidRPr="003F24D7">
        <w:rPr>
          <w:sz w:val="24"/>
          <w:szCs w:val="24"/>
        </w:rPr>
        <w:t xml:space="preserve">102 f. </w:t>
      </w:r>
      <w:r w:rsidRPr="003F24D7">
        <w:rPr>
          <w:sz w:val="24"/>
          <w:szCs w:val="24"/>
        </w:rPr>
        <w:t>Dissertação (Mestrado em Educação)</w:t>
      </w:r>
      <w:r w:rsidR="004928EF" w:rsidRPr="003F24D7">
        <w:rPr>
          <w:sz w:val="24"/>
          <w:szCs w:val="24"/>
        </w:rPr>
        <w:t xml:space="preserve"> -</w:t>
      </w:r>
      <w:r w:rsidRPr="003F24D7">
        <w:rPr>
          <w:sz w:val="24"/>
          <w:szCs w:val="24"/>
        </w:rPr>
        <w:t xml:space="preserve"> Universidade do Oeste Paulista, Presidente Prudente, 2017. </w:t>
      </w:r>
    </w:p>
    <w:p w14:paraId="093CE909" w14:textId="49E6A3F2" w:rsidR="001E1F40" w:rsidRPr="003F24D7" w:rsidRDefault="001E1F40" w:rsidP="001E1F40">
      <w:pPr>
        <w:spacing w:before="200" w:after="200"/>
        <w:jc w:val="both"/>
        <w:rPr>
          <w:sz w:val="24"/>
          <w:szCs w:val="24"/>
        </w:rPr>
      </w:pPr>
      <w:r w:rsidRPr="003F24D7">
        <w:rPr>
          <w:sz w:val="24"/>
          <w:szCs w:val="24"/>
        </w:rPr>
        <w:t xml:space="preserve">BOTTI-MANOEL, Karina. </w:t>
      </w:r>
      <w:r w:rsidRPr="003F24D7">
        <w:rPr>
          <w:b/>
          <w:sz w:val="24"/>
          <w:szCs w:val="24"/>
        </w:rPr>
        <w:t>Crenças de eficácia coletiva de professores, variáveis pessoais e contextuais</w:t>
      </w:r>
      <w:r w:rsidRPr="003F24D7">
        <w:rPr>
          <w:sz w:val="24"/>
          <w:szCs w:val="24"/>
        </w:rPr>
        <w:t>. 2014. 94 f. Dissertação (Mestrado em Educação)</w:t>
      </w:r>
      <w:r w:rsidR="004928EF" w:rsidRPr="003F24D7">
        <w:rPr>
          <w:sz w:val="24"/>
          <w:szCs w:val="24"/>
        </w:rPr>
        <w:t xml:space="preserve"> -</w:t>
      </w:r>
      <w:r w:rsidRPr="003F24D7">
        <w:rPr>
          <w:sz w:val="24"/>
          <w:szCs w:val="24"/>
        </w:rPr>
        <w:t xml:space="preserve"> Centro de Educação, Comunicação e Artes, Universidade Estadual de Londrina, Londrina, 2014. </w:t>
      </w:r>
    </w:p>
    <w:p w14:paraId="165C4D1F" w14:textId="162A7AA7" w:rsidR="001E1F40" w:rsidRPr="003F24D7" w:rsidRDefault="001E1F40" w:rsidP="001E1F40">
      <w:pPr>
        <w:spacing w:before="200" w:after="200"/>
        <w:jc w:val="both"/>
        <w:rPr>
          <w:sz w:val="24"/>
          <w:szCs w:val="24"/>
          <w:lang w:val="en-GB"/>
        </w:rPr>
      </w:pPr>
      <w:r w:rsidRPr="003F24D7">
        <w:rPr>
          <w:color w:val="222222"/>
          <w:sz w:val="24"/>
          <w:szCs w:val="24"/>
          <w:shd w:val="clear" w:color="auto" w:fill="FFFFFF"/>
          <w:lang w:val="en-US"/>
        </w:rPr>
        <w:t xml:space="preserve">BRINER, Rob B.; DENYER, David. </w:t>
      </w:r>
      <w:r w:rsidRPr="003F24D7">
        <w:rPr>
          <w:color w:val="222222"/>
          <w:sz w:val="24"/>
          <w:szCs w:val="24"/>
          <w:shd w:val="clear" w:color="auto" w:fill="FFFFFF"/>
          <w:lang w:val="en-GB"/>
        </w:rPr>
        <w:t>Systematic review and evidence synthesis as a practice and scholarship tool. </w:t>
      </w:r>
      <w:r w:rsidRPr="003F24D7">
        <w:rPr>
          <w:b/>
          <w:bCs/>
          <w:color w:val="222222"/>
          <w:sz w:val="24"/>
          <w:szCs w:val="24"/>
          <w:shd w:val="clear" w:color="auto" w:fill="FFFFFF"/>
          <w:lang w:val="en-GB"/>
        </w:rPr>
        <w:t xml:space="preserve">Handbook of evidence-based management: </w:t>
      </w:r>
      <w:r w:rsidRPr="003F24D7">
        <w:rPr>
          <w:bCs/>
          <w:color w:val="222222"/>
          <w:sz w:val="24"/>
          <w:szCs w:val="24"/>
          <w:shd w:val="clear" w:color="auto" w:fill="FFFFFF"/>
          <w:lang w:val="en-GB"/>
        </w:rPr>
        <w:t>Companies, classrooms and research</w:t>
      </w:r>
      <w:r w:rsidRPr="003F24D7">
        <w:rPr>
          <w:color w:val="222222"/>
          <w:sz w:val="24"/>
          <w:szCs w:val="24"/>
          <w:shd w:val="clear" w:color="auto" w:fill="FFFFFF"/>
          <w:lang w:val="en-GB"/>
        </w:rPr>
        <w:t>, p. 112-129, 2012.</w:t>
      </w:r>
    </w:p>
    <w:p w14:paraId="295C0265" w14:textId="302C5906" w:rsidR="001E1F40" w:rsidRPr="003F24D7" w:rsidRDefault="001E1F40" w:rsidP="001E1F40">
      <w:pPr>
        <w:spacing w:before="200" w:after="200"/>
        <w:jc w:val="both"/>
        <w:rPr>
          <w:sz w:val="24"/>
          <w:szCs w:val="24"/>
        </w:rPr>
      </w:pPr>
      <w:r w:rsidRPr="003F24D7">
        <w:rPr>
          <w:sz w:val="24"/>
          <w:szCs w:val="24"/>
        </w:rPr>
        <w:t>BZUNECK, Jose A</w:t>
      </w:r>
      <w:r w:rsidRPr="003F24D7">
        <w:rPr>
          <w:sz w:val="24"/>
          <w:szCs w:val="24"/>
          <w:shd w:val="clear" w:color="auto" w:fill="FFFFFF"/>
        </w:rPr>
        <w:t xml:space="preserve">loyseo. </w:t>
      </w:r>
      <w:r w:rsidRPr="003F24D7">
        <w:rPr>
          <w:bCs/>
          <w:sz w:val="24"/>
          <w:szCs w:val="24"/>
        </w:rPr>
        <w:t>Crenças de auto-eficácia de professores do 1º. Grau e sua relação com outras variáveis de predição e de contexto</w:t>
      </w:r>
      <w:r w:rsidRPr="003F24D7">
        <w:rPr>
          <w:sz w:val="24"/>
          <w:szCs w:val="24"/>
        </w:rPr>
        <w:t xml:space="preserve">. </w:t>
      </w:r>
      <w:r w:rsidRPr="003F24D7">
        <w:rPr>
          <w:b/>
          <w:sz w:val="24"/>
          <w:szCs w:val="24"/>
        </w:rPr>
        <w:t>Arquivos Brasileiros de Psicologia</w:t>
      </w:r>
      <w:r w:rsidRPr="003F24D7">
        <w:rPr>
          <w:sz w:val="24"/>
          <w:szCs w:val="24"/>
        </w:rPr>
        <w:t>, Rio de Janeiro, v. 48, n. 4, p. 57-89, 1996.</w:t>
      </w:r>
    </w:p>
    <w:p w14:paraId="4F00004C" w14:textId="2BF1B295" w:rsidR="003F24D7" w:rsidRPr="003F24D7" w:rsidRDefault="001E1F40" w:rsidP="003F24D7">
      <w:pPr>
        <w:spacing w:before="200" w:after="200"/>
        <w:jc w:val="both"/>
        <w:rPr>
          <w:sz w:val="24"/>
          <w:szCs w:val="24"/>
        </w:rPr>
      </w:pPr>
      <w:r w:rsidRPr="003F24D7">
        <w:rPr>
          <w:sz w:val="24"/>
          <w:szCs w:val="24"/>
        </w:rPr>
        <w:t>BZUNECK, Jose A</w:t>
      </w:r>
      <w:r w:rsidRPr="003F24D7">
        <w:rPr>
          <w:sz w:val="24"/>
          <w:szCs w:val="24"/>
          <w:shd w:val="clear" w:color="auto" w:fill="FFFFFF"/>
        </w:rPr>
        <w:t>loyseo</w:t>
      </w:r>
      <w:r w:rsidRPr="003F24D7">
        <w:rPr>
          <w:sz w:val="24"/>
          <w:szCs w:val="24"/>
        </w:rPr>
        <w:t>; GUIMARÃES,</w:t>
      </w:r>
      <w:r w:rsidR="004928EF" w:rsidRPr="003F24D7">
        <w:rPr>
          <w:sz w:val="24"/>
          <w:szCs w:val="24"/>
        </w:rPr>
        <w:t xml:space="preserve"> </w:t>
      </w:r>
      <w:r w:rsidRPr="003F24D7">
        <w:rPr>
          <w:rStyle w:val="nfase"/>
          <w:bCs/>
          <w:i w:val="0"/>
          <w:iCs w:val="0"/>
          <w:sz w:val="24"/>
          <w:szCs w:val="24"/>
          <w:shd w:val="clear" w:color="auto" w:fill="FFFFFF"/>
        </w:rPr>
        <w:t>Sueli</w:t>
      </w:r>
      <w:r w:rsidRPr="003F24D7">
        <w:rPr>
          <w:sz w:val="24"/>
          <w:szCs w:val="24"/>
          <w:shd w:val="clear" w:color="auto" w:fill="FFFFFF"/>
        </w:rPr>
        <w:t xml:space="preserve"> Édi Rufini. </w:t>
      </w:r>
      <w:r w:rsidRPr="003F24D7">
        <w:rPr>
          <w:bCs/>
          <w:sz w:val="24"/>
          <w:szCs w:val="24"/>
          <w:shd w:val="clear" w:color="auto" w:fill="FFFFFF"/>
        </w:rPr>
        <w:t>C</w:t>
      </w:r>
      <w:r w:rsidRPr="003F24D7">
        <w:rPr>
          <w:bCs/>
          <w:sz w:val="24"/>
          <w:szCs w:val="24"/>
        </w:rPr>
        <w:t>renças de eficácia de professores</w:t>
      </w:r>
      <w:r w:rsidRPr="003F24D7">
        <w:rPr>
          <w:sz w:val="24"/>
          <w:szCs w:val="24"/>
        </w:rPr>
        <w:t xml:space="preserve">: validação da escala de Woolfolk e Hoy. </w:t>
      </w:r>
      <w:r w:rsidRPr="003F24D7">
        <w:rPr>
          <w:b/>
          <w:sz w:val="24"/>
          <w:szCs w:val="24"/>
        </w:rPr>
        <w:t>Revista Psico-USF</w:t>
      </w:r>
      <w:r w:rsidRPr="003F24D7">
        <w:rPr>
          <w:sz w:val="24"/>
          <w:szCs w:val="24"/>
        </w:rPr>
        <w:t>, Bragança Paulista, v. 8, n. 2, p. 137-143, 2003.</w:t>
      </w:r>
      <w:r w:rsidR="003F24D7" w:rsidRPr="003F24D7">
        <w:rPr>
          <w:sz w:val="24"/>
          <w:szCs w:val="24"/>
        </w:rPr>
        <w:t xml:space="preserve"> DOI: </w:t>
      </w:r>
      <w:hyperlink r:id="rId22" w:history="1">
        <w:r w:rsidR="003F24D7" w:rsidRPr="003F24D7">
          <w:rPr>
            <w:rStyle w:val="Hyperlink"/>
            <w:sz w:val="24"/>
            <w:szCs w:val="24"/>
          </w:rPr>
          <w:t>http://dx.doi.org/10.1590/S1413-82712003000200005</w:t>
        </w:r>
      </w:hyperlink>
    </w:p>
    <w:p w14:paraId="3AD5CB73" w14:textId="483CA762" w:rsidR="001E1F40" w:rsidRPr="003F24D7" w:rsidRDefault="001E1F40" w:rsidP="001E1F40">
      <w:pPr>
        <w:spacing w:before="200" w:after="200"/>
        <w:jc w:val="both"/>
        <w:rPr>
          <w:rFonts w:eastAsia="Times New Roman"/>
          <w:color w:val="333333"/>
          <w:sz w:val="24"/>
          <w:szCs w:val="24"/>
          <w:lang w:eastAsia="pt-BR"/>
        </w:rPr>
      </w:pPr>
      <w:r w:rsidRPr="003F24D7">
        <w:rPr>
          <w:rFonts w:eastAsia="Times New Roman"/>
          <w:color w:val="333333"/>
          <w:sz w:val="24"/>
          <w:szCs w:val="24"/>
          <w:lang w:eastAsia="pt-BR"/>
        </w:rPr>
        <w:t xml:space="preserve">CASANOVA, Daniela Couto Guerreiro. </w:t>
      </w:r>
      <w:r w:rsidRPr="003F24D7">
        <w:rPr>
          <w:rFonts w:eastAsia="Times New Roman"/>
          <w:b/>
          <w:color w:val="333333"/>
          <w:sz w:val="24"/>
          <w:szCs w:val="24"/>
          <w:lang w:eastAsia="pt-BR"/>
        </w:rPr>
        <w:t xml:space="preserve">Crenças de </w:t>
      </w:r>
      <w:r w:rsidR="004928EF" w:rsidRPr="003F24D7">
        <w:rPr>
          <w:rFonts w:eastAsia="Times New Roman"/>
          <w:b/>
          <w:color w:val="333333"/>
          <w:sz w:val="24"/>
          <w:szCs w:val="24"/>
          <w:lang w:eastAsia="pt-BR"/>
        </w:rPr>
        <w:t xml:space="preserve">eficácia de gestores escolares e de docentes no </w:t>
      </w:r>
      <w:r w:rsidRPr="003F24D7">
        <w:rPr>
          <w:rFonts w:eastAsia="Times New Roman"/>
          <w:b/>
          <w:color w:val="333333"/>
          <w:sz w:val="24"/>
          <w:szCs w:val="24"/>
          <w:lang w:eastAsia="pt-BR"/>
        </w:rPr>
        <w:t>Ensino Médio Paulista</w:t>
      </w:r>
      <w:r w:rsidRPr="003F24D7">
        <w:rPr>
          <w:rFonts w:eastAsia="Times New Roman"/>
          <w:color w:val="333333"/>
          <w:sz w:val="24"/>
          <w:szCs w:val="24"/>
          <w:lang w:eastAsia="pt-BR"/>
        </w:rPr>
        <w:t>. 2013.</w:t>
      </w:r>
      <w:r w:rsidR="004928EF" w:rsidRPr="003F24D7">
        <w:rPr>
          <w:rFonts w:eastAsia="Times New Roman"/>
          <w:color w:val="333333"/>
          <w:sz w:val="24"/>
          <w:szCs w:val="24"/>
          <w:lang w:eastAsia="pt-BR"/>
        </w:rPr>
        <w:t xml:space="preserve"> 177 f.</w:t>
      </w:r>
      <w:r w:rsidRPr="003F24D7">
        <w:rPr>
          <w:rFonts w:eastAsia="Times New Roman"/>
          <w:color w:val="333333"/>
          <w:sz w:val="24"/>
          <w:szCs w:val="24"/>
          <w:lang w:eastAsia="pt-BR"/>
        </w:rPr>
        <w:t xml:space="preserve"> Tese (Doutorado em Educação)</w:t>
      </w:r>
      <w:r w:rsidR="004928EF" w:rsidRPr="003F24D7">
        <w:rPr>
          <w:rFonts w:eastAsia="Times New Roman"/>
          <w:color w:val="333333"/>
          <w:sz w:val="24"/>
          <w:szCs w:val="24"/>
          <w:lang w:eastAsia="pt-BR"/>
        </w:rPr>
        <w:t xml:space="preserve"> -</w:t>
      </w:r>
      <w:r w:rsidRPr="003F24D7">
        <w:rPr>
          <w:rFonts w:eastAsia="Times New Roman"/>
          <w:color w:val="333333"/>
          <w:sz w:val="24"/>
          <w:szCs w:val="24"/>
          <w:lang w:eastAsia="pt-BR"/>
        </w:rPr>
        <w:t xml:space="preserve"> Universidade Estadual de Campinas, </w:t>
      </w:r>
      <w:r w:rsidR="004928EF" w:rsidRPr="003F24D7">
        <w:rPr>
          <w:rFonts w:eastAsia="Times New Roman"/>
          <w:color w:val="333333"/>
          <w:sz w:val="24"/>
          <w:szCs w:val="24"/>
          <w:lang w:eastAsia="pt-BR"/>
        </w:rPr>
        <w:t xml:space="preserve">Campinas, </w:t>
      </w:r>
      <w:r w:rsidRPr="003F24D7">
        <w:rPr>
          <w:rFonts w:eastAsia="Times New Roman"/>
          <w:color w:val="333333"/>
          <w:sz w:val="24"/>
          <w:szCs w:val="24"/>
          <w:lang w:eastAsia="pt-BR"/>
        </w:rPr>
        <w:t xml:space="preserve">2013.  </w:t>
      </w:r>
    </w:p>
    <w:p w14:paraId="6653AC74" w14:textId="73454A09" w:rsidR="001E1F40" w:rsidRPr="003F24D7" w:rsidRDefault="001E1F40" w:rsidP="001E1F40">
      <w:pPr>
        <w:spacing w:before="200" w:after="200"/>
        <w:jc w:val="both"/>
        <w:rPr>
          <w:rFonts w:eastAsia="Times New Roman"/>
          <w:color w:val="333333"/>
          <w:sz w:val="24"/>
          <w:szCs w:val="24"/>
          <w:lang w:eastAsia="pt-BR"/>
        </w:rPr>
      </w:pPr>
      <w:r w:rsidRPr="003F24D7">
        <w:rPr>
          <w:rFonts w:eastAsia="Times New Roman"/>
          <w:color w:val="333333"/>
          <w:sz w:val="24"/>
          <w:szCs w:val="24"/>
          <w:lang w:eastAsia="pt-BR"/>
        </w:rPr>
        <w:t xml:space="preserve">DOMINGUES, Eidi Gizele Sanches. </w:t>
      </w:r>
      <w:r w:rsidRPr="003F24D7">
        <w:rPr>
          <w:rFonts w:eastAsia="Times New Roman"/>
          <w:b/>
          <w:color w:val="333333"/>
          <w:sz w:val="24"/>
          <w:szCs w:val="24"/>
          <w:lang w:eastAsia="pt-BR"/>
        </w:rPr>
        <w:t>Crenças de autoeficácia educacional e computacional de professores do ensino superior para a utilização do computador como ferramenta educacional</w:t>
      </w:r>
      <w:r w:rsidRPr="003F24D7">
        <w:rPr>
          <w:rFonts w:eastAsia="Times New Roman"/>
          <w:bCs/>
          <w:color w:val="333333"/>
          <w:sz w:val="24"/>
          <w:szCs w:val="24"/>
          <w:lang w:eastAsia="pt-BR"/>
        </w:rPr>
        <w:t>.</w:t>
      </w:r>
      <w:r w:rsidRPr="003F24D7">
        <w:rPr>
          <w:rFonts w:eastAsia="Times New Roman"/>
          <w:color w:val="333333"/>
          <w:sz w:val="24"/>
          <w:szCs w:val="24"/>
          <w:lang w:eastAsia="pt-BR"/>
        </w:rPr>
        <w:t xml:space="preserve"> </w:t>
      </w:r>
      <w:r w:rsidR="004928EF" w:rsidRPr="003F24D7">
        <w:rPr>
          <w:rFonts w:eastAsia="Times New Roman"/>
          <w:color w:val="333333"/>
          <w:sz w:val="24"/>
          <w:szCs w:val="24"/>
          <w:lang w:eastAsia="pt-BR"/>
        </w:rPr>
        <w:t xml:space="preserve">2017. 112 f. </w:t>
      </w:r>
      <w:r w:rsidRPr="003F24D7">
        <w:rPr>
          <w:sz w:val="24"/>
          <w:szCs w:val="24"/>
        </w:rPr>
        <w:t>Dissertação (Mestrado em Educação</w:t>
      </w:r>
      <w:r w:rsidR="004928EF" w:rsidRPr="003F24D7">
        <w:rPr>
          <w:sz w:val="24"/>
          <w:szCs w:val="24"/>
        </w:rPr>
        <w:t xml:space="preserve">), </w:t>
      </w:r>
      <w:r w:rsidRPr="003F24D7">
        <w:rPr>
          <w:rFonts w:eastAsia="Times New Roman"/>
          <w:color w:val="333333"/>
          <w:sz w:val="24"/>
          <w:szCs w:val="24"/>
          <w:lang w:eastAsia="pt-BR"/>
        </w:rPr>
        <w:t xml:space="preserve">Universidade Estadual de Londrina, </w:t>
      </w:r>
      <w:r w:rsidR="004928EF" w:rsidRPr="003F24D7">
        <w:rPr>
          <w:rFonts w:eastAsia="Times New Roman"/>
          <w:color w:val="333333"/>
          <w:sz w:val="24"/>
          <w:szCs w:val="24"/>
          <w:lang w:eastAsia="pt-BR"/>
        </w:rPr>
        <w:t xml:space="preserve">Londrina, </w:t>
      </w:r>
      <w:r w:rsidRPr="003F24D7">
        <w:rPr>
          <w:rFonts w:eastAsia="Times New Roman"/>
          <w:color w:val="333333"/>
          <w:sz w:val="24"/>
          <w:szCs w:val="24"/>
          <w:lang w:eastAsia="pt-BR"/>
        </w:rPr>
        <w:t xml:space="preserve">2017. </w:t>
      </w:r>
    </w:p>
    <w:p w14:paraId="65B491CD" w14:textId="04D17AB7" w:rsidR="001E1F40" w:rsidRPr="003F24D7" w:rsidRDefault="001E1F40" w:rsidP="001E1F40">
      <w:pPr>
        <w:spacing w:before="200" w:after="200"/>
        <w:jc w:val="both"/>
        <w:rPr>
          <w:sz w:val="24"/>
          <w:szCs w:val="24"/>
        </w:rPr>
      </w:pPr>
      <w:r w:rsidRPr="003F24D7">
        <w:rPr>
          <w:sz w:val="24"/>
          <w:szCs w:val="24"/>
        </w:rPr>
        <w:lastRenderedPageBreak/>
        <w:t xml:space="preserve">FERNANDEZ, Ana Patrícia de Oliveira. </w:t>
      </w:r>
      <w:r w:rsidRPr="003F24D7">
        <w:rPr>
          <w:b/>
          <w:sz w:val="24"/>
          <w:szCs w:val="24"/>
        </w:rPr>
        <w:t xml:space="preserve">Crenças de </w:t>
      </w:r>
      <w:r w:rsidR="004928EF" w:rsidRPr="003F24D7">
        <w:rPr>
          <w:b/>
          <w:sz w:val="24"/>
          <w:szCs w:val="24"/>
        </w:rPr>
        <w:t>eficácia de professores no contexto de ensino</w:t>
      </w:r>
      <w:r w:rsidRPr="003F24D7">
        <w:rPr>
          <w:sz w:val="24"/>
          <w:szCs w:val="24"/>
        </w:rPr>
        <w:t>. 2015.</w:t>
      </w:r>
      <w:r w:rsidR="004928EF" w:rsidRPr="003F24D7">
        <w:rPr>
          <w:sz w:val="24"/>
          <w:szCs w:val="24"/>
        </w:rPr>
        <w:t xml:space="preserve"> 140 f.</w:t>
      </w:r>
      <w:r w:rsidRPr="003F24D7">
        <w:rPr>
          <w:sz w:val="24"/>
          <w:szCs w:val="24"/>
        </w:rPr>
        <w:t xml:space="preserve"> Tese (Doutorado em Teoria e Pesquisa do Comportament</w:t>
      </w:r>
      <w:r w:rsidR="004928EF" w:rsidRPr="003F24D7">
        <w:rPr>
          <w:sz w:val="24"/>
          <w:szCs w:val="24"/>
        </w:rPr>
        <w:t>o) –</w:t>
      </w:r>
      <w:r w:rsidRPr="003F24D7">
        <w:rPr>
          <w:sz w:val="24"/>
          <w:szCs w:val="24"/>
        </w:rPr>
        <w:t xml:space="preserve"> </w:t>
      </w:r>
      <w:r w:rsidR="001E6278" w:rsidRPr="003F24D7">
        <w:rPr>
          <w:sz w:val="24"/>
          <w:szCs w:val="24"/>
        </w:rPr>
        <w:t>Universidade</w:t>
      </w:r>
      <w:r w:rsidR="004928EF" w:rsidRPr="003F24D7">
        <w:rPr>
          <w:sz w:val="24"/>
          <w:szCs w:val="24"/>
        </w:rPr>
        <w:t xml:space="preserve"> Federal do Pará,</w:t>
      </w:r>
      <w:r w:rsidRPr="003F24D7">
        <w:rPr>
          <w:sz w:val="24"/>
          <w:szCs w:val="24"/>
        </w:rPr>
        <w:t xml:space="preserve"> Belém, 2015.</w:t>
      </w:r>
    </w:p>
    <w:p w14:paraId="4A773137" w14:textId="7A0EBDC6" w:rsidR="001E1F40" w:rsidRPr="003F24D7" w:rsidRDefault="001E1F40" w:rsidP="001E1F40">
      <w:pPr>
        <w:spacing w:before="200" w:after="200"/>
        <w:jc w:val="both"/>
        <w:rPr>
          <w:sz w:val="24"/>
          <w:szCs w:val="24"/>
        </w:rPr>
      </w:pPr>
      <w:r w:rsidRPr="003F24D7">
        <w:rPr>
          <w:sz w:val="24"/>
          <w:szCs w:val="24"/>
        </w:rPr>
        <w:t xml:space="preserve">FERREIRA, Luiza Cristina Mauad. </w:t>
      </w:r>
      <w:r w:rsidRPr="003F24D7">
        <w:rPr>
          <w:b/>
          <w:sz w:val="24"/>
          <w:szCs w:val="24"/>
        </w:rPr>
        <w:t>Relação entre a crença de autoeficácia docente e a síndrome de Burnout em professores do ensino médio</w:t>
      </w:r>
      <w:r w:rsidRPr="003F24D7">
        <w:rPr>
          <w:sz w:val="24"/>
          <w:szCs w:val="24"/>
        </w:rPr>
        <w:t>. 2011. 166 f. Tese (Doutorado em Educação)</w:t>
      </w:r>
      <w:r w:rsidR="004928EF" w:rsidRPr="003F24D7">
        <w:rPr>
          <w:sz w:val="24"/>
          <w:szCs w:val="24"/>
        </w:rPr>
        <w:t xml:space="preserve"> -</w:t>
      </w:r>
      <w:r w:rsidRPr="003F24D7">
        <w:rPr>
          <w:sz w:val="24"/>
          <w:szCs w:val="24"/>
        </w:rPr>
        <w:t xml:space="preserve"> Faculdade de Educação, Universidade Estadual de Campinas, Campinas, 2011.</w:t>
      </w:r>
    </w:p>
    <w:p w14:paraId="79868FE7" w14:textId="04DCECDF" w:rsidR="004928EF" w:rsidRPr="003F24D7" w:rsidRDefault="004928EF" w:rsidP="004928EF">
      <w:pPr>
        <w:spacing w:before="200" w:after="200"/>
        <w:jc w:val="both"/>
        <w:rPr>
          <w:sz w:val="24"/>
          <w:szCs w:val="24"/>
          <w:lang w:val="en-GB"/>
        </w:rPr>
      </w:pPr>
      <w:r w:rsidRPr="003F24D7">
        <w:rPr>
          <w:sz w:val="24"/>
          <w:szCs w:val="24"/>
          <w:lang w:val="en-GB"/>
        </w:rPr>
        <w:t xml:space="preserve">GOUGH, David. Weight of evidence: a framework for the appraisal of the quality and relevance of evidence. </w:t>
      </w:r>
      <w:r w:rsidRPr="003F24D7">
        <w:rPr>
          <w:b/>
          <w:sz w:val="24"/>
          <w:szCs w:val="24"/>
          <w:lang w:val="en-GB"/>
        </w:rPr>
        <w:t>Research Papers in Education</w:t>
      </w:r>
      <w:r w:rsidRPr="003F24D7">
        <w:rPr>
          <w:sz w:val="24"/>
          <w:szCs w:val="24"/>
          <w:lang w:val="en-GB"/>
        </w:rPr>
        <w:t>, v. 22, n. 2, 213-228, 2007.</w:t>
      </w:r>
      <w:r w:rsidR="00BD0C0F" w:rsidRPr="003F24D7">
        <w:rPr>
          <w:sz w:val="24"/>
          <w:szCs w:val="24"/>
          <w:lang w:val="en-GB"/>
        </w:rPr>
        <w:t xml:space="preserve"> DOI: </w:t>
      </w:r>
      <w:hyperlink r:id="rId23" w:history="1">
        <w:r w:rsidR="00BD0C0F" w:rsidRPr="003F24D7">
          <w:rPr>
            <w:rStyle w:val="Hyperlink"/>
            <w:sz w:val="24"/>
            <w:szCs w:val="24"/>
            <w:lang w:val="en-GB"/>
          </w:rPr>
          <w:t>https://doi.org/10.1080/02671520701296189</w:t>
        </w:r>
      </w:hyperlink>
    </w:p>
    <w:p w14:paraId="59A7FA3F" w14:textId="4BADEF82" w:rsidR="001E1F40" w:rsidRPr="003F24D7" w:rsidRDefault="001E1F40" w:rsidP="001E1F40">
      <w:pPr>
        <w:spacing w:before="200" w:after="200"/>
        <w:jc w:val="both"/>
        <w:rPr>
          <w:sz w:val="24"/>
          <w:szCs w:val="24"/>
          <w:lang w:val="en-US"/>
        </w:rPr>
      </w:pPr>
      <w:r w:rsidRPr="003F24D7">
        <w:rPr>
          <w:sz w:val="24"/>
          <w:szCs w:val="24"/>
          <w:lang w:val="en-GB"/>
        </w:rPr>
        <w:t>GOUGH, David</w:t>
      </w:r>
      <w:r w:rsidR="00BD0C0F" w:rsidRPr="003F24D7">
        <w:rPr>
          <w:sz w:val="24"/>
          <w:szCs w:val="24"/>
          <w:lang w:val="en-GB"/>
        </w:rPr>
        <w:t xml:space="preserve"> </w:t>
      </w:r>
      <w:r w:rsidR="00BD0C0F" w:rsidRPr="003F24D7">
        <w:rPr>
          <w:i/>
          <w:iCs/>
          <w:sz w:val="24"/>
          <w:szCs w:val="24"/>
          <w:lang w:val="en-GB"/>
        </w:rPr>
        <w:t>et al</w:t>
      </w:r>
      <w:r w:rsidRPr="003F24D7">
        <w:rPr>
          <w:sz w:val="24"/>
          <w:szCs w:val="24"/>
          <w:lang w:val="en-GB"/>
        </w:rPr>
        <w:t xml:space="preserve">. </w:t>
      </w:r>
      <w:r w:rsidRPr="003F24D7">
        <w:rPr>
          <w:b/>
          <w:sz w:val="24"/>
          <w:szCs w:val="24"/>
          <w:lang w:val="en-GB"/>
        </w:rPr>
        <w:t>Evidence Informed Policy in Education in Europe:</w:t>
      </w:r>
      <w:r w:rsidRPr="003F24D7">
        <w:rPr>
          <w:sz w:val="24"/>
          <w:szCs w:val="24"/>
          <w:lang w:val="en-GB"/>
        </w:rPr>
        <w:t xml:space="preserve"> EIPEE final project report. London: EPPI-Centre, Social Science Research Unit, Institute of Education, University of London, 2011. </w:t>
      </w:r>
    </w:p>
    <w:p w14:paraId="7A6737AC" w14:textId="728B6F0A" w:rsidR="001E1F40" w:rsidRPr="003F24D7" w:rsidRDefault="001E1F40" w:rsidP="001E1F40">
      <w:pPr>
        <w:spacing w:before="200" w:after="200"/>
        <w:jc w:val="both"/>
        <w:rPr>
          <w:color w:val="222222"/>
          <w:sz w:val="24"/>
          <w:szCs w:val="24"/>
          <w:shd w:val="clear" w:color="auto" w:fill="FFFFFF"/>
          <w:lang w:val="en-GB"/>
        </w:rPr>
      </w:pPr>
      <w:r w:rsidRPr="003F24D7">
        <w:rPr>
          <w:color w:val="222222"/>
          <w:sz w:val="24"/>
          <w:szCs w:val="24"/>
          <w:shd w:val="clear" w:color="auto" w:fill="FFFFFF"/>
          <w:lang w:val="en-GB"/>
        </w:rPr>
        <w:t>GRANT, Maria J.; BOOTH, Andrew. A typology of reviews: an analysis of 14 review types and associated methodologies. </w:t>
      </w:r>
      <w:r w:rsidRPr="003F24D7">
        <w:rPr>
          <w:b/>
          <w:bCs/>
          <w:color w:val="222222"/>
          <w:sz w:val="24"/>
          <w:szCs w:val="24"/>
          <w:shd w:val="clear" w:color="auto" w:fill="FFFFFF"/>
          <w:lang w:val="en-GB"/>
        </w:rPr>
        <w:t>Health Information &amp; Libraries Journal</w:t>
      </w:r>
      <w:r w:rsidRPr="003F24D7">
        <w:rPr>
          <w:color w:val="222222"/>
          <w:sz w:val="24"/>
          <w:szCs w:val="24"/>
          <w:shd w:val="clear" w:color="auto" w:fill="FFFFFF"/>
          <w:lang w:val="en-GB"/>
        </w:rPr>
        <w:t xml:space="preserve">, v. 26, n. 2, p. 91-108, 2009. </w:t>
      </w:r>
    </w:p>
    <w:p w14:paraId="116BACEE" w14:textId="1637165F" w:rsidR="001E1F40" w:rsidRPr="003F24D7" w:rsidRDefault="001E1F40" w:rsidP="001E1F40">
      <w:pPr>
        <w:spacing w:before="200" w:after="200"/>
        <w:jc w:val="both"/>
        <w:rPr>
          <w:sz w:val="24"/>
          <w:szCs w:val="24"/>
        </w:rPr>
      </w:pPr>
      <w:r w:rsidRPr="003F24D7">
        <w:rPr>
          <w:sz w:val="24"/>
          <w:szCs w:val="24"/>
          <w:lang w:val="en-US"/>
        </w:rPr>
        <w:t>KITCHENHAM, Barbara. Procedures for performing systematic reviews. </w:t>
      </w:r>
      <w:r w:rsidRPr="003F24D7">
        <w:rPr>
          <w:b/>
          <w:bCs/>
          <w:sz w:val="24"/>
          <w:szCs w:val="24"/>
        </w:rPr>
        <w:t xml:space="preserve">Keele, </w:t>
      </w:r>
      <w:r w:rsidRPr="003F24D7">
        <w:rPr>
          <w:sz w:val="24"/>
          <w:szCs w:val="24"/>
        </w:rPr>
        <w:t>UK, v. 33, n. 2004, p. 1-26, 2004.</w:t>
      </w:r>
    </w:p>
    <w:p w14:paraId="2C7D96AD" w14:textId="7640C8D0" w:rsidR="001E1F40" w:rsidRPr="003F24D7" w:rsidRDefault="001E1F40" w:rsidP="001E1F40">
      <w:pPr>
        <w:spacing w:before="200" w:after="200"/>
        <w:jc w:val="both"/>
        <w:rPr>
          <w:sz w:val="24"/>
          <w:szCs w:val="24"/>
        </w:rPr>
      </w:pPr>
      <w:r w:rsidRPr="003F24D7">
        <w:rPr>
          <w:sz w:val="24"/>
          <w:szCs w:val="24"/>
        </w:rPr>
        <w:t xml:space="preserve">LIRA, Eleide Rosane Borba. </w:t>
      </w:r>
      <w:r w:rsidRPr="003F24D7">
        <w:rPr>
          <w:b/>
          <w:sz w:val="24"/>
          <w:szCs w:val="24"/>
        </w:rPr>
        <w:t xml:space="preserve">Síndrome de Burnout, </w:t>
      </w:r>
      <w:r w:rsidR="00BD0C0F" w:rsidRPr="003F24D7">
        <w:rPr>
          <w:b/>
          <w:sz w:val="24"/>
          <w:szCs w:val="24"/>
        </w:rPr>
        <w:t>percepção de autoeficácia e repercussões familiares em docentes universitários</w:t>
      </w:r>
      <w:r w:rsidRPr="003F24D7">
        <w:rPr>
          <w:bCs/>
          <w:sz w:val="24"/>
          <w:szCs w:val="24"/>
        </w:rPr>
        <w:t>.</w:t>
      </w:r>
      <w:r w:rsidRPr="003F24D7">
        <w:rPr>
          <w:sz w:val="24"/>
          <w:szCs w:val="24"/>
        </w:rPr>
        <w:t xml:space="preserve"> 2017. Dissertação (Mestrado em Psicologia Clínica</w:t>
      </w:r>
      <w:r w:rsidR="00BD0C0F" w:rsidRPr="003F24D7">
        <w:rPr>
          <w:sz w:val="24"/>
          <w:szCs w:val="24"/>
        </w:rPr>
        <w:t>) -</w:t>
      </w:r>
      <w:r w:rsidRPr="003F24D7">
        <w:rPr>
          <w:sz w:val="24"/>
          <w:szCs w:val="24"/>
        </w:rPr>
        <w:t xml:space="preserve"> Universidade Católica de Pernambuco,</w:t>
      </w:r>
      <w:r w:rsidR="00BD0C0F" w:rsidRPr="003F24D7">
        <w:rPr>
          <w:sz w:val="24"/>
          <w:szCs w:val="24"/>
        </w:rPr>
        <w:t xml:space="preserve"> Recife,</w:t>
      </w:r>
      <w:r w:rsidRPr="003F24D7">
        <w:rPr>
          <w:sz w:val="24"/>
          <w:szCs w:val="24"/>
        </w:rPr>
        <w:t xml:space="preserve"> 2017.</w:t>
      </w:r>
    </w:p>
    <w:p w14:paraId="46C3CA99" w14:textId="186E18DB" w:rsidR="001E1F40" w:rsidRPr="003F24D7" w:rsidRDefault="001E1F40" w:rsidP="001E1F40">
      <w:pPr>
        <w:spacing w:before="200" w:after="200"/>
        <w:jc w:val="both"/>
        <w:rPr>
          <w:sz w:val="24"/>
          <w:szCs w:val="24"/>
        </w:rPr>
      </w:pPr>
      <w:r w:rsidRPr="003F24D7">
        <w:rPr>
          <w:sz w:val="24"/>
          <w:szCs w:val="24"/>
        </w:rPr>
        <w:t xml:space="preserve">MACEDO, Izabel Cristina de. </w:t>
      </w:r>
      <w:r w:rsidRPr="003F24D7">
        <w:rPr>
          <w:b/>
          <w:sz w:val="24"/>
          <w:szCs w:val="24"/>
        </w:rPr>
        <w:t>Crenças de autoeficácia de professores do ensino fundamental e sua relação com percepções de apoios na escola</w:t>
      </w:r>
      <w:r w:rsidRPr="003F24D7">
        <w:rPr>
          <w:sz w:val="24"/>
          <w:szCs w:val="24"/>
        </w:rPr>
        <w:t>. 2009. 82 f. Dissertação (Mestrado em Educação)</w:t>
      </w:r>
      <w:r w:rsidR="00BD0C0F" w:rsidRPr="003F24D7">
        <w:rPr>
          <w:sz w:val="24"/>
          <w:szCs w:val="24"/>
        </w:rPr>
        <w:t xml:space="preserve"> -</w:t>
      </w:r>
      <w:r w:rsidRPr="003F24D7">
        <w:rPr>
          <w:sz w:val="24"/>
          <w:szCs w:val="24"/>
        </w:rPr>
        <w:t xml:space="preserve"> Centro de Educação, Comunicação e Artes, Universidade Estadual de Londrina, Londrina, 2009. </w:t>
      </w:r>
    </w:p>
    <w:p w14:paraId="16D8790D" w14:textId="52E49D1B" w:rsidR="001E1F40" w:rsidRPr="003F24D7" w:rsidRDefault="001E1F40" w:rsidP="001E1F40">
      <w:pPr>
        <w:spacing w:before="200" w:after="200"/>
        <w:jc w:val="both"/>
        <w:rPr>
          <w:sz w:val="24"/>
          <w:szCs w:val="24"/>
        </w:rPr>
      </w:pPr>
      <w:r w:rsidRPr="003F24D7">
        <w:rPr>
          <w:sz w:val="24"/>
          <w:szCs w:val="24"/>
        </w:rPr>
        <w:t xml:space="preserve">NEVES, Jackson Manuel. </w:t>
      </w:r>
      <w:r w:rsidRPr="003F24D7">
        <w:rPr>
          <w:b/>
          <w:sz w:val="24"/>
          <w:szCs w:val="24"/>
        </w:rPr>
        <w:t xml:space="preserve">Relações entre autoeficácia docente e otimismo acadêmico: </w:t>
      </w:r>
      <w:r w:rsidRPr="003F24D7">
        <w:rPr>
          <w:sz w:val="24"/>
          <w:szCs w:val="24"/>
        </w:rPr>
        <w:t xml:space="preserve">Estudos com professores do IF Sertão-PE. 2017. </w:t>
      </w:r>
      <w:r w:rsidR="00BD0C0F" w:rsidRPr="003F24D7">
        <w:rPr>
          <w:sz w:val="24"/>
          <w:szCs w:val="24"/>
        </w:rPr>
        <w:t xml:space="preserve">94 f. </w:t>
      </w:r>
      <w:r w:rsidRPr="003F24D7">
        <w:rPr>
          <w:sz w:val="24"/>
          <w:szCs w:val="24"/>
        </w:rPr>
        <w:t>Dissertação (Mestrado</w:t>
      </w:r>
      <w:r w:rsidR="00BD0C0F" w:rsidRPr="003F24D7">
        <w:rPr>
          <w:sz w:val="24"/>
          <w:szCs w:val="24"/>
        </w:rPr>
        <w:t xml:space="preserve"> em Administração</w:t>
      </w:r>
      <w:r w:rsidRPr="003F24D7">
        <w:rPr>
          <w:sz w:val="24"/>
          <w:szCs w:val="24"/>
        </w:rPr>
        <w:t>)</w:t>
      </w:r>
      <w:r w:rsidR="00BD0C0F" w:rsidRPr="003F24D7">
        <w:rPr>
          <w:sz w:val="24"/>
          <w:szCs w:val="24"/>
        </w:rPr>
        <w:t xml:space="preserve"> -</w:t>
      </w:r>
      <w:r w:rsidRPr="003F24D7">
        <w:rPr>
          <w:sz w:val="24"/>
          <w:szCs w:val="24"/>
        </w:rPr>
        <w:t xml:space="preserve"> Universidade Federal da Bahia, Salvador, 2017.</w:t>
      </w:r>
    </w:p>
    <w:p w14:paraId="23B00CB4" w14:textId="72D13B1B" w:rsidR="001E1F40" w:rsidRPr="003F24D7" w:rsidRDefault="001E1F40" w:rsidP="001E1F40">
      <w:pPr>
        <w:spacing w:before="200" w:after="200"/>
        <w:jc w:val="both"/>
        <w:rPr>
          <w:sz w:val="24"/>
          <w:szCs w:val="24"/>
        </w:rPr>
      </w:pPr>
      <w:r w:rsidRPr="003F24D7">
        <w:rPr>
          <w:color w:val="222222"/>
          <w:sz w:val="24"/>
          <w:szCs w:val="24"/>
          <w:shd w:val="clear" w:color="auto" w:fill="FFFFFF"/>
        </w:rPr>
        <w:t>RAMOS, Altina; FARIA, Paulo M.; FARIA, Ádila. Revisão sistemática de literatura: contributo para a inovação na investigação em Ciências da Educação. </w:t>
      </w:r>
      <w:r w:rsidRPr="003F24D7">
        <w:rPr>
          <w:b/>
          <w:bCs/>
          <w:color w:val="222222"/>
          <w:sz w:val="24"/>
          <w:szCs w:val="24"/>
          <w:shd w:val="clear" w:color="auto" w:fill="FFFFFF"/>
        </w:rPr>
        <w:t>Revista Diálogo Educacional</w:t>
      </w:r>
      <w:r w:rsidRPr="003F24D7">
        <w:rPr>
          <w:color w:val="222222"/>
          <w:sz w:val="24"/>
          <w:szCs w:val="24"/>
          <w:shd w:val="clear" w:color="auto" w:fill="FFFFFF"/>
        </w:rPr>
        <w:t xml:space="preserve">, </w:t>
      </w:r>
      <w:r w:rsidR="00BD0C0F" w:rsidRPr="003F24D7">
        <w:rPr>
          <w:color w:val="222222"/>
          <w:sz w:val="24"/>
          <w:szCs w:val="24"/>
          <w:shd w:val="clear" w:color="auto" w:fill="FFFFFF"/>
        </w:rPr>
        <w:t xml:space="preserve">Curitiba, </w:t>
      </w:r>
      <w:r w:rsidRPr="003F24D7">
        <w:rPr>
          <w:color w:val="222222"/>
          <w:sz w:val="24"/>
          <w:szCs w:val="24"/>
          <w:shd w:val="clear" w:color="auto" w:fill="FFFFFF"/>
        </w:rPr>
        <w:t>v. 14, n. 41, p. 17-36, 2014.</w:t>
      </w:r>
      <w:r w:rsidR="003F24D7" w:rsidRPr="003F24D7">
        <w:rPr>
          <w:rFonts w:ascii="Verdana" w:hAnsi="Verdana"/>
          <w:color w:val="000000"/>
          <w:sz w:val="24"/>
          <w:szCs w:val="24"/>
          <w:shd w:val="clear" w:color="auto" w:fill="FFFFFF"/>
        </w:rPr>
        <w:t xml:space="preserve"> </w:t>
      </w:r>
      <w:r w:rsidR="003F24D7" w:rsidRPr="003F24D7">
        <w:rPr>
          <w:sz w:val="24"/>
          <w:szCs w:val="24"/>
        </w:rPr>
        <w:t>DOI: </w:t>
      </w:r>
      <w:hyperlink r:id="rId24" w:history="1">
        <w:r w:rsidR="003F24D7" w:rsidRPr="003F24D7">
          <w:rPr>
            <w:rStyle w:val="Hyperlink"/>
            <w:sz w:val="24"/>
            <w:szCs w:val="24"/>
          </w:rPr>
          <w:t>http://dx.doi.org/10.7213/dialogo.educ.14.041.DS01</w:t>
        </w:r>
      </w:hyperlink>
    </w:p>
    <w:p w14:paraId="4F76EFD6" w14:textId="616E31BB" w:rsidR="001E1F40" w:rsidRPr="003F24D7" w:rsidRDefault="001E1F40" w:rsidP="001E1F40">
      <w:pPr>
        <w:spacing w:before="200" w:after="200"/>
        <w:jc w:val="both"/>
        <w:rPr>
          <w:sz w:val="24"/>
          <w:szCs w:val="24"/>
        </w:rPr>
      </w:pPr>
      <w:r w:rsidRPr="003F24D7">
        <w:rPr>
          <w:sz w:val="24"/>
          <w:szCs w:val="24"/>
        </w:rPr>
        <w:t xml:space="preserve">ROCHA, Marcia Santos. </w:t>
      </w:r>
      <w:r w:rsidRPr="003F24D7">
        <w:rPr>
          <w:b/>
          <w:sz w:val="24"/>
          <w:szCs w:val="24"/>
        </w:rPr>
        <w:t>A autoeficácia docente no Ensino Superior</w:t>
      </w:r>
      <w:r w:rsidRPr="003F24D7">
        <w:rPr>
          <w:sz w:val="24"/>
          <w:szCs w:val="24"/>
        </w:rPr>
        <w:t xml:space="preserve">. </w:t>
      </w:r>
      <w:r w:rsidR="00BD0C0F" w:rsidRPr="003F24D7">
        <w:rPr>
          <w:sz w:val="24"/>
          <w:szCs w:val="24"/>
        </w:rPr>
        <w:t xml:space="preserve">2009. 210 f. </w:t>
      </w:r>
      <w:r w:rsidRPr="003F24D7">
        <w:rPr>
          <w:sz w:val="24"/>
          <w:szCs w:val="24"/>
        </w:rPr>
        <w:t>Tese (Doutorado em Educação)</w:t>
      </w:r>
      <w:r w:rsidR="00BD0C0F" w:rsidRPr="003F24D7">
        <w:rPr>
          <w:sz w:val="24"/>
          <w:szCs w:val="24"/>
        </w:rPr>
        <w:t xml:space="preserve"> -</w:t>
      </w:r>
      <w:r w:rsidRPr="003F24D7">
        <w:rPr>
          <w:sz w:val="24"/>
          <w:szCs w:val="24"/>
        </w:rPr>
        <w:t xml:space="preserve"> Faculdade de Educação da </w:t>
      </w:r>
      <w:r w:rsidR="00BD0C0F" w:rsidRPr="003F24D7">
        <w:rPr>
          <w:sz w:val="24"/>
          <w:szCs w:val="24"/>
        </w:rPr>
        <w:t>Universidade Estadual de Campinas</w:t>
      </w:r>
      <w:r w:rsidRPr="003F24D7">
        <w:rPr>
          <w:sz w:val="24"/>
          <w:szCs w:val="24"/>
        </w:rPr>
        <w:t>, Campinas, 2009.</w:t>
      </w:r>
    </w:p>
    <w:p w14:paraId="28EBEEA6" w14:textId="64E3F5F8" w:rsidR="001E1F40" w:rsidRPr="003F24D7" w:rsidRDefault="001E1F40" w:rsidP="001E1F40">
      <w:pPr>
        <w:spacing w:before="200" w:after="200"/>
        <w:jc w:val="both"/>
        <w:rPr>
          <w:sz w:val="24"/>
          <w:szCs w:val="24"/>
        </w:rPr>
      </w:pPr>
      <w:r w:rsidRPr="003F24D7">
        <w:rPr>
          <w:sz w:val="24"/>
          <w:szCs w:val="24"/>
        </w:rPr>
        <w:t xml:space="preserve">SCHMID, Monica Bossa dos Santos. </w:t>
      </w:r>
      <w:r w:rsidRPr="003F24D7">
        <w:rPr>
          <w:b/>
          <w:sz w:val="24"/>
          <w:szCs w:val="24"/>
        </w:rPr>
        <w:t xml:space="preserve">Autoeficácia dos professores: </w:t>
      </w:r>
      <w:r w:rsidRPr="003F24D7">
        <w:rPr>
          <w:sz w:val="24"/>
          <w:szCs w:val="24"/>
        </w:rPr>
        <w:t xml:space="preserve">Análise de um modelo de intervenção para o uso das tecnologias digitais da informação e da comunicação. 2015. </w:t>
      </w:r>
      <w:r w:rsidR="00BD0C0F" w:rsidRPr="003F24D7">
        <w:rPr>
          <w:sz w:val="24"/>
          <w:szCs w:val="24"/>
        </w:rPr>
        <w:t xml:space="preserve">140 f. </w:t>
      </w:r>
      <w:r w:rsidRPr="003F24D7">
        <w:rPr>
          <w:sz w:val="24"/>
          <w:szCs w:val="24"/>
        </w:rPr>
        <w:t>Dissertação (Mestrado</w:t>
      </w:r>
      <w:r w:rsidR="00BD0C0F" w:rsidRPr="003F24D7">
        <w:rPr>
          <w:sz w:val="24"/>
          <w:szCs w:val="24"/>
        </w:rPr>
        <w:t xml:space="preserve"> em Educação) -</w:t>
      </w:r>
      <w:r w:rsidRPr="003F24D7">
        <w:rPr>
          <w:sz w:val="24"/>
          <w:szCs w:val="24"/>
        </w:rPr>
        <w:t xml:space="preserve"> Universidade Estadual de Londrina, Centro de Educação Comunicação e Artes, Londrina, 2015.</w:t>
      </w:r>
    </w:p>
    <w:p w14:paraId="6F9C780C" w14:textId="6F2BC7E6" w:rsidR="001E1F40" w:rsidRPr="003F24D7" w:rsidRDefault="001E1F40" w:rsidP="001E1F40">
      <w:pPr>
        <w:spacing w:before="200" w:after="200"/>
        <w:jc w:val="both"/>
        <w:rPr>
          <w:sz w:val="24"/>
          <w:szCs w:val="24"/>
        </w:rPr>
      </w:pPr>
      <w:r w:rsidRPr="003F24D7">
        <w:rPr>
          <w:sz w:val="24"/>
          <w:szCs w:val="24"/>
        </w:rPr>
        <w:lastRenderedPageBreak/>
        <w:t xml:space="preserve">SILVA, Eliane Nascimento. </w:t>
      </w:r>
      <w:r w:rsidRPr="003F24D7">
        <w:rPr>
          <w:b/>
          <w:sz w:val="24"/>
          <w:szCs w:val="24"/>
        </w:rPr>
        <w:t xml:space="preserve">Autoeficácia </w:t>
      </w:r>
      <w:r w:rsidR="00BD0C0F" w:rsidRPr="003F24D7">
        <w:rPr>
          <w:b/>
          <w:sz w:val="24"/>
          <w:szCs w:val="24"/>
        </w:rPr>
        <w:t>e bem-estar subjetivo docente</w:t>
      </w:r>
      <w:r w:rsidRPr="003F24D7">
        <w:rPr>
          <w:bCs/>
          <w:sz w:val="24"/>
          <w:szCs w:val="24"/>
        </w:rPr>
        <w:t>.</w:t>
      </w:r>
      <w:r w:rsidRPr="003F24D7">
        <w:rPr>
          <w:sz w:val="24"/>
          <w:szCs w:val="24"/>
        </w:rPr>
        <w:t xml:space="preserve"> 2016.</w:t>
      </w:r>
      <w:r w:rsidR="00BD0C0F" w:rsidRPr="003F24D7">
        <w:rPr>
          <w:sz w:val="24"/>
          <w:szCs w:val="24"/>
        </w:rPr>
        <w:t xml:space="preserve"> 68 f.</w:t>
      </w:r>
      <w:r w:rsidRPr="003F24D7">
        <w:rPr>
          <w:sz w:val="24"/>
          <w:szCs w:val="24"/>
        </w:rPr>
        <w:t xml:space="preserve"> Dissertação (Mestrado em Educação)</w:t>
      </w:r>
      <w:r w:rsidR="00BD0C0F" w:rsidRPr="003F24D7">
        <w:rPr>
          <w:sz w:val="24"/>
          <w:szCs w:val="24"/>
        </w:rPr>
        <w:t xml:space="preserve"> -</w:t>
      </w:r>
      <w:r w:rsidRPr="003F24D7">
        <w:rPr>
          <w:sz w:val="24"/>
          <w:szCs w:val="24"/>
        </w:rPr>
        <w:t xml:space="preserve"> Universidade </w:t>
      </w:r>
      <w:r w:rsidR="00BD0C0F" w:rsidRPr="003F24D7">
        <w:rPr>
          <w:sz w:val="24"/>
          <w:szCs w:val="24"/>
        </w:rPr>
        <w:t>d</w:t>
      </w:r>
      <w:r w:rsidRPr="003F24D7">
        <w:rPr>
          <w:sz w:val="24"/>
          <w:szCs w:val="24"/>
        </w:rPr>
        <w:t xml:space="preserve">o Oeste Paulista, Presidente Prudente, 2016. </w:t>
      </w:r>
    </w:p>
    <w:p w14:paraId="60B6575F" w14:textId="77777777" w:rsidR="001E1F40" w:rsidRPr="003F24D7" w:rsidRDefault="001E1F40" w:rsidP="001E1F40">
      <w:pPr>
        <w:spacing w:before="200" w:after="200"/>
        <w:jc w:val="both"/>
        <w:rPr>
          <w:sz w:val="24"/>
          <w:szCs w:val="24"/>
          <w:lang w:val="en-US"/>
        </w:rPr>
      </w:pPr>
      <w:r w:rsidRPr="003F24D7">
        <w:rPr>
          <w:rFonts w:eastAsia="Times New Roman"/>
          <w:sz w:val="24"/>
          <w:szCs w:val="24"/>
          <w:lang w:val="en-US" w:eastAsia="pt-BR"/>
        </w:rPr>
        <w:t xml:space="preserve">WOOLFOLK, Anita. </w:t>
      </w:r>
      <w:r w:rsidRPr="003F24D7">
        <w:rPr>
          <w:rFonts w:eastAsia="Times New Roman"/>
          <w:b/>
          <w:sz w:val="24"/>
          <w:szCs w:val="24"/>
          <w:lang w:val="en-US" w:eastAsia="pt-BR"/>
        </w:rPr>
        <w:t>Educational Psychology</w:t>
      </w:r>
      <w:r w:rsidRPr="003F24D7">
        <w:rPr>
          <w:rFonts w:eastAsia="Times New Roman"/>
          <w:sz w:val="24"/>
          <w:szCs w:val="24"/>
          <w:lang w:val="en-US" w:eastAsia="pt-BR"/>
        </w:rPr>
        <w:t>. 10. ed. Boston: Pearson Education Inc, 2007.</w:t>
      </w:r>
    </w:p>
    <w:p w14:paraId="33143366" w14:textId="77777777" w:rsidR="001E1F40" w:rsidRDefault="001E1F40" w:rsidP="00842D28">
      <w:pPr>
        <w:shd w:val="clear" w:color="auto" w:fill="FFFFFF"/>
        <w:spacing w:after="0"/>
        <w:jc w:val="left"/>
        <w:rPr>
          <w:rFonts w:eastAsia="Times New Roman"/>
          <w:color w:val="000000"/>
          <w:sz w:val="24"/>
          <w:szCs w:val="24"/>
          <w:lang w:eastAsia="pt-BR"/>
        </w:rPr>
      </w:pPr>
    </w:p>
    <w:p w14:paraId="76F6271B" w14:textId="4E42D0D2" w:rsidR="009E20F2" w:rsidRPr="00BA4852" w:rsidRDefault="009E20F2" w:rsidP="001E1F40">
      <w:pPr>
        <w:pStyle w:val="Corpodetexto"/>
        <w:tabs>
          <w:tab w:val="center" w:pos="4513"/>
          <w:tab w:val="left" w:pos="6960"/>
        </w:tabs>
        <w:spacing w:line="360" w:lineRule="auto"/>
        <w:jc w:val="both"/>
        <w:rPr>
          <w:color w:val="FF0000"/>
          <w:lang w:val="pt-BR" w:eastAsia="pt-BR"/>
        </w:rPr>
      </w:pPr>
    </w:p>
    <w:sectPr w:rsidR="009E20F2" w:rsidRPr="00BA4852" w:rsidSect="00D51A75">
      <w:headerReference w:type="default" r:id="rId25"/>
      <w:headerReference w:type="first" r:id="rId26"/>
      <w:footerReference w:type="first" r:id="rId27"/>
      <w:type w:val="continuous"/>
      <w:pgSz w:w="11906" w:h="16838" w:code="9"/>
      <w:pgMar w:top="32" w:right="1440" w:bottom="1440" w:left="1440" w:header="319" w:footer="6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F065D" w14:textId="77777777" w:rsidR="00667A5D" w:rsidRDefault="00667A5D" w:rsidP="0081056D">
      <w:pPr>
        <w:spacing w:after="0"/>
      </w:pPr>
      <w:r>
        <w:separator/>
      </w:r>
    </w:p>
  </w:endnote>
  <w:endnote w:type="continuationSeparator" w:id="0">
    <w:p w14:paraId="01A2E934" w14:textId="77777777" w:rsidR="00667A5D" w:rsidRDefault="00667A5D" w:rsidP="0081056D">
      <w:pPr>
        <w:spacing w:after="0"/>
      </w:pPr>
      <w:r>
        <w:continuationSeparator/>
      </w:r>
    </w:p>
  </w:endnote>
  <w:endnote w:id="1">
    <w:p w14:paraId="3A42F7EF" w14:textId="198AB32D" w:rsidR="00D21310" w:rsidRPr="00146E99" w:rsidRDefault="00D21310" w:rsidP="002C12C0">
      <w:pPr>
        <w:pStyle w:val="Textodenotaderodap"/>
        <w:jc w:val="both"/>
      </w:pPr>
      <w:r w:rsidRPr="00146E99">
        <w:rPr>
          <w:rStyle w:val="Caracteresdenotadefim"/>
        </w:rPr>
        <w:endnoteRef/>
      </w:r>
      <w:r w:rsidRPr="00146E99">
        <w:t xml:space="preserve"> Briner e Denyer (2012, p. 115) usam o termo “best evidence” entre aspas</w:t>
      </w:r>
      <w:r>
        <w:t>,</w:t>
      </w:r>
      <w:r w:rsidRPr="00146E99">
        <w:t xml:space="preserve"> por se referir ao contexto da pesquisa na área da medicina</w:t>
      </w:r>
      <w:r w:rsidR="00BD0C0F">
        <w:t>;</w:t>
      </w:r>
      <w:r w:rsidRPr="00146E99">
        <w:t xml:space="preserve"> entretanto, aqui foi adaptado para resultados, por ser mais genérico e poder ser utilizado para outras áreas das ciências e tópicos de pesquisa.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haparral Pro">
    <w:altName w:val="Cambria Math"/>
    <w:panose1 w:val="00000000000000000000"/>
    <w:charset w:val="00"/>
    <w:family w:val="roman"/>
    <w:notTrueType/>
    <w:pitch w:val="variable"/>
    <w:sig w:usb0="00000001" w:usb1="00000001" w:usb2="00000000" w:usb3="00000000" w:csb0="00000093" w:csb1="00000000"/>
  </w:font>
  <w:font w:name="Yu Gothic">
    <w:altName w:val="游ゴシック"/>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0" w:type="dxa"/>
      <w:tblInd w:w="-34" w:type="dxa"/>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3467"/>
      <w:gridCol w:w="1559"/>
      <w:gridCol w:w="708"/>
      <w:gridCol w:w="642"/>
      <w:gridCol w:w="1279"/>
      <w:gridCol w:w="1555"/>
    </w:tblGrid>
    <w:tr w:rsidR="00D21310" w14:paraId="56022BB5" w14:textId="77777777" w:rsidTr="00D42B90">
      <w:tc>
        <w:tcPr>
          <w:tcW w:w="3467" w:type="dxa"/>
          <w:tcBorders>
            <w:top w:val="single" w:sz="4" w:space="0" w:color="auto"/>
            <w:left w:val="nil"/>
            <w:bottom w:val="single" w:sz="4" w:space="0" w:color="auto"/>
            <w:right w:val="single" w:sz="4" w:space="0" w:color="auto"/>
          </w:tcBorders>
          <w:hideMark/>
        </w:tcPr>
        <w:p w14:paraId="60FF1000" w14:textId="77777777" w:rsidR="00D21310" w:rsidRPr="008D22BD" w:rsidRDefault="00D21310" w:rsidP="008D22BD">
          <w:pPr>
            <w:tabs>
              <w:tab w:val="center" w:pos="4252"/>
              <w:tab w:val="right" w:pos="8504"/>
            </w:tabs>
            <w:spacing w:after="0"/>
            <w:rPr>
              <w:rFonts w:asciiTheme="minorHAnsi" w:eastAsia="Times New Roman" w:hAnsiTheme="minorHAnsi" w:cstheme="minorHAnsi"/>
              <w:i/>
            </w:rPr>
          </w:pPr>
          <w:r w:rsidRPr="008D22BD">
            <w:rPr>
              <w:rFonts w:asciiTheme="minorHAnsi" w:eastAsia="Times New Roman" w:hAnsiTheme="minorHAnsi" w:cstheme="minorHAnsi"/>
              <w:i/>
            </w:rPr>
            <w:t>© ETD- Educação Temática Digital</w:t>
          </w:r>
        </w:p>
      </w:tc>
      <w:tc>
        <w:tcPr>
          <w:tcW w:w="1559" w:type="dxa"/>
          <w:tcBorders>
            <w:top w:val="single" w:sz="4" w:space="0" w:color="auto"/>
            <w:left w:val="single" w:sz="4" w:space="0" w:color="auto"/>
            <w:bottom w:val="single" w:sz="4" w:space="0" w:color="auto"/>
            <w:right w:val="single" w:sz="4" w:space="0" w:color="auto"/>
          </w:tcBorders>
          <w:hideMark/>
        </w:tcPr>
        <w:p w14:paraId="3415B5FA" w14:textId="77777777" w:rsidR="00D21310" w:rsidRPr="008D22BD" w:rsidRDefault="00D21310">
          <w:pPr>
            <w:tabs>
              <w:tab w:val="center" w:pos="4252"/>
              <w:tab w:val="right" w:pos="8504"/>
            </w:tabs>
            <w:spacing w:after="0"/>
            <w:rPr>
              <w:rFonts w:asciiTheme="minorHAnsi" w:eastAsia="Times New Roman" w:hAnsiTheme="minorHAnsi" w:cstheme="minorHAnsi"/>
            </w:rPr>
          </w:pPr>
          <w:r w:rsidRPr="008D22BD">
            <w:rPr>
              <w:rFonts w:asciiTheme="minorHAnsi" w:eastAsia="Times New Roman" w:hAnsiTheme="minorHAnsi" w:cstheme="minorHAnsi"/>
            </w:rPr>
            <w:t>Campinas, SP</w:t>
          </w:r>
        </w:p>
      </w:tc>
      <w:tc>
        <w:tcPr>
          <w:tcW w:w="708" w:type="dxa"/>
          <w:tcBorders>
            <w:top w:val="single" w:sz="4" w:space="0" w:color="auto"/>
            <w:left w:val="single" w:sz="4" w:space="0" w:color="auto"/>
            <w:bottom w:val="single" w:sz="4" w:space="0" w:color="auto"/>
            <w:right w:val="single" w:sz="4" w:space="0" w:color="auto"/>
          </w:tcBorders>
          <w:hideMark/>
        </w:tcPr>
        <w:p w14:paraId="3FF319D4" w14:textId="77777777" w:rsidR="00D21310" w:rsidRPr="008D22BD" w:rsidRDefault="00D21310">
          <w:pPr>
            <w:tabs>
              <w:tab w:val="center" w:pos="4252"/>
              <w:tab w:val="right" w:pos="8504"/>
            </w:tabs>
            <w:spacing w:after="0"/>
            <w:rPr>
              <w:rFonts w:asciiTheme="minorHAnsi" w:eastAsia="Times New Roman" w:hAnsiTheme="minorHAnsi" w:cstheme="minorHAnsi"/>
            </w:rPr>
          </w:pPr>
          <w:r w:rsidRPr="008D22BD">
            <w:rPr>
              <w:rFonts w:asciiTheme="minorHAnsi" w:eastAsia="Times New Roman" w:hAnsiTheme="minorHAnsi" w:cstheme="minorHAnsi"/>
            </w:rPr>
            <w:t>v.15</w:t>
          </w:r>
        </w:p>
      </w:tc>
      <w:tc>
        <w:tcPr>
          <w:tcW w:w="642" w:type="dxa"/>
          <w:tcBorders>
            <w:top w:val="single" w:sz="4" w:space="0" w:color="auto"/>
            <w:left w:val="single" w:sz="4" w:space="0" w:color="auto"/>
            <w:bottom w:val="single" w:sz="4" w:space="0" w:color="auto"/>
            <w:right w:val="single" w:sz="4" w:space="0" w:color="auto"/>
          </w:tcBorders>
          <w:hideMark/>
        </w:tcPr>
        <w:p w14:paraId="6C32A3F8" w14:textId="77777777" w:rsidR="00D21310" w:rsidRPr="008D22BD" w:rsidRDefault="00D21310">
          <w:pPr>
            <w:tabs>
              <w:tab w:val="center" w:pos="4252"/>
              <w:tab w:val="right" w:pos="8504"/>
            </w:tabs>
            <w:spacing w:after="0"/>
            <w:rPr>
              <w:rFonts w:asciiTheme="minorHAnsi" w:eastAsia="Times New Roman" w:hAnsiTheme="minorHAnsi" w:cstheme="minorHAnsi"/>
            </w:rPr>
          </w:pPr>
          <w:r w:rsidRPr="008D22BD">
            <w:rPr>
              <w:rFonts w:asciiTheme="minorHAnsi" w:eastAsia="Times New Roman" w:hAnsiTheme="minorHAnsi" w:cstheme="minorHAnsi"/>
            </w:rPr>
            <w:t>n.1</w:t>
          </w:r>
        </w:p>
      </w:tc>
      <w:tc>
        <w:tcPr>
          <w:tcW w:w="1279" w:type="dxa"/>
          <w:tcBorders>
            <w:top w:val="single" w:sz="4" w:space="0" w:color="auto"/>
            <w:left w:val="single" w:sz="4" w:space="0" w:color="auto"/>
            <w:bottom w:val="single" w:sz="4" w:space="0" w:color="auto"/>
            <w:right w:val="single" w:sz="4" w:space="0" w:color="auto"/>
          </w:tcBorders>
          <w:hideMark/>
        </w:tcPr>
        <w:p w14:paraId="6DC945A5" w14:textId="77777777" w:rsidR="00D21310" w:rsidRPr="008D22BD" w:rsidRDefault="00D21310" w:rsidP="00940050">
          <w:pPr>
            <w:tabs>
              <w:tab w:val="center" w:pos="4252"/>
              <w:tab w:val="right" w:pos="8504"/>
            </w:tabs>
            <w:spacing w:after="0"/>
            <w:rPr>
              <w:rFonts w:asciiTheme="minorHAnsi" w:eastAsia="Times New Roman" w:hAnsiTheme="minorHAnsi" w:cstheme="minorHAnsi"/>
              <w:lang w:val="en-US"/>
            </w:rPr>
          </w:pPr>
          <w:r w:rsidRPr="008D22BD">
            <w:rPr>
              <w:rFonts w:asciiTheme="minorHAnsi" w:eastAsia="Times New Roman" w:hAnsiTheme="minorHAnsi" w:cstheme="minorHAnsi"/>
              <w:lang w:val="en-US"/>
            </w:rPr>
            <w:t>p. 00-00</w:t>
          </w:r>
        </w:p>
      </w:tc>
      <w:tc>
        <w:tcPr>
          <w:tcW w:w="1555" w:type="dxa"/>
          <w:tcBorders>
            <w:top w:val="single" w:sz="4" w:space="0" w:color="auto"/>
            <w:left w:val="single" w:sz="4" w:space="0" w:color="auto"/>
            <w:bottom w:val="single" w:sz="4" w:space="0" w:color="auto"/>
            <w:right w:val="nil"/>
          </w:tcBorders>
          <w:hideMark/>
        </w:tcPr>
        <w:p w14:paraId="5D81C227" w14:textId="77777777" w:rsidR="00D21310" w:rsidRPr="008D22BD" w:rsidRDefault="00D21310">
          <w:pPr>
            <w:tabs>
              <w:tab w:val="center" w:pos="4252"/>
              <w:tab w:val="right" w:pos="8504"/>
            </w:tabs>
            <w:spacing w:after="0"/>
            <w:rPr>
              <w:rFonts w:asciiTheme="minorHAnsi" w:eastAsia="Times New Roman" w:hAnsiTheme="minorHAnsi" w:cstheme="minorHAnsi"/>
              <w:lang w:val="en-US"/>
            </w:rPr>
          </w:pPr>
          <w:r w:rsidRPr="008D22BD">
            <w:rPr>
              <w:rFonts w:asciiTheme="minorHAnsi" w:eastAsia="Times New Roman" w:hAnsiTheme="minorHAnsi" w:cstheme="minorHAnsi"/>
              <w:lang w:val="en-US"/>
            </w:rPr>
            <w:t>jan./abr. 2017</w:t>
          </w:r>
        </w:p>
      </w:tc>
    </w:tr>
  </w:tbl>
  <w:sdt>
    <w:sdtPr>
      <w:id w:val="-18245425"/>
      <w:docPartObj>
        <w:docPartGallery w:val="Page Numbers (Bottom of Page)"/>
        <w:docPartUnique/>
      </w:docPartObj>
    </w:sdtPr>
    <w:sdtEndPr/>
    <w:sdtContent>
      <w:p w14:paraId="2C539AEB" w14:textId="77777777" w:rsidR="00D21310" w:rsidRDefault="00D21310" w:rsidP="00D42B90">
        <w:pPr>
          <w:pStyle w:val="Rodap"/>
        </w:pPr>
        <w:r>
          <w:t>[1]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EEB32" w14:textId="77777777" w:rsidR="00667A5D" w:rsidRDefault="00667A5D" w:rsidP="0081056D">
      <w:pPr>
        <w:spacing w:after="0"/>
      </w:pPr>
      <w:r>
        <w:separator/>
      </w:r>
    </w:p>
  </w:footnote>
  <w:footnote w:type="continuationSeparator" w:id="0">
    <w:p w14:paraId="46DA51D1" w14:textId="77777777" w:rsidR="00667A5D" w:rsidRDefault="00667A5D" w:rsidP="0081056D">
      <w:pPr>
        <w:spacing w:after="0"/>
      </w:pPr>
      <w:r>
        <w:continuationSeparator/>
      </w:r>
    </w:p>
  </w:footnote>
  <w:footnote w:id="1">
    <w:p w14:paraId="4171EEEB" w14:textId="75E404D8" w:rsidR="00D21310" w:rsidRDefault="00D21310" w:rsidP="002C12C0">
      <w:pPr>
        <w:pStyle w:val="Textodenotaderodap"/>
        <w:jc w:val="both"/>
      </w:pPr>
      <w:r>
        <w:rPr>
          <w:rStyle w:val="Refdenotaderodap"/>
        </w:rPr>
        <w:t>*</w:t>
      </w:r>
      <w:r w:rsidRPr="007206D8">
        <w:t xml:space="preserve"> Doutora em Educação pela Universidade Estadual de Campinas. Psicóloga pela Uni</w:t>
      </w:r>
      <w:r>
        <w:t>versidade Federal de Uberlândia (UFU).</w:t>
      </w:r>
      <w:r w:rsidRPr="007206D8">
        <w:t xml:space="preserve"> Professora da Universidade Federal de Goiás</w:t>
      </w:r>
      <w:r>
        <w:t xml:space="preserve"> (UFG) </w:t>
      </w:r>
      <w:r w:rsidRPr="007206D8">
        <w:t>– Regional Catalão. E-mail: elisufg@gmail.com</w:t>
      </w:r>
    </w:p>
  </w:footnote>
  <w:footnote w:id="2">
    <w:p w14:paraId="03E4A6EA" w14:textId="77777777" w:rsidR="00D21310" w:rsidRPr="00FE0C51" w:rsidRDefault="00D21310" w:rsidP="00DD3F13">
      <w:pPr>
        <w:pStyle w:val="Textodenotaderodap"/>
        <w:jc w:val="both"/>
        <w:rPr>
          <w:lang w:val="en-US"/>
        </w:rPr>
      </w:pPr>
      <w:r>
        <w:rPr>
          <w:rStyle w:val="Refdenotaderodap"/>
        </w:rPr>
        <w:t>**</w:t>
      </w:r>
      <w:r w:rsidRPr="007206D8">
        <w:t xml:space="preserve"> </w:t>
      </w:r>
      <w:r>
        <w:t>Doutora em Educação: Currículo pela Pontifícia Universidade Católica de São Paulo (PUCSP). Psicóloga pela Universidade Federal de Uberlândia (UFU). Professora da Universidade Federal de Goiás (UFG)</w:t>
      </w:r>
      <w:r w:rsidRPr="00C05459">
        <w:t xml:space="preserve"> </w:t>
      </w:r>
      <w:r w:rsidRPr="007206D8">
        <w:t xml:space="preserve">– Regional </w:t>
      </w:r>
      <w:r>
        <w:t xml:space="preserve">Catalão. </w:t>
      </w:r>
      <w:r w:rsidRPr="00DD3F13">
        <w:rPr>
          <w:lang w:val="en-US"/>
        </w:rPr>
        <w:t>E-mail: paulina.assis@hotmail.com</w:t>
      </w:r>
    </w:p>
    <w:p w14:paraId="5668EAD6" w14:textId="7DD0F4E6" w:rsidR="00D21310" w:rsidRPr="00E56E0B" w:rsidRDefault="00D21310" w:rsidP="002C12C0">
      <w:pPr>
        <w:pStyle w:val="Textodenotaderodap"/>
        <w:jc w:val="both"/>
        <w:rPr>
          <w:lang w:val="en-US"/>
        </w:rPr>
      </w:pPr>
    </w:p>
  </w:footnote>
  <w:footnote w:id="3">
    <w:p w14:paraId="5895522F" w14:textId="36950D54" w:rsidR="00D21310" w:rsidRPr="00E56E0B" w:rsidRDefault="00D21310" w:rsidP="002C12C0">
      <w:pPr>
        <w:pStyle w:val="Textodenotaderodap"/>
        <w:jc w:val="both"/>
        <w:rPr>
          <w:i/>
          <w:iCs/>
          <w:lang w:val="en-US"/>
        </w:rPr>
      </w:pPr>
      <w:r w:rsidRPr="00DD3F13">
        <w:rPr>
          <w:rStyle w:val="Refdenotaderodap"/>
          <w:i/>
          <w:iCs/>
          <w:lang w:val="en-US"/>
        </w:rPr>
        <w:t>*</w:t>
      </w:r>
      <w:r w:rsidRPr="00DD3F13">
        <w:rPr>
          <w:i/>
          <w:iCs/>
          <w:lang w:val="en-US"/>
        </w:rPr>
        <w:t xml:space="preserve"> PhD in Education from the State University of Campinas. Psychologist at the Federal University of Uberlândia (UFU). </w:t>
      </w:r>
      <w:proofErr w:type="gramStart"/>
      <w:r w:rsidRPr="00DD3F13">
        <w:rPr>
          <w:i/>
          <w:iCs/>
          <w:lang w:val="en-US"/>
        </w:rPr>
        <w:t>Professor at the Federal Uni</w:t>
      </w:r>
      <w:r w:rsidR="002452F0">
        <w:rPr>
          <w:i/>
          <w:iCs/>
          <w:lang w:val="en-US"/>
        </w:rPr>
        <w:t xml:space="preserve">versity of </w:t>
      </w:r>
      <w:proofErr w:type="spellStart"/>
      <w:r w:rsidR="002452F0">
        <w:rPr>
          <w:i/>
          <w:iCs/>
          <w:lang w:val="en-US"/>
        </w:rPr>
        <w:t>Goiás</w:t>
      </w:r>
      <w:proofErr w:type="spellEnd"/>
      <w:r w:rsidR="002452F0">
        <w:rPr>
          <w:i/>
          <w:iCs/>
          <w:lang w:val="en-US"/>
        </w:rPr>
        <w:t xml:space="preserve"> (UFG) - </w:t>
      </w:r>
      <w:proofErr w:type="spellStart"/>
      <w:r w:rsidR="002452F0">
        <w:rPr>
          <w:i/>
          <w:iCs/>
          <w:lang w:val="en-US"/>
        </w:rPr>
        <w:t>Catalão</w:t>
      </w:r>
      <w:proofErr w:type="spellEnd"/>
      <w:r w:rsidRPr="00DD3F13">
        <w:rPr>
          <w:i/>
          <w:iCs/>
          <w:lang w:val="en-US"/>
        </w:rPr>
        <w:t xml:space="preserve"> Regional.</w:t>
      </w:r>
      <w:proofErr w:type="gramEnd"/>
      <w:r w:rsidRPr="00DD3F13">
        <w:rPr>
          <w:i/>
          <w:iCs/>
          <w:lang w:val="en-US"/>
        </w:rPr>
        <w:t xml:space="preserve"> E-mail: elisufg@gmail.com.</w:t>
      </w:r>
    </w:p>
  </w:footnote>
  <w:footnote w:id="4">
    <w:p w14:paraId="737EB009" w14:textId="12E7B834" w:rsidR="00D21310" w:rsidRPr="00E56E0B" w:rsidRDefault="00D21310" w:rsidP="002C12C0">
      <w:pPr>
        <w:pStyle w:val="Textodenotaderodap"/>
        <w:jc w:val="both"/>
      </w:pPr>
      <w:r w:rsidRPr="00DD3F13">
        <w:rPr>
          <w:rStyle w:val="Refdenotaderodap"/>
          <w:i/>
          <w:iCs/>
          <w:lang w:val="en-US"/>
        </w:rPr>
        <w:t>**</w:t>
      </w:r>
      <w:r w:rsidRPr="00DD3F13">
        <w:rPr>
          <w:i/>
          <w:iCs/>
          <w:lang w:val="en-US"/>
        </w:rPr>
        <w:t xml:space="preserve"> PhD in Education: Curriculum from the Pontifical Catholic University of São Paulo (PUCSP). Psychologist at the Federal University of Uberlândia (UFU). </w:t>
      </w:r>
      <w:proofErr w:type="gramStart"/>
      <w:r w:rsidRPr="00DD3F13">
        <w:rPr>
          <w:i/>
          <w:iCs/>
          <w:lang w:val="en-US"/>
        </w:rPr>
        <w:t>Professor at the Federal Uni</w:t>
      </w:r>
      <w:r w:rsidR="002452F0">
        <w:rPr>
          <w:i/>
          <w:iCs/>
          <w:lang w:val="en-US"/>
        </w:rPr>
        <w:t xml:space="preserve">versity of </w:t>
      </w:r>
      <w:proofErr w:type="spellStart"/>
      <w:r w:rsidR="002452F0">
        <w:rPr>
          <w:i/>
          <w:iCs/>
          <w:lang w:val="en-US"/>
        </w:rPr>
        <w:t>Goiás</w:t>
      </w:r>
      <w:proofErr w:type="spellEnd"/>
      <w:r w:rsidR="002452F0">
        <w:rPr>
          <w:i/>
          <w:iCs/>
          <w:lang w:val="en-US"/>
        </w:rPr>
        <w:t xml:space="preserve"> (UFG) - </w:t>
      </w:r>
      <w:proofErr w:type="spellStart"/>
      <w:r w:rsidR="002452F0">
        <w:rPr>
          <w:i/>
          <w:iCs/>
          <w:lang w:val="en-US"/>
        </w:rPr>
        <w:t>Catalão</w:t>
      </w:r>
      <w:proofErr w:type="spellEnd"/>
      <w:r w:rsidRPr="00DD3F13">
        <w:rPr>
          <w:i/>
          <w:iCs/>
          <w:lang w:val="en-US"/>
        </w:rPr>
        <w:t xml:space="preserve"> Regional.</w:t>
      </w:r>
      <w:proofErr w:type="gramEnd"/>
      <w:r>
        <w:rPr>
          <w:i/>
          <w:iCs/>
          <w:lang w:val="en-US"/>
        </w:rPr>
        <w:t xml:space="preserve"> </w:t>
      </w:r>
      <w:r w:rsidRPr="00E56E0B">
        <w:rPr>
          <w:i/>
          <w:iCs/>
        </w:rPr>
        <w:t>E-mail: paulina.assis@hotmail.com</w:t>
      </w:r>
    </w:p>
  </w:footnote>
  <w:footnote w:id="5">
    <w:p w14:paraId="7BF214F7" w14:textId="2BE01F62" w:rsidR="00D21310" w:rsidRPr="003F24D7" w:rsidRDefault="00D21310" w:rsidP="002C12C0">
      <w:pPr>
        <w:pStyle w:val="Textodenotaderodap"/>
        <w:jc w:val="both"/>
        <w:rPr>
          <w:i/>
          <w:iCs/>
          <w:lang w:val="es-AR"/>
        </w:rPr>
      </w:pPr>
      <w:r w:rsidRPr="003F24D7">
        <w:rPr>
          <w:rStyle w:val="Refdenotaderodap"/>
          <w:i/>
          <w:iCs/>
          <w:lang w:val="es-AR"/>
        </w:rPr>
        <w:t>*</w:t>
      </w:r>
      <w:r w:rsidRPr="003F24D7">
        <w:rPr>
          <w:i/>
          <w:iCs/>
          <w:lang w:val="es-AR"/>
        </w:rPr>
        <w:t xml:space="preserve"> </w:t>
      </w:r>
      <w:r w:rsidR="00E56E0B" w:rsidRPr="003F24D7">
        <w:rPr>
          <w:i/>
          <w:iCs/>
          <w:lang w:val="es-AR"/>
        </w:rPr>
        <w:t>Doctorado en Educación por la Universidad Estatal de Campinas. Psicóloga de la Universidad Federal de Uberlândia (UFU). Profesor de la Universidad Federal de</w:t>
      </w:r>
      <w:r w:rsidR="002452F0">
        <w:rPr>
          <w:i/>
          <w:iCs/>
          <w:lang w:val="es-AR"/>
        </w:rPr>
        <w:t xml:space="preserve"> Goiás (UFG) - Regional </w:t>
      </w:r>
      <w:proofErr w:type="spellStart"/>
      <w:r w:rsidR="002452F0">
        <w:rPr>
          <w:i/>
          <w:iCs/>
          <w:lang w:val="es-AR"/>
        </w:rPr>
        <w:t>Catalão</w:t>
      </w:r>
      <w:proofErr w:type="spellEnd"/>
      <w:r w:rsidR="00E56E0B" w:rsidRPr="003F24D7">
        <w:rPr>
          <w:i/>
          <w:iCs/>
          <w:lang w:val="es-AR"/>
        </w:rPr>
        <w:t xml:space="preserve">. </w:t>
      </w:r>
      <w:r w:rsidRPr="003F24D7">
        <w:rPr>
          <w:i/>
          <w:iCs/>
          <w:lang w:val="es-AR"/>
        </w:rPr>
        <w:t>E-mail: elisufg@gmail.com.</w:t>
      </w:r>
    </w:p>
  </w:footnote>
  <w:footnote w:id="6">
    <w:p w14:paraId="111B4E28" w14:textId="6FDA8AB3" w:rsidR="00D21310" w:rsidRPr="00E56E0B" w:rsidRDefault="00D21310" w:rsidP="002C12C0">
      <w:pPr>
        <w:pStyle w:val="Textodenotaderodap"/>
        <w:jc w:val="both"/>
        <w:rPr>
          <w:i/>
          <w:iCs/>
        </w:rPr>
      </w:pPr>
      <w:r w:rsidRPr="003F24D7">
        <w:rPr>
          <w:rStyle w:val="Refdenotaderodap"/>
          <w:i/>
          <w:iCs/>
          <w:lang w:val="es-AR"/>
        </w:rPr>
        <w:t>**</w:t>
      </w:r>
      <w:r w:rsidRPr="003F24D7">
        <w:rPr>
          <w:i/>
          <w:iCs/>
          <w:lang w:val="es-AR"/>
        </w:rPr>
        <w:t xml:space="preserve"> </w:t>
      </w:r>
      <w:r w:rsidR="00E56E0B" w:rsidRPr="003F24D7">
        <w:rPr>
          <w:i/>
          <w:iCs/>
          <w:lang w:val="es-AR"/>
        </w:rPr>
        <w:t xml:space="preserve">Doctorado en Educación: Currículum por la Pontificia Universidad Católica de São Paulo (PUCSP). </w:t>
      </w:r>
      <w:r w:rsidR="00E56E0B" w:rsidRPr="003F24D7">
        <w:rPr>
          <w:i/>
          <w:iCs/>
        </w:rPr>
        <w:t xml:space="preserve">Psicóloga de la Universidad Federal de Uberlândia (UFU). </w:t>
      </w:r>
      <w:r w:rsidR="00E56E0B" w:rsidRPr="003F24D7">
        <w:rPr>
          <w:i/>
          <w:iCs/>
          <w:lang w:val="es-AR"/>
        </w:rPr>
        <w:t>Profesor de la Universidad Federal de</w:t>
      </w:r>
      <w:r w:rsidR="002452F0">
        <w:rPr>
          <w:i/>
          <w:iCs/>
          <w:lang w:val="es-AR"/>
        </w:rPr>
        <w:t xml:space="preserve"> Goiás (UFG) - Regional </w:t>
      </w:r>
      <w:proofErr w:type="spellStart"/>
      <w:r w:rsidR="002452F0">
        <w:rPr>
          <w:i/>
          <w:iCs/>
          <w:lang w:val="es-AR"/>
        </w:rPr>
        <w:t>Catalão</w:t>
      </w:r>
      <w:proofErr w:type="spellEnd"/>
      <w:r w:rsidR="00E56E0B" w:rsidRPr="003F24D7">
        <w:rPr>
          <w:i/>
          <w:iCs/>
          <w:lang w:val="es-AR"/>
        </w:rPr>
        <w:t>.</w:t>
      </w:r>
      <w:r w:rsidRPr="003F24D7">
        <w:rPr>
          <w:i/>
          <w:iCs/>
          <w:lang w:val="es-AR"/>
        </w:rPr>
        <w:t xml:space="preserve"> </w:t>
      </w:r>
      <w:r w:rsidRPr="003F24D7">
        <w:rPr>
          <w:i/>
          <w:iCs/>
        </w:rPr>
        <w:t>E-mail: paulina.assis@hotmail.com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2019" w:type="dxa"/>
      <w:tblInd w:w="-1423" w:type="dxa"/>
      <w:tblLook w:val="04A0" w:firstRow="1" w:lastRow="0" w:firstColumn="1" w:lastColumn="0" w:noHBand="0" w:noVBand="1"/>
    </w:tblPr>
    <w:tblGrid>
      <w:gridCol w:w="5671"/>
      <w:gridCol w:w="6348"/>
    </w:tblGrid>
    <w:tr w:rsidR="00D21310" w:rsidRPr="00DC0224" w14:paraId="1B73C277" w14:textId="32E6A801" w:rsidTr="002355DB">
      <w:tc>
        <w:tcPr>
          <w:tcW w:w="5671" w:type="dxa"/>
        </w:tcPr>
        <w:p w14:paraId="1F0D2293" w14:textId="20B84631" w:rsidR="00D21310" w:rsidRPr="00302CF5" w:rsidRDefault="00D21310" w:rsidP="001A1997">
          <w:pPr>
            <w:pStyle w:val="Cabealho"/>
            <w:spacing w:after="0"/>
            <w:jc w:val="left"/>
            <w:rPr>
              <w:rFonts w:cs="Calibri"/>
              <w:sz w:val="16"/>
              <w:szCs w:val="16"/>
              <w:lang w:val="en-US"/>
            </w:rPr>
          </w:pPr>
          <w:r w:rsidRPr="00250DBA">
            <w:rPr>
              <w:noProof/>
              <w:sz w:val="24"/>
              <w:szCs w:val="24"/>
              <w:lang w:eastAsia="pt-BR"/>
            </w:rPr>
            <w:drawing>
              <wp:inline distT="0" distB="0" distL="0" distR="0" wp14:anchorId="69EDE444" wp14:editId="0CCCEC32">
                <wp:extent cx="2397760" cy="825335"/>
                <wp:effectExtent l="0" t="0" r="0" b="0"/>
                <wp:docPr id="261" name="Imagem 261"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rotWithShape="1">
                        <a:blip r:embed="rId1">
                          <a:extLst>
                            <a:ext uri="{28A0092B-C50C-407E-A947-70E740481C1C}">
                              <a14:useLocalDpi xmlns:a14="http://schemas.microsoft.com/office/drawing/2010/main" val="0"/>
                            </a:ext>
                          </a:extLst>
                        </a:blip>
                        <a:srcRect l="-257" r="67943" b="19972"/>
                        <a:stretch/>
                      </pic:blipFill>
                      <pic:spPr bwMode="auto">
                        <a:xfrm>
                          <a:off x="0" y="0"/>
                          <a:ext cx="2401864" cy="8267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348" w:type="dxa"/>
        </w:tcPr>
        <w:p w14:paraId="75422E6A" w14:textId="77FF9CC4" w:rsidR="00D21310" w:rsidRDefault="00D21310" w:rsidP="00D51A75">
          <w:pPr>
            <w:pStyle w:val="Cabealho"/>
            <w:spacing w:after="0"/>
            <w:jc w:val="right"/>
            <w:rPr>
              <w:rFonts w:cs="Calibri"/>
              <w:sz w:val="16"/>
              <w:szCs w:val="16"/>
            </w:rPr>
          </w:pPr>
        </w:p>
        <w:p w14:paraId="06FB9352" w14:textId="45BDB265" w:rsidR="00D21310" w:rsidRDefault="00D21310" w:rsidP="00D51A75">
          <w:pPr>
            <w:pStyle w:val="Cabealho"/>
            <w:spacing w:after="0"/>
            <w:jc w:val="right"/>
            <w:rPr>
              <w:rFonts w:cs="Calibri"/>
              <w:sz w:val="16"/>
              <w:szCs w:val="16"/>
            </w:rPr>
          </w:pPr>
        </w:p>
        <w:p w14:paraId="55C80CD9" w14:textId="7F9F3719" w:rsidR="00D21310" w:rsidRDefault="00D21310" w:rsidP="00D51A75">
          <w:pPr>
            <w:pStyle w:val="Cabealho"/>
            <w:spacing w:after="0"/>
            <w:jc w:val="right"/>
            <w:rPr>
              <w:rFonts w:cs="Calibri"/>
              <w:sz w:val="16"/>
              <w:szCs w:val="16"/>
            </w:rPr>
          </w:pPr>
          <w:r>
            <w:rPr>
              <w:rFonts w:cs="Calibri"/>
              <w:noProof/>
              <w:color w:val="000000"/>
              <w:sz w:val="16"/>
              <w:szCs w:val="16"/>
              <w:lang w:eastAsia="pt-BR"/>
            </w:rPr>
            <mc:AlternateContent>
              <mc:Choice Requires="wps">
                <w:drawing>
                  <wp:anchor distT="0" distB="0" distL="114300" distR="114300" simplePos="0" relativeHeight="251677696" behindDoc="0" locked="0" layoutInCell="1" allowOverlap="1" wp14:anchorId="4E8BACDB" wp14:editId="144575ED">
                    <wp:simplePos x="0" y="0"/>
                    <wp:positionH relativeFrom="column">
                      <wp:posOffset>624345</wp:posOffset>
                    </wp:positionH>
                    <wp:positionV relativeFrom="paragraph">
                      <wp:posOffset>145646</wp:posOffset>
                    </wp:positionV>
                    <wp:extent cx="2339439" cy="326571"/>
                    <wp:effectExtent l="0" t="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439" cy="3265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591B3D" w14:textId="77777777" w:rsidR="00D21310" w:rsidRPr="006B424C" w:rsidRDefault="00D21310" w:rsidP="001C2C8B">
                                <w:pPr>
                                  <w:shd w:val="clear" w:color="auto" w:fill="84B26B"/>
                                  <w:spacing w:after="0"/>
                                  <w:rPr>
                                    <w:rFonts w:ascii="Arial" w:hAnsi="Arial" w:cs="Arial"/>
                                    <w:b/>
                                    <w:sz w:val="32"/>
                                    <w:szCs w:val="32"/>
                                  </w:rPr>
                                </w:pPr>
                                <w:r w:rsidRPr="006B424C">
                                  <w:rPr>
                                    <w:rFonts w:ascii="Arial" w:hAnsi="Arial" w:cs="Arial"/>
                                    <w:b/>
                                    <w:sz w:val="32"/>
                                    <w:szCs w:val="32"/>
                                  </w:rPr>
                                  <w:t>ARTIGO</w:t>
                                </w:r>
                              </w:p>
                              <w:p w14:paraId="4D76C834" w14:textId="77777777" w:rsidR="00D21310" w:rsidRDefault="00D21310" w:rsidP="008D22BD">
                                <w:pPr>
                                  <w:shd w:val="clear" w:color="auto" w:fill="D9D9D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8BACDB" id="_x0000_t202" coordsize="21600,21600" o:spt="202" path="m,l,21600r21600,l21600,xe">
                    <v:stroke joinstyle="miter"/>
                    <v:path gradientshapeok="t" o:connecttype="rect"/>
                  </v:shapetype>
                  <v:shape id="Text Box 1" o:spid="_x0000_s1026" type="#_x0000_t202" style="position:absolute;left:0;text-align:left;margin-left:49.15pt;margin-top:11.45pt;width:184.2pt;height:2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" stroked="f">
                    <v:textbox>
                      <w:txbxContent>
                        <w:p w14:paraId="38591B3D" w14:textId="77777777" w:rsidR="00D21310" w:rsidRPr="006B424C" w:rsidRDefault="00D21310" w:rsidP="001C2C8B">
                          <w:pPr>
                            <w:shd w:val="clear" w:color="auto" w:fill="84B26B"/>
                            <w:spacing w:after="0"/>
                            <w:rPr>
                              <w:rFonts w:ascii="Arial" w:hAnsi="Arial" w:cs="Arial"/>
                              <w:b/>
                              <w:sz w:val="32"/>
                              <w:szCs w:val="32"/>
                            </w:rPr>
                          </w:pPr>
                          <w:r w:rsidRPr="006B424C">
                            <w:rPr>
                              <w:rFonts w:ascii="Arial" w:hAnsi="Arial" w:cs="Arial"/>
                              <w:b/>
                              <w:sz w:val="32"/>
                              <w:szCs w:val="32"/>
                            </w:rPr>
                            <w:t>ARTIGO</w:t>
                          </w:r>
                        </w:p>
                        <w:p w14:paraId="4D76C834" w14:textId="77777777" w:rsidR="00D21310" w:rsidRDefault="00D21310" w:rsidP="008D22BD">
                          <w:pPr>
                            <w:shd w:val="clear" w:color="auto" w:fill="D9D9D9"/>
                          </w:pPr>
                        </w:p>
                      </w:txbxContent>
                    </v:textbox>
                  </v:shape>
                </w:pict>
              </mc:Fallback>
            </mc:AlternateContent>
          </w:r>
        </w:p>
      </w:tc>
    </w:tr>
    <w:tr w:rsidR="00D21310" w:rsidRPr="00D51A75" w14:paraId="4D27011F" w14:textId="76A1BC8B" w:rsidTr="00CE246D">
      <w:trPr>
        <w:trHeight w:val="57"/>
      </w:trPr>
      <w:tc>
        <w:tcPr>
          <w:tcW w:w="12019" w:type="dxa"/>
          <w:gridSpan w:val="2"/>
        </w:tcPr>
        <w:p w14:paraId="35CB06ED" w14:textId="597244D3" w:rsidR="00D21310" w:rsidRPr="00D51A75" w:rsidRDefault="00D21310" w:rsidP="002355DB">
          <w:pPr>
            <w:pStyle w:val="Cabealho"/>
            <w:spacing w:after="0"/>
            <w:ind w:left="-109"/>
            <w:jc w:val="right"/>
            <w:rPr>
              <w:rFonts w:cs="Calibri"/>
              <w:sz w:val="16"/>
              <w:szCs w:val="16"/>
            </w:rPr>
          </w:pPr>
          <w:r w:rsidRPr="00D51A75">
            <w:rPr>
              <w:noProof/>
              <w:sz w:val="16"/>
              <w:szCs w:val="24"/>
              <w:lang w:eastAsia="pt-BR"/>
            </w:rPr>
            <w:drawing>
              <wp:inline distT="0" distB="0" distL="0" distR="0" wp14:anchorId="4873F68A" wp14:editId="2A1B1752">
                <wp:extent cx="7564582" cy="184141"/>
                <wp:effectExtent l="0" t="0" r="0" b="6985"/>
                <wp:docPr id="262" name="Imagem 262" descr="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pic:cNvPicPr>
                          <a:picLocks noChangeAspect="1" noChangeArrowheads="1"/>
                        </pic:cNvPicPr>
                      </pic:nvPicPr>
                      <pic:blipFill rotWithShape="1">
                        <a:blip r:embed="rId1">
                          <a:extLst>
                            <a:ext uri="{28A0092B-C50C-407E-A947-70E740481C1C}">
                              <a14:useLocalDpi xmlns:a14="http://schemas.microsoft.com/office/drawing/2010/main" val="0"/>
                            </a:ext>
                          </a:extLst>
                        </a:blip>
                        <a:srcRect t="77649"/>
                        <a:stretch/>
                      </pic:blipFill>
                      <pic:spPr bwMode="auto">
                        <a:xfrm>
                          <a:off x="0" y="0"/>
                          <a:ext cx="23147749" cy="56347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2F81B82" w14:textId="1356AFB4" w:rsidR="00D21310" w:rsidRPr="00D51A75" w:rsidRDefault="00D21310" w:rsidP="00D51A75">
    <w:pPr>
      <w:pStyle w:val="Cabealho"/>
      <w:spacing w:after="0"/>
      <w:ind w:left="-1418"/>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80" w:type="dxa"/>
      <w:tblLook w:val="04A0" w:firstRow="1" w:lastRow="0" w:firstColumn="1" w:lastColumn="0" w:noHBand="0" w:noVBand="1"/>
    </w:tblPr>
    <w:tblGrid>
      <w:gridCol w:w="2764"/>
      <w:gridCol w:w="2765"/>
      <w:gridCol w:w="3651"/>
    </w:tblGrid>
    <w:tr w:rsidR="00D21310" w:rsidRPr="00DC0224" w14:paraId="6EF23246" w14:textId="77777777" w:rsidTr="006531EB">
      <w:tc>
        <w:tcPr>
          <w:tcW w:w="2764" w:type="dxa"/>
        </w:tcPr>
        <w:p w14:paraId="50FBCE9B" w14:textId="77777777" w:rsidR="00D21310" w:rsidRPr="00302CF5" w:rsidRDefault="00D21310" w:rsidP="006531EB">
          <w:pPr>
            <w:pStyle w:val="Cabealho"/>
            <w:spacing w:after="0"/>
            <w:rPr>
              <w:rFonts w:cs="Calibri"/>
              <w:sz w:val="16"/>
              <w:szCs w:val="16"/>
              <w:lang w:val="en-US"/>
            </w:rPr>
          </w:pPr>
          <w:r>
            <w:rPr>
              <w:noProof/>
              <w:sz w:val="24"/>
              <w:szCs w:val="24"/>
              <w:lang w:eastAsia="pt-BR"/>
            </w:rPr>
            <w:drawing>
              <wp:anchor distT="0" distB="0" distL="114300" distR="114300" simplePos="0" relativeHeight="251665408" behindDoc="0" locked="0" layoutInCell="1" allowOverlap="1" wp14:anchorId="25AFD9A2" wp14:editId="663CF05E">
                <wp:simplePos x="0" y="0"/>
                <wp:positionH relativeFrom="column">
                  <wp:posOffset>-1222375</wp:posOffset>
                </wp:positionH>
                <wp:positionV relativeFrom="paragraph">
                  <wp:posOffset>-27940</wp:posOffset>
                </wp:positionV>
                <wp:extent cx="1056005" cy="461645"/>
                <wp:effectExtent l="19050" t="0" r="0" b="0"/>
                <wp:wrapSquare wrapText="bothSides"/>
                <wp:docPr id="263" name="Imagem 3" descr="ETD_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TD_Imagem"/>
                        <pic:cNvPicPr>
                          <a:picLocks noChangeAspect="1" noChangeArrowheads="1"/>
                        </pic:cNvPicPr>
                      </pic:nvPicPr>
                      <pic:blipFill>
                        <a:blip r:embed="rId1"/>
                        <a:srcRect/>
                        <a:stretch>
                          <a:fillRect/>
                        </a:stretch>
                      </pic:blipFill>
                      <pic:spPr bwMode="auto">
                        <a:xfrm>
                          <a:off x="0" y="0"/>
                          <a:ext cx="1056005" cy="461645"/>
                        </a:xfrm>
                        <a:prstGeom prst="rect">
                          <a:avLst/>
                        </a:prstGeom>
                        <a:noFill/>
                      </pic:spPr>
                    </pic:pic>
                  </a:graphicData>
                </a:graphic>
              </wp:anchor>
            </w:drawing>
          </w:r>
        </w:p>
      </w:tc>
      <w:tc>
        <w:tcPr>
          <w:tcW w:w="2765" w:type="dxa"/>
        </w:tcPr>
        <w:p w14:paraId="6731E49A" w14:textId="77777777" w:rsidR="00D21310" w:rsidRPr="00302CF5" w:rsidRDefault="00D21310" w:rsidP="001D5E7D">
          <w:pPr>
            <w:pStyle w:val="Cabealho"/>
            <w:spacing w:after="0"/>
            <w:rPr>
              <w:rFonts w:cs="Calibri"/>
              <w:sz w:val="16"/>
              <w:szCs w:val="16"/>
              <w:lang w:val="en-US"/>
            </w:rPr>
          </w:pPr>
          <w:r>
            <w:rPr>
              <w:b/>
              <w:noProof/>
              <w:lang w:eastAsia="pt-BR"/>
            </w:rPr>
            <w:drawing>
              <wp:inline distT="0" distB="0" distL="0" distR="0" wp14:anchorId="4ADE4228" wp14:editId="4B9CC39C">
                <wp:extent cx="949325" cy="336550"/>
                <wp:effectExtent l="19050" t="0" r="3175" b="0"/>
                <wp:docPr id="264" name="Imagem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pic:cNvPicPr>
                          <a:picLocks noChangeAspect="1" noChangeArrowheads="1"/>
                        </pic:cNvPicPr>
                      </pic:nvPicPr>
                      <pic:blipFill>
                        <a:blip r:embed="rId2"/>
                        <a:srcRect/>
                        <a:stretch>
                          <a:fillRect/>
                        </a:stretch>
                      </pic:blipFill>
                      <pic:spPr bwMode="auto">
                        <a:xfrm>
                          <a:off x="0" y="0"/>
                          <a:ext cx="949325" cy="336550"/>
                        </a:xfrm>
                        <a:prstGeom prst="rect">
                          <a:avLst/>
                        </a:prstGeom>
                        <a:noFill/>
                        <a:ln w="9525">
                          <a:noFill/>
                          <a:miter lim="800000"/>
                          <a:headEnd/>
                          <a:tailEnd/>
                        </a:ln>
                      </pic:spPr>
                    </pic:pic>
                  </a:graphicData>
                </a:graphic>
              </wp:inline>
            </w:drawing>
          </w:r>
        </w:p>
      </w:tc>
      <w:tc>
        <w:tcPr>
          <w:tcW w:w="3651" w:type="dxa"/>
        </w:tcPr>
        <w:p w14:paraId="001BCF0D" w14:textId="77777777" w:rsidR="00D21310" w:rsidRDefault="00D21310" w:rsidP="001D5E7D">
          <w:pPr>
            <w:pStyle w:val="Cabealho"/>
            <w:spacing w:after="0"/>
            <w:jc w:val="right"/>
            <w:rPr>
              <w:rFonts w:cs="Calibri"/>
              <w:sz w:val="16"/>
              <w:szCs w:val="16"/>
            </w:rPr>
          </w:pPr>
          <w:r>
            <w:rPr>
              <w:rFonts w:cs="Calibri"/>
              <w:noProof/>
              <w:color w:val="000000"/>
              <w:sz w:val="16"/>
              <w:szCs w:val="16"/>
              <w:lang w:eastAsia="pt-BR"/>
            </w:rPr>
            <mc:AlternateContent>
              <mc:Choice Requires="wps">
                <w:drawing>
                  <wp:anchor distT="0" distB="0" distL="114300" distR="114300" simplePos="0" relativeHeight="251664384" behindDoc="0" locked="0" layoutInCell="1" allowOverlap="1" wp14:anchorId="580911A9" wp14:editId="6EF76000">
                    <wp:simplePos x="0" y="0"/>
                    <wp:positionH relativeFrom="column">
                      <wp:posOffset>161925</wp:posOffset>
                    </wp:positionH>
                    <wp:positionV relativeFrom="paragraph">
                      <wp:posOffset>10795</wp:posOffset>
                    </wp:positionV>
                    <wp:extent cx="2058670" cy="3282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328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303FF" w14:textId="77777777" w:rsidR="00D21310" w:rsidRPr="00DB0697" w:rsidRDefault="00D21310" w:rsidP="001D5E7D">
                                <w:pPr>
                                  <w:shd w:val="clear" w:color="auto" w:fill="FFFFFF" w:themeFill="background1"/>
                                  <w:spacing w:after="0"/>
                                  <w:jc w:val="right"/>
                                  <w:rPr>
                                    <w:rFonts w:ascii="Arial" w:hAnsi="Arial" w:cs="Arial"/>
                                    <w:sz w:val="32"/>
                                    <w:szCs w:val="24"/>
                                  </w:rPr>
                                </w:pPr>
                                <w:r w:rsidRPr="00DB0697">
                                  <w:rPr>
                                    <w:rFonts w:ascii="Arial" w:hAnsi="Arial" w:cs="Arial"/>
                                    <w:sz w:val="32"/>
                                    <w:szCs w:val="24"/>
                                  </w:rPr>
                                  <w:t>ARTIGO</w:t>
                                </w:r>
                              </w:p>
                              <w:p w14:paraId="7ECD035B" w14:textId="77777777" w:rsidR="00D21310" w:rsidRDefault="00D21310" w:rsidP="00B32E26">
                                <w:pPr>
                                  <w:shd w:val="clear" w:color="auto" w:fill="D9D9D9"/>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0911A9" id="_x0000_t202" coordsize="21600,21600" o:spt="202" path="m,l,21600r21600,l21600,xe">
                    <v:stroke joinstyle="miter"/>
                    <v:path gradientshapeok="t" o:connecttype="rect"/>
                  </v:shapetype>
                  <v:shape id="_x0000_s1027" type="#_x0000_t202" style="position:absolute;left:0;text-align:left;margin-left:12.75pt;margin-top:.85pt;width:162.1pt;height:2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" stroked="f">
                    <v:textbox>
                      <w:txbxContent>
                        <w:p w14:paraId="0F5303FF" w14:textId="77777777" w:rsidR="00D21310" w:rsidRPr="00DB0697" w:rsidRDefault="00D21310" w:rsidP="001D5E7D">
                          <w:pPr>
                            <w:shd w:val="clear" w:color="auto" w:fill="FFFFFF" w:themeFill="background1"/>
                            <w:spacing w:after="0"/>
                            <w:jc w:val="right"/>
                            <w:rPr>
                              <w:rFonts w:ascii="Arial" w:hAnsi="Arial" w:cs="Arial"/>
                              <w:sz w:val="32"/>
                              <w:szCs w:val="24"/>
                            </w:rPr>
                          </w:pPr>
                          <w:r w:rsidRPr="00DB0697">
                            <w:rPr>
                              <w:rFonts w:ascii="Arial" w:hAnsi="Arial" w:cs="Arial"/>
                              <w:sz w:val="32"/>
                              <w:szCs w:val="24"/>
                            </w:rPr>
                            <w:t>ARTIGO</w:t>
                          </w:r>
                        </w:p>
                        <w:p w14:paraId="7ECD035B" w14:textId="77777777" w:rsidR="00D21310" w:rsidRDefault="00D21310" w:rsidP="00B32E26">
                          <w:pPr>
                            <w:shd w:val="clear" w:color="auto" w:fill="D9D9D9"/>
                          </w:pPr>
                        </w:p>
                      </w:txbxContent>
                    </v:textbox>
                  </v:shape>
                </w:pict>
              </mc:Fallback>
            </mc:AlternateContent>
          </w:r>
        </w:p>
        <w:p w14:paraId="45E2D6CD" w14:textId="77777777" w:rsidR="00D21310" w:rsidRDefault="00D21310" w:rsidP="001D5E7D">
          <w:pPr>
            <w:pStyle w:val="Cabealho"/>
            <w:spacing w:after="0"/>
            <w:jc w:val="right"/>
            <w:rPr>
              <w:rFonts w:cs="Calibri"/>
              <w:sz w:val="16"/>
              <w:szCs w:val="16"/>
            </w:rPr>
          </w:pPr>
        </w:p>
        <w:p w14:paraId="2A574F57" w14:textId="77777777" w:rsidR="00D21310" w:rsidRDefault="00D21310" w:rsidP="001D5E7D">
          <w:pPr>
            <w:pStyle w:val="Cabealho"/>
            <w:spacing w:after="0"/>
            <w:jc w:val="right"/>
            <w:rPr>
              <w:rFonts w:cs="Calibri"/>
              <w:sz w:val="16"/>
              <w:szCs w:val="16"/>
            </w:rPr>
          </w:pPr>
        </w:p>
        <w:p w14:paraId="728B8ECD" w14:textId="77777777" w:rsidR="00D21310" w:rsidRPr="001D5E7D" w:rsidRDefault="00D21310" w:rsidP="001D5E7D">
          <w:pPr>
            <w:pStyle w:val="Cabealho"/>
            <w:spacing w:after="0"/>
            <w:jc w:val="right"/>
            <w:rPr>
              <w:rFonts w:cs="Calibri"/>
              <w:sz w:val="20"/>
              <w:szCs w:val="20"/>
            </w:rPr>
          </w:pPr>
          <w:r w:rsidRPr="001D5E7D">
            <w:rPr>
              <w:rFonts w:cs="Calibri"/>
              <w:sz w:val="20"/>
              <w:szCs w:val="20"/>
            </w:rPr>
            <w:t>DOI 10.20396/etd.v0i0.8646231</w:t>
          </w:r>
        </w:p>
      </w:tc>
    </w:tr>
  </w:tbl>
  <w:p w14:paraId="5C7FA588" w14:textId="77777777" w:rsidR="00D21310" w:rsidRDefault="00D21310" w:rsidP="00E56A8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1AE6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6843BD"/>
    <w:multiLevelType w:val="hybridMultilevel"/>
    <w:tmpl w:val="D9B8FD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69E6F2D"/>
    <w:multiLevelType w:val="hybridMultilevel"/>
    <w:tmpl w:val="73D64DCE"/>
    <w:lvl w:ilvl="0" w:tplc="59662A12">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81B0622"/>
    <w:multiLevelType w:val="hybridMultilevel"/>
    <w:tmpl w:val="429496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C2F7605"/>
    <w:multiLevelType w:val="hybridMultilevel"/>
    <w:tmpl w:val="BD7E4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4533FF1"/>
    <w:multiLevelType w:val="hybridMultilevel"/>
    <w:tmpl w:val="7A36E5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5EE5AA9"/>
    <w:multiLevelType w:val="hybridMultilevel"/>
    <w:tmpl w:val="88EC6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8B77BEA"/>
    <w:multiLevelType w:val="hybridMultilevel"/>
    <w:tmpl w:val="3F68C73C"/>
    <w:lvl w:ilvl="0" w:tplc="04160001">
      <w:start w:val="1"/>
      <w:numFmt w:val="bullet"/>
      <w:lvlText w:val=""/>
      <w:lvlJc w:val="left"/>
      <w:pPr>
        <w:ind w:left="4650" w:hanging="360"/>
      </w:pPr>
      <w:rPr>
        <w:rFonts w:ascii="Symbol" w:hAnsi="Symbol" w:hint="default"/>
      </w:rPr>
    </w:lvl>
    <w:lvl w:ilvl="1" w:tplc="04160003" w:tentative="1">
      <w:start w:val="1"/>
      <w:numFmt w:val="bullet"/>
      <w:lvlText w:val="o"/>
      <w:lvlJc w:val="left"/>
      <w:pPr>
        <w:ind w:left="1513" w:hanging="360"/>
      </w:pPr>
      <w:rPr>
        <w:rFonts w:ascii="Courier New" w:hAnsi="Courier New" w:cs="Courier New" w:hint="default"/>
      </w:rPr>
    </w:lvl>
    <w:lvl w:ilvl="2" w:tplc="04160005" w:tentative="1">
      <w:start w:val="1"/>
      <w:numFmt w:val="bullet"/>
      <w:lvlText w:val=""/>
      <w:lvlJc w:val="left"/>
      <w:pPr>
        <w:ind w:left="2233" w:hanging="360"/>
      </w:pPr>
      <w:rPr>
        <w:rFonts w:ascii="Wingdings" w:hAnsi="Wingdings" w:hint="default"/>
      </w:rPr>
    </w:lvl>
    <w:lvl w:ilvl="3" w:tplc="04160001" w:tentative="1">
      <w:start w:val="1"/>
      <w:numFmt w:val="bullet"/>
      <w:lvlText w:val=""/>
      <w:lvlJc w:val="left"/>
      <w:pPr>
        <w:ind w:left="2953" w:hanging="360"/>
      </w:pPr>
      <w:rPr>
        <w:rFonts w:ascii="Symbol" w:hAnsi="Symbol" w:hint="default"/>
      </w:rPr>
    </w:lvl>
    <w:lvl w:ilvl="4" w:tplc="04160003" w:tentative="1">
      <w:start w:val="1"/>
      <w:numFmt w:val="bullet"/>
      <w:lvlText w:val="o"/>
      <w:lvlJc w:val="left"/>
      <w:pPr>
        <w:ind w:left="3673" w:hanging="360"/>
      </w:pPr>
      <w:rPr>
        <w:rFonts w:ascii="Courier New" w:hAnsi="Courier New" w:cs="Courier New" w:hint="default"/>
      </w:rPr>
    </w:lvl>
    <w:lvl w:ilvl="5" w:tplc="04160005" w:tentative="1">
      <w:start w:val="1"/>
      <w:numFmt w:val="bullet"/>
      <w:lvlText w:val=""/>
      <w:lvlJc w:val="left"/>
      <w:pPr>
        <w:ind w:left="4393" w:hanging="360"/>
      </w:pPr>
      <w:rPr>
        <w:rFonts w:ascii="Wingdings" w:hAnsi="Wingdings" w:hint="default"/>
      </w:rPr>
    </w:lvl>
    <w:lvl w:ilvl="6" w:tplc="04160001" w:tentative="1">
      <w:start w:val="1"/>
      <w:numFmt w:val="bullet"/>
      <w:lvlText w:val=""/>
      <w:lvlJc w:val="left"/>
      <w:pPr>
        <w:ind w:left="5113" w:hanging="360"/>
      </w:pPr>
      <w:rPr>
        <w:rFonts w:ascii="Symbol" w:hAnsi="Symbol" w:hint="default"/>
      </w:rPr>
    </w:lvl>
    <w:lvl w:ilvl="7" w:tplc="04160003" w:tentative="1">
      <w:start w:val="1"/>
      <w:numFmt w:val="bullet"/>
      <w:lvlText w:val="o"/>
      <w:lvlJc w:val="left"/>
      <w:pPr>
        <w:ind w:left="5833" w:hanging="360"/>
      </w:pPr>
      <w:rPr>
        <w:rFonts w:ascii="Courier New" w:hAnsi="Courier New" w:cs="Courier New" w:hint="default"/>
      </w:rPr>
    </w:lvl>
    <w:lvl w:ilvl="8" w:tplc="04160005" w:tentative="1">
      <w:start w:val="1"/>
      <w:numFmt w:val="bullet"/>
      <w:lvlText w:val=""/>
      <w:lvlJc w:val="left"/>
      <w:pPr>
        <w:ind w:left="6553" w:hanging="360"/>
      </w:pPr>
      <w:rPr>
        <w:rFonts w:ascii="Wingdings" w:hAnsi="Wingdings" w:hint="default"/>
      </w:rPr>
    </w:lvl>
  </w:abstractNum>
  <w:abstractNum w:abstractNumId="8">
    <w:nsid w:val="391C1D09"/>
    <w:multiLevelType w:val="hybridMultilevel"/>
    <w:tmpl w:val="21E84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E1616A9"/>
    <w:multiLevelType w:val="multilevel"/>
    <w:tmpl w:val="82B4A520"/>
    <w:lvl w:ilvl="0">
      <w:start w:val="1"/>
      <w:numFmt w:val="lowerLetter"/>
      <w:lvlText w:val="%1)"/>
      <w:lvlJc w:val="left"/>
      <w:pPr>
        <w:ind w:left="284" w:hanging="284"/>
      </w:pPr>
      <w:rPr>
        <w:rFonts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3D619A4"/>
    <w:multiLevelType w:val="multilevel"/>
    <w:tmpl w:val="3426F95A"/>
    <w:lvl w:ilvl="0">
      <w:start w:val="1"/>
      <w:numFmt w:val="lowerLetter"/>
      <w:lvlText w:val="%1)"/>
      <w:lvlJc w:val="left"/>
      <w:pPr>
        <w:ind w:left="567" w:hanging="567"/>
      </w:pPr>
      <w:rPr>
        <w:rFonts w:hint="default"/>
      </w:rPr>
    </w:lvl>
    <w:lvl w:ilvl="1">
      <w:start w:val="1"/>
      <w:numFmt w:val="bullet"/>
      <w:lvlText w:val=""/>
      <w:lvlJc w:val="left"/>
      <w:pPr>
        <w:ind w:left="2211" w:hanging="1644"/>
      </w:pPr>
      <w:rPr>
        <w:rFonts w:ascii="Symbol" w:hAnsi="Symbol" w:hint="default"/>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9603899"/>
    <w:multiLevelType w:val="hybridMultilevel"/>
    <w:tmpl w:val="F09883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961604F"/>
    <w:multiLevelType w:val="hybridMultilevel"/>
    <w:tmpl w:val="398C2FAE"/>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4DE2371C">
      <w:start w:val="1"/>
      <w:numFmt w:val="bullet"/>
      <w:lvlText w:val=""/>
      <w:lvlJc w:val="left"/>
      <w:pPr>
        <w:ind w:left="2160" w:hanging="180"/>
      </w:pPr>
      <w:rPr>
        <w:rFonts w:ascii="Symbol" w:hAnsi="Symbol"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9B444DD"/>
    <w:multiLevelType w:val="multilevel"/>
    <w:tmpl w:val="208E432E"/>
    <w:lvl w:ilvl="0">
      <w:start w:val="1"/>
      <w:numFmt w:val="lowerLetter"/>
      <w:lvlText w:val="%1)"/>
      <w:lvlJc w:val="left"/>
      <w:pPr>
        <w:ind w:left="567" w:hanging="567"/>
      </w:pPr>
      <w:rPr>
        <w:rFonts w:hint="default"/>
      </w:rPr>
    </w:lvl>
    <w:lvl w:ilvl="1">
      <w:start w:val="1"/>
      <w:numFmt w:val="bullet"/>
      <w:lvlText w:val=""/>
      <w:lvlJc w:val="left"/>
      <w:pPr>
        <w:ind w:left="964" w:hanging="397"/>
      </w:pPr>
      <w:rPr>
        <w:rFonts w:ascii="Symbol" w:hAnsi="Symbol" w:hint="default"/>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4E7F1F93"/>
    <w:multiLevelType w:val="hybridMultilevel"/>
    <w:tmpl w:val="05968F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EAA25CC"/>
    <w:multiLevelType w:val="hybridMultilevel"/>
    <w:tmpl w:val="8A08E0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0325A83"/>
    <w:multiLevelType w:val="multilevel"/>
    <w:tmpl w:val="82B4A520"/>
    <w:lvl w:ilvl="0">
      <w:start w:val="1"/>
      <w:numFmt w:val="lowerLetter"/>
      <w:lvlText w:val="%1)"/>
      <w:lvlJc w:val="left"/>
      <w:pPr>
        <w:ind w:left="284" w:hanging="284"/>
      </w:pPr>
      <w:rPr>
        <w:rFonts w:hint="default"/>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ind w:left="1418" w:hanging="454"/>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519515F3"/>
    <w:multiLevelType w:val="hybridMultilevel"/>
    <w:tmpl w:val="6F544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C602119"/>
    <w:multiLevelType w:val="hybridMultilevel"/>
    <w:tmpl w:val="DBDE7C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3D24C0B"/>
    <w:multiLevelType w:val="hybridMultilevel"/>
    <w:tmpl w:val="B00A0E4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4416878"/>
    <w:multiLevelType w:val="multilevel"/>
    <w:tmpl w:val="3A16BF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20279B7"/>
    <w:multiLevelType w:val="hybridMultilevel"/>
    <w:tmpl w:val="72A21A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2033A37"/>
    <w:multiLevelType w:val="hybridMultilevel"/>
    <w:tmpl w:val="137A7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3B12B06"/>
    <w:multiLevelType w:val="hybridMultilevel"/>
    <w:tmpl w:val="61EAC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7AB36A0"/>
    <w:multiLevelType w:val="multilevel"/>
    <w:tmpl w:val="0A526E38"/>
    <w:lvl w:ilvl="0">
      <w:start w:val="1"/>
      <w:numFmt w:val="lowerLetter"/>
      <w:lvlText w:val="%1)"/>
      <w:lvlJc w:val="left"/>
      <w:pPr>
        <w:ind w:left="794" w:hanging="434"/>
      </w:pPr>
      <w:rPr>
        <w:rFonts w:hint="default"/>
      </w:rPr>
    </w:lvl>
    <w:lvl w:ilvl="1">
      <w:start w:val="1"/>
      <w:numFmt w:val="none"/>
      <w:lvlText w:val="%2-"/>
      <w:lvlJc w:val="left"/>
      <w:pPr>
        <w:ind w:left="1134"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1"/>
  </w:num>
  <w:num w:numId="3">
    <w:abstractNumId w:val="17"/>
  </w:num>
  <w:num w:numId="4">
    <w:abstractNumId w:val="4"/>
  </w:num>
  <w:num w:numId="5">
    <w:abstractNumId w:val="14"/>
  </w:num>
  <w:num w:numId="6">
    <w:abstractNumId w:val="21"/>
  </w:num>
  <w:num w:numId="7">
    <w:abstractNumId w:val="19"/>
  </w:num>
  <w:num w:numId="8">
    <w:abstractNumId w:val="3"/>
  </w:num>
  <w:num w:numId="9">
    <w:abstractNumId w:val="12"/>
  </w:num>
  <w:num w:numId="10">
    <w:abstractNumId w:val="24"/>
  </w:num>
  <w:num w:numId="11">
    <w:abstractNumId w:val="13"/>
  </w:num>
  <w:num w:numId="12">
    <w:abstractNumId w:val="10"/>
  </w:num>
  <w:num w:numId="13">
    <w:abstractNumId w:val="16"/>
  </w:num>
  <w:num w:numId="14">
    <w:abstractNumId w:val="9"/>
  </w:num>
  <w:num w:numId="15">
    <w:abstractNumId w:val="0"/>
  </w:num>
  <w:num w:numId="16">
    <w:abstractNumId w:val="7"/>
  </w:num>
  <w:num w:numId="17">
    <w:abstractNumId w:val="8"/>
  </w:num>
  <w:num w:numId="18">
    <w:abstractNumId w:val="23"/>
  </w:num>
  <w:num w:numId="19">
    <w:abstractNumId w:val="18"/>
  </w:num>
  <w:num w:numId="20">
    <w:abstractNumId w:val="15"/>
  </w:num>
  <w:num w:numId="21">
    <w:abstractNumId w:val="22"/>
  </w:num>
  <w:num w:numId="22">
    <w:abstractNumId w:val="11"/>
  </w:num>
  <w:num w:numId="23">
    <w:abstractNumId w:val="5"/>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trackedChanges" w:enforcement="0"/>
  <w:defaultTabStop w:val="708"/>
  <w:hyphenationZone w:val="425"/>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174"/>
    <w:rsid w:val="00000183"/>
    <w:rsid w:val="00006A47"/>
    <w:rsid w:val="00006FCA"/>
    <w:rsid w:val="00017F6A"/>
    <w:rsid w:val="000219BE"/>
    <w:rsid w:val="0002362F"/>
    <w:rsid w:val="000261F6"/>
    <w:rsid w:val="000329A1"/>
    <w:rsid w:val="00037352"/>
    <w:rsid w:val="0004010C"/>
    <w:rsid w:val="0004229D"/>
    <w:rsid w:val="000422A3"/>
    <w:rsid w:val="0004427F"/>
    <w:rsid w:val="00050365"/>
    <w:rsid w:val="00096FD5"/>
    <w:rsid w:val="000A0155"/>
    <w:rsid w:val="000A2A36"/>
    <w:rsid w:val="000A3DAB"/>
    <w:rsid w:val="000A5460"/>
    <w:rsid w:val="000B38AA"/>
    <w:rsid w:val="000C6C6E"/>
    <w:rsid w:val="000E1FA6"/>
    <w:rsid w:val="000E68BB"/>
    <w:rsid w:val="000E7684"/>
    <w:rsid w:val="000F2023"/>
    <w:rsid w:val="000F4D6B"/>
    <w:rsid w:val="000F505E"/>
    <w:rsid w:val="00102821"/>
    <w:rsid w:val="00113487"/>
    <w:rsid w:val="00114B9E"/>
    <w:rsid w:val="00121174"/>
    <w:rsid w:val="001224CD"/>
    <w:rsid w:val="0012488C"/>
    <w:rsid w:val="0012535F"/>
    <w:rsid w:val="001323F5"/>
    <w:rsid w:val="00147538"/>
    <w:rsid w:val="001502F1"/>
    <w:rsid w:val="001670DC"/>
    <w:rsid w:val="00170134"/>
    <w:rsid w:val="00174C49"/>
    <w:rsid w:val="00175485"/>
    <w:rsid w:val="00193C28"/>
    <w:rsid w:val="00194B54"/>
    <w:rsid w:val="001957B2"/>
    <w:rsid w:val="001969EC"/>
    <w:rsid w:val="001A16CC"/>
    <w:rsid w:val="001A1997"/>
    <w:rsid w:val="001A77BA"/>
    <w:rsid w:val="001B3218"/>
    <w:rsid w:val="001C2C8B"/>
    <w:rsid w:val="001C4693"/>
    <w:rsid w:val="001C591E"/>
    <w:rsid w:val="001C7503"/>
    <w:rsid w:val="001D0C6F"/>
    <w:rsid w:val="001D46FD"/>
    <w:rsid w:val="001D4E07"/>
    <w:rsid w:val="001D5E7D"/>
    <w:rsid w:val="001E1F40"/>
    <w:rsid w:val="001E2EE6"/>
    <w:rsid w:val="001E49CD"/>
    <w:rsid w:val="001E6278"/>
    <w:rsid w:val="001F30D4"/>
    <w:rsid w:val="001F318E"/>
    <w:rsid w:val="001F5422"/>
    <w:rsid w:val="001F617E"/>
    <w:rsid w:val="00200A78"/>
    <w:rsid w:val="0021194B"/>
    <w:rsid w:val="00212E57"/>
    <w:rsid w:val="00216580"/>
    <w:rsid w:val="00220DA9"/>
    <w:rsid w:val="00235097"/>
    <w:rsid w:val="002355DB"/>
    <w:rsid w:val="00241A52"/>
    <w:rsid w:val="002430C9"/>
    <w:rsid w:val="002452F0"/>
    <w:rsid w:val="00247558"/>
    <w:rsid w:val="002530C8"/>
    <w:rsid w:val="00260B1C"/>
    <w:rsid w:val="00265F9C"/>
    <w:rsid w:val="00271845"/>
    <w:rsid w:val="002801C0"/>
    <w:rsid w:val="00292B7E"/>
    <w:rsid w:val="00293F4F"/>
    <w:rsid w:val="00297898"/>
    <w:rsid w:val="002A28D2"/>
    <w:rsid w:val="002B1478"/>
    <w:rsid w:val="002B1657"/>
    <w:rsid w:val="002B36F5"/>
    <w:rsid w:val="002C04C0"/>
    <w:rsid w:val="002C12C0"/>
    <w:rsid w:val="002C7194"/>
    <w:rsid w:val="002D73B3"/>
    <w:rsid w:val="002E3E7D"/>
    <w:rsid w:val="002F15B0"/>
    <w:rsid w:val="002F6C87"/>
    <w:rsid w:val="002F74D6"/>
    <w:rsid w:val="00302380"/>
    <w:rsid w:val="003046F7"/>
    <w:rsid w:val="00304BEC"/>
    <w:rsid w:val="00311420"/>
    <w:rsid w:val="0031440D"/>
    <w:rsid w:val="00315950"/>
    <w:rsid w:val="00315ABE"/>
    <w:rsid w:val="00317BCC"/>
    <w:rsid w:val="00326627"/>
    <w:rsid w:val="00331537"/>
    <w:rsid w:val="003377DE"/>
    <w:rsid w:val="00340A2F"/>
    <w:rsid w:val="00341071"/>
    <w:rsid w:val="0034134D"/>
    <w:rsid w:val="003431D8"/>
    <w:rsid w:val="00344ADF"/>
    <w:rsid w:val="003460A4"/>
    <w:rsid w:val="003501B3"/>
    <w:rsid w:val="0035489A"/>
    <w:rsid w:val="00355BBD"/>
    <w:rsid w:val="003604A2"/>
    <w:rsid w:val="003643E7"/>
    <w:rsid w:val="00364BB8"/>
    <w:rsid w:val="00370276"/>
    <w:rsid w:val="00375AE1"/>
    <w:rsid w:val="00380CF4"/>
    <w:rsid w:val="00383104"/>
    <w:rsid w:val="003833DD"/>
    <w:rsid w:val="003846D0"/>
    <w:rsid w:val="003974B9"/>
    <w:rsid w:val="00397759"/>
    <w:rsid w:val="003B2D0F"/>
    <w:rsid w:val="003B5848"/>
    <w:rsid w:val="003C5561"/>
    <w:rsid w:val="003D1917"/>
    <w:rsid w:val="003D5B6B"/>
    <w:rsid w:val="003E3B59"/>
    <w:rsid w:val="003E41CF"/>
    <w:rsid w:val="003E6310"/>
    <w:rsid w:val="003F24D7"/>
    <w:rsid w:val="003F36FE"/>
    <w:rsid w:val="00405036"/>
    <w:rsid w:val="00405048"/>
    <w:rsid w:val="004057B2"/>
    <w:rsid w:val="00410E21"/>
    <w:rsid w:val="00424148"/>
    <w:rsid w:val="00426B25"/>
    <w:rsid w:val="0043043A"/>
    <w:rsid w:val="00436145"/>
    <w:rsid w:val="00436E86"/>
    <w:rsid w:val="00437037"/>
    <w:rsid w:val="004507D0"/>
    <w:rsid w:val="004513D6"/>
    <w:rsid w:val="00460BD4"/>
    <w:rsid w:val="004624E9"/>
    <w:rsid w:val="00463AE1"/>
    <w:rsid w:val="00465500"/>
    <w:rsid w:val="00467FDB"/>
    <w:rsid w:val="00471959"/>
    <w:rsid w:val="004740EA"/>
    <w:rsid w:val="0048043A"/>
    <w:rsid w:val="00482D21"/>
    <w:rsid w:val="004928EF"/>
    <w:rsid w:val="00492F88"/>
    <w:rsid w:val="004933B1"/>
    <w:rsid w:val="004C5DEE"/>
    <w:rsid w:val="004D7954"/>
    <w:rsid w:val="004E6AA7"/>
    <w:rsid w:val="004F058B"/>
    <w:rsid w:val="004F1E7E"/>
    <w:rsid w:val="004F3B22"/>
    <w:rsid w:val="004F7B9C"/>
    <w:rsid w:val="00510599"/>
    <w:rsid w:val="00512A88"/>
    <w:rsid w:val="00513EE9"/>
    <w:rsid w:val="0052153B"/>
    <w:rsid w:val="005267A9"/>
    <w:rsid w:val="00534F27"/>
    <w:rsid w:val="005407A4"/>
    <w:rsid w:val="0054122F"/>
    <w:rsid w:val="005441FA"/>
    <w:rsid w:val="00544921"/>
    <w:rsid w:val="00544B7B"/>
    <w:rsid w:val="00562678"/>
    <w:rsid w:val="00570F53"/>
    <w:rsid w:val="00574A4F"/>
    <w:rsid w:val="00574C5A"/>
    <w:rsid w:val="005766B9"/>
    <w:rsid w:val="00577540"/>
    <w:rsid w:val="005A23F1"/>
    <w:rsid w:val="005A7085"/>
    <w:rsid w:val="005A7E15"/>
    <w:rsid w:val="005B663C"/>
    <w:rsid w:val="005B79BD"/>
    <w:rsid w:val="005D0E79"/>
    <w:rsid w:val="005D0E9F"/>
    <w:rsid w:val="005D31E2"/>
    <w:rsid w:val="005E318B"/>
    <w:rsid w:val="005F6A41"/>
    <w:rsid w:val="00600A55"/>
    <w:rsid w:val="00604CFF"/>
    <w:rsid w:val="00607660"/>
    <w:rsid w:val="00611B63"/>
    <w:rsid w:val="00615243"/>
    <w:rsid w:val="006160A1"/>
    <w:rsid w:val="0062417C"/>
    <w:rsid w:val="00624513"/>
    <w:rsid w:val="006246EC"/>
    <w:rsid w:val="00633B11"/>
    <w:rsid w:val="00634C7D"/>
    <w:rsid w:val="00635C12"/>
    <w:rsid w:val="00644AD0"/>
    <w:rsid w:val="00644D2E"/>
    <w:rsid w:val="00651D3E"/>
    <w:rsid w:val="00652E27"/>
    <w:rsid w:val="006531EB"/>
    <w:rsid w:val="00661210"/>
    <w:rsid w:val="00663EE5"/>
    <w:rsid w:val="00664551"/>
    <w:rsid w:val="00667A5D"/>
    <w:rsid w:val="006705DC"/>
    <w:rsid w:val="006733DC"/>
    <w:rsid w:val="00674859"/>
    <w:rsid w:val="0067528C"/>
    <w:rsid w:val="006754B0"/>
    <w:rsid w:val="00677EC1"/>
    <w:rsid w:val="00684166"/>
    <w:rsid w:val="00694A0C"/>
    <w:rsid w:val="006972DB"/>
    <w:rsid w:val="00697D8D"/>
    <w:rsid w:val="006A11D0"/>
    <w:rsid w:val="006A28C8"/>
    <w:rsid w:val="006B02CA"/>
    <w:rsid w:val="006B22CF"/>
    <w:rsid w:val="006B424C"/>
    <w:rsid w:val="006B6CAB"/>
    <w:rsid w:val="006B721F"/>
    <w:rsid w:val="006B775B"/>
    <w:rsid w:val="006B7CE2"/>
    <w:rsid w:val="006C0AF8"/>
    <w:rsid w:val="006D2B5D"/>
    <w:rsid w:val="006E34EB"/>
    <w:rsid w:val="006F1973"/>
    <w:rsid w:val="0070178A"/>
    <w:rsid w:val="007123C5"/>
    <w:rsid w:val="00712A1C"/>
    <w:rsid w:val="007151D6"/>
    <w:rsid w:val="00724E2D"/>
    <w:rsid w:val="007255C4"/>
    <w:rsid w:val="0072600E"/>
    <w:rsid w:val="007262B0"/>
    <w:rsid w:val="00726C7E"/>
    <w:rsid w:val="007475F1"/>
    <w:rsid w:val="00750818"/>
    <w:rsid w:val="00754C71"/>
    <w:rsid w:val="00756B15"/>
    <w:rsid w:val="0075719F"/>
    <w:rsid w:val="00760F83"/>
    <w:rsid w:val="00772C14"/>
    <w:rsid w:val="00774C85"/>
    <w:rsid w:val="00777D73"/>
    <w:rsid w:val="00785FDD"/>
    <w:rsid w:val="007872C1"/>
    <w:rsid w:val="007A4377"/>
    <w:rsid w:val="007B1DF3"/>
    <w:rsid w:val="007B6B16"/>
    <w:rsid w:val="007C1C45"/>
    <w:rsid w:val="007C1F15"/>
    <w:rsid w:val="007C41D0"/>
    <w:rsid w:val="007D4831"/>
    <w:rsid w:val="007D4A2D"/>
    <w:rsid w:val="007D55ED"/>
    <w:rsid w:val="007E0CB4"/>
    <w:rsid w:val="007E1233"/>
    <w:rsid w:val="007E4539"/>
    <w:rsid w:val="007E74D0"/>
    <w:rsid w:val="007F03DD"/>
    <w:rsid w:val="007F74AB"/>
    <w:rsid w:val="00804DE9"/>
    <w:rsid w:val="00810234"/>
    <w:rsid w:val="0081056D"/>
    <w:rsid w:val="008246BD"/>
    <w:rsid w:val="008267DC"/>
    <w:rsid w:val="00837CB3"/>
    <w:rsid w:val="00842D28"/>
    <w:rsid w:val="00851B69"/>
    <w:rsid w:val="00871B97"/>
    <w:rsid w:val="00876DF1"/>
    <w:rsid w:val="00884D6F"/>
    <w:rsid w:val="0089279D"/>
    <w:rsid w:val="00892802"/>
    <w:rsid w:val="00897F92"/>
    <w:rsid w:val="008A23ED"/>
    <w:rsid w:val="008A24AF"/>
    <w:rsid w:val="008A2703"/>
    <w:rsid w:val="008A2ABF"/>
    <w:rsid w:val="008A33EB"/>
    <w:rsid w:val="008B03A7"/>
    <w:rsid w:val="008B4415"/>
    <w:rsid w:val="008B7E4A"/>
    <w:rsid w:val="008C39AA"/>
    <w:rsid w:val="008C6AE3"/>
    <w:rsid w:val="008D22BD"/>
    <w:rsid w:val="008D6491"/>
    <w:rsid w:val="008E4CBF"/>
    <w:rsid w:val="008E59B1"/>
    <w:rsid w:val="008E7DCA"/>
    <w:rsid w:val="008F0781"/>
    <w:rsid w:val="008F0837"/>
    <w:rsid w:val="008F1AD9"/>
    <w:rsid w:val="008F1E18"/>
    <w:rsid w:val="008F6B37"/>
    <w:rsid w:val="009031C7"/>
    <w:rsid w:val="00912B7D"/>
    <w:rsid w:val="009177D8"/>
    <w:rsid w:val="00921544"/>
    <w:rsid w:val="00932C32"/>
    <w:rsid w:val="00940050"/>
    <w:rsid w:val="00941195"/>
    <w:rsid w:val="00942CA8"/>
    <w:rsid w:val="0094368F"/>
    <w:rsid w:val="0094660D"/>
    <w:rsid w:val="00951DC4"/>
    <w:rsid w:val="009608C6"/>
    <w:rsid w:val="00964685"/>
    <w:rsid w:val="00977003"/>
    <w:rsid w:val="00980A3A"/>
    <w:rsid w:val="009849A8"/>
    <w:rsid w:val="009862F7"/>
    <w:rsid w:val="009968F7"/>
    <w:rsid w:val="009A71E1"/>
    <w:rsid w:val="009B412C"/>
    <w:rsid w:val="009D1F6E"/>
    <w:rsid w:val="009E0E62"/>
    <w:rsid w:val="009E20F2"/>
    <w:rsid w:val="009E25DF"/>
    <w:rsid w:val="009E7E90"/>
    <w:rsid w:val="009F5E43"/>
    <w:rsid w:val="00A00182"/>
    <w:rsid w:val="00A15B68"/>
    <w:rsid w:val="00A213A4"/>
    <w:rsid w:val="00A41B21"/>
    <w:rsid w:val="00A449CA"/>
    <w:rsid w:val="00A509C6"/>
    <w:rsid w:val="00A524CD"/>
    <w:rsid w:val="00A554D1"/>
    <w:rsid w:val="00A563AC"/>
    <w:rsid w:val="00A627B5"/>
    <w:rsid w:val="00A629D2"/>
    <w:rsid w:val="00A64870"/>
    <w:rsid w:val="00A6651A"/>
    <w:rsid w:val="00A721B6"/>
    <w:rsid w:val="00A77E88"/>
    <w:rsid w:val="00A87D80"/>
    <w:rsid w:val="00AA1172"/>
    <w:rsid w:val="00AA3441"/>
    <w:rsid w:val="00AA6050"/>
    <w:rsid w:val="00AA709B"/>
    <w:rsid w:val="00AB2105"/>
    <w:rsid w:val="00AB44CC"/>
    <w:rsid w:val="00AC3015"/>
    <w:rsid w:val="00AD03D1"/>
    <w:rsid w:val="00AD131E"/>
    <w:rsid w:val="00AD13E0"/>
    <w:rsid w:val="00AD2676"/>
    <w:rsid w:val="00AD4B6E"/>
    <w:rsid w:val="00AD67F3"/>
    <w:rsid w:val="00AE57C8"/>
    <w:rsid w:val="00AF257D"/>
    <w:rsid w:val="00AF69FD"/>
    <w:rsid w:val="00B0524D"/>
    <w:rsid w:val="00B10C74"/>
    <w:rsid w:val="00B10FDD"/>
    <w:rsid w:val="00B22417"/>
    <w:rsid w:val="00B26AD5"/>
    <w:rsid w:val="00B32E26"/>
    <w:rsid w:val="00B3557E"/>
    <w:rsid w:val="00B36075"/>
    <w:rsid w:val="00B4084A"/>
    <w:rsid w:val="00B41BE1"/>
    <w:rsid w:val="00B420D3"/>
    <w:rsid w:val="00B46F0E"/>
    <w:rsid w:val="00B532E7"/>
    <w:rsid w:val="00B5786B"/>
    <w:rsid w:val="00B61DBD"/>
    <w:rsid w:val="00B62B1C"/>
    <w:rsid w:val="00B66F9E"/>
    <w:rsid w:val="00B71210"/>
    <w:rsid w:val="00B8104A"/>
    <w:rsid w:val="00B86751"/>
    <w:rsid w:val="00B8731B"/>
    <w:rsid w:val="00B955D5"/>
    <w:rsid w:val="00B97A98"/>
    <w:rsid w:val="00BA3357"/>
    <w:rsid w:val="00BA4852"/>
    <w:rsid w:val="00BA48D6"/>
    <w:rsid w:val="00BA6C8E"/>
    <w:rsid w:val="00BB00A2"/>
    <w:rsid w:val="00BB1168"/>
    <w:rsid w:val="00BC2954"/>
    <w:rsid w:val="00BC4D90"/>
    <w:rsid w:val="00BC6458"/>
    <w:rsid w:val="00BC78BC"/>
    <w:rsid w:val="00BD0C0F"/>
    <w:rsid w:val="00BD0C46"/>
    <w:rsid w:val="00BD1057"/>
    <w:rsid w:val="00BD1ADD"/>
    <w:rsid w:val="00BD3551"/>
    <w:rsid w:val="00BD395D"/>
    <w:rsid w:val="00BD3E60"/>
    <w:rsid w:val="00BE04E9"/>
    <w:rsid w:val="00BF1CBD"/>
    <w:rsid w:val="00BF5846"/>
    <w:rsid w:val="00C01B1D"/>
    <w:rsid w:val="00C01FC4"/>
    <w:rsid w:val="00C05485"/>
    <w:rsid w:val="00C07E26"/>
    <w:rsid w:val="00C108F1"/>
    <w:rsid w:val="00C37A97"/>
    <w:rsid w:val="00C42E2D"/>
    <w:rsid w:val="00C454BB"/>
    <w:rsid w:val="00C51F32"/>
    <w:rsid w:val="00C53675"/>
    <w:rsid w:val="00C5701E"/>
    <w:rsid w:val="00C6146A"/>
    <w:rsid w:val="00C6259D"/>
    <w:rsid w:val="00C812B7"/>
    <w:rsid w:val="00C8399E"/>
    <w:rsid w:val="00C861ED"/>
    <w:rsid w:val="00CA0273"/>
    <w:rsid w:val="00CA50C4"/>
    <w:rsid w:val="00CB10D2"/>
    <w:rsid w:val="00CC4380"/>
    <w:rsid w:val="00CC4409"/>
    <w:rsid w:val="00CD1EA2"/>
    <w:rsid w:val="00CD3AC9"/>
    <w:rsid w:val="00CD523E"/>
    <w:rsid w:val="00CD5941"/>
    <w:rsid w:val="00CD71E4"/>
    <w:rsid w:val="00CE1030"/>
    <w:rsid w:val="00CE246D"/>
    <w:rsid w:val="00CE3F5A"/>
    <w:rsid w:val="00CE7515"/>
    <w:rsid w:val="00CE7761"/>
    <w:rsid w:val="00CE796F"/>
    <w:rsid w:val="00CF3132"/>
    <w:rsid w:val="00CF7317"/>
    <w:rsid w:val="00D21310"/>
    <w:rsid w:val="00D343AA"/>
    <w:rsid w:val="00D35F22"/>
    <w:rsid w:val="00D42B90"/>
    <w:rsid w:val="00D4456C"/>
    <w:rsid w:val="00D44B29"/>
    <w:rsid w:val="00D46D77"/>
    <w:rsid w:val="00D50013"/>
    <w:rsid w:val="00D51A75"/>
    <w:rsid w:val="00D5581C"/>
    <w:rsid w:val="00D609E3"/>
    <w:rsid w:val="00D731A2"/>
    <w:rsid w:val="00D86403"/>
    <w:rsid w:val="00D864EE"/>
    <w:rsid w:val="00D869FE"/>
    <w:rsid w:val="00D90F80"/>
    <w:rsid w:val="00D92067"/>
    <w:rsid w:val="00D92B77"/>
    <w:rsid w:val="00D9639B"/>
    <w:rsid w:val="00DA67BD"/>
    <w:rsid w:val="00DB2E20"/>
    <w:rsid w:val="00DC27CF"/>
    <w:rsid w:val="00DD2820"/>
    <w:rsid w:val="00DD3F13"/>
    <w:rsid w:val="00DD4B24"/>
    <w:rsid w:val="00DD4DE7"/>
    <w:rsid w:val="00DD6186"/>
    <w:rsid w:val="00DD72C4"/>
    <w:rsid w:val="00DE285F"/>
    <w:rsid w:val="00DE5785"/>
    <w:rsid w:val="00E018FF"/>
    <w:rsid w:val="00E0439C"/>
    <w:rsid w:val="00E046D8"/>
    <w:rsid w:val="00E062C8"/>
    <w:rsid w:val="00E112FC"/>
    <w:rsid w:val="00E14479"/>
    <w:rsid w:val="00E2491A"/>
    <w:rsid w:val="00E301F8"/>
    <w:rsid w:val="00E306A8"/>
    <w:rsid w:val="00E3236B"/>
    <w:rsid w:val="00E36A17"/>
    <w:rsid w:val="00E46A82"/>
    <w:rsid w:val="00E526B5"/>
    <w:rsid w:val="00E55E27"/>
    <w:rsid w:val="00E56866"/>
    <w:rsid w:val="00E56A89"/>
    <w:rsid w:val="00E56E0B"/>
    <w:rsid w:val="00E574F5"/>
    <w:rsid w:val="00E65B38"/>
    <w:rsid w:val="00E66F48"/>
    <w:rsid w:val="00E85AEE"/>
    <w:rsid w:val="00E935FC"/>
    <w:rsid w:val="00E94FD3"/>
    <w:rsid w:val="00EA35B7"/>
    <w:rsid w:val="00EA4EA3"/>
    <w:rsid w:val="00EB25DD"/>
    <w:rsid w:val="00EC4116"/>
    <w:rsid w:val="00ED6BD2"/>
    <w:rsid w:val="00EE4916"/>
    <w:rsid w:val="00EE4FFC"/>
    <w:rsid w:val="00EE527E"/>
    <w:rsid w:val="00EF2A19"/>
    <w:rsid w:val="00F13A4A"/>
    <w:rsid w:val="00F175EB"/>
    <w:rsid w:val="00F20C7A"/>
    <w:rsid w:val="00F25D35"/>
    <w:rsid w:val="00F373DE"/>
    <w:rsid w:val="00F43BA9"/>
    <w:rsid w:val="00F45FC7"/>
    <w:rsid w:val="00F50F15"/>
    <w:rsid w:val="00F54035"/>
    <w:rsid w:val="00F6372A"/>
    <w:rsid w:val="00F6687D"/>
    <w:rsid w:val="00F66A73"/>
    <w:rsid w:val="00F67074"/>
    <w:rsid w:val="00F7359D"/>
    <w:rsid w:val="00F74337"/>
    <w:rsid w:val="00F76B5E"/>
    <w:rsid w:val="00F76C22"/>
    <w:rsid w:val="00F77FD8"/>
    <w:rsid w:val="00F856D7"/>
    <w:rsid w:val="00F865F2"/>
    <w:rsid w:val="00FA002E"/>
    <w:rsid w:val="00FA0F4C"/>
    <w:rsid w:val="00FA380C"/>
    <w:rsid w:val="00FA4DEB"/>
    <w:rsid w:val="00FA605C"/>
    <w:rsid w:val="00FC01E1"/>
    <w:rsid w:val="00FC0946"/>
    <w:rsid w:val="00FC66BC"/>
    <w:rsid w:val="00FD3591"/>
    <w:rsid w:val="00FD6FFC"/>
    <w:rsid w:val="00FE0C51"/>
    <w:rsid w:val="00FE4327"/>
    <w:rsid w:val="00FE5A63"/>
    <w:rsid w:val="00FE63A9"/>
    <w:rsid w:val="00FE6CCC"/>
    <w:rsid w:val="00FF05B1"/>
    <w:rsid w:val="00FF48B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36F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pt-BR" w:eastAsia="en-US" w:bidi="ar-SA"/>
      </w:rPr>
    </w:rPrDefault>
    <w:pPrDefault>
      <w:pPr>
        <w:spacing w:after="8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538"/>
  </w:style>
  <w:style w:type="paragraph" w:styleId="Ttulo1">
    <w:name w:val="heading 1"/>
    <w:basedOn w:val="Normal"/>
    <w:next w:val="Corpodetexto"/>
    <w:link w:val="Ttulo1Char"/>
    <w:qFormat/>
    <w:rsid w:val="00F66A73"/>
    <w:pPr>
      <w:keepNext/>
      <w:tabs>
        <w:tab w:val="left" w:pos="567"/>
      </w:tabs>
      <w:spacing w:after="480"/>
      <w:contextualSpacing/>
      <w:outlineLvl w:val="0"/>
    </w:pPr>
    <w:rPr>
      <w:rFonts w:eastAsia="Times New Roman"/>
      <w:b/>
      <w:bCs/>
      <w:kern w:val="32"/>
      <w:szCs w:val="24"/>
    </w:rPr>
  </w:style>
  <w:style w:type="paragraph" w:styleId="Ttulo2">
    <w:name w:val="heading 2"/>
    <w:basedOn w:val="Normal"/>
    <w:next w:val="Corpodetexto"/>
    <w:link w:val="Ttulo2Char"/>
    <w:qFormat/>
    <w:rsid w:val="00F66A73"/>
    <w:pPr>
      <w:keepNext/>
      <w:spacing w:after="240"/>
      <w:jc w:val="both"/>
      <w:outlineLvl w:val="1"/>
    </w:pPr>
    <w:rPr>
      <w:rFonts w:eastAsia="Times New Roman"/>
      <w:b/>
      <w:sz w:val="24"/>
      <w:szCs w:val="24"/>
    </w:rPr>
  </w:style>
  <w:style w:type="paragraph" w:styleId="Ttulo3">
    <w:name w:val="heading 3"/>
    <w:basedOn w:val="Normal"/>
    <w:next w:val="Normal"/>
    <w:link w:val="Ttulo3Char"/>
    <w:uiPriority w:val="9"/>
    <w:qFormat/>
    <w:rsid w:val="00147538"/>
    <w:pPr>
      <w:keepNext/>
      <w:spacing w:after="240"/>
      <w:outlineLvl w:val="2"/>
    </w:pPr>
    <w:rPr>
      <w:rFonts w:eastAsia="Times New Roman"/>
      <w:bCs/>
      <w:sz w:val="24"/>
      <w:szCs w:val="26"/>
    </w:rPr>
  </w:style>
  <w:style w:type="paragraph" w:styleId="Ttulo4">
    <w:name w:val="heading 4"/>
    <w:basedOn w:val="Normal"/>
    <w:next w:val="Normal"/>
    <w:link w:val="Ttulo4Char"/>
    <w:uiPriority w:val="9"/>
    <w:semiHidden/>
    <w:unhideWhenUsed/>
    <w:qFormat/>
    <w:rsid w:val="003F24D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00A78"/>
    <w:pPr>
      <w:widowControl w:val="0"/>
      <w:suppressAutoHyphens/>
      <w:spacing w:after="0"/>
    </w:pPr>
    <w:rPr>
      <w:rFonts w:eastAsia="Times New Roman"/>
      <w:sz w:val="24"/>
      <w:szCs w:val="24"/>
      <w:lang w:val="en-US"/>
    </w:rPr>
  </w:style>
  <w:style w:type="character" w:customStyle="1" w:styleId="CorpodetextoChar">
    <w:name w:val="Corpo de texto Char"/>
    <w:link w:val="Corpodetexto"/>
    <w:rsid w:val="00200A78"/>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200A78"/>
    <w:pPr>
      <w:spacing w:after="0"/>
    </w:pPr>
    <w:rPr>
      <w:rFonts w:ascii="Tahoma" w:hAnsi="Tahoma"/>
      <w:sz w:val="16"/>
      <w:szCs w:val="16"/>
    </w:rPr>
  </w:style>
  <w:style w:type="character" w:customStyle="1" w:styleId="TextodebaloChar">
    <w:name w:val="Texto de balão Char"/>
    <w:link w:val="Textodebalo"/>
    <w:uiPriority w:val="99"/>
    <w:semiHidden/>
    <w:rsid w:val="00200A78"/>
    <w:rPr>
      <w:rFonts w:ascii="Tahoma" w:hAnsi="Tahoma" w:cs="Tahoma"/>
      <w:sz w:val="16"/>
      <w:szCs w:val="16"/>
    </w:rPr>
  </w:style>
  <w:style w:type="paragraph" w:styleId="Cabealho">
    <w:name w:val="header"/>
    <w:basedOn w:val="Normal"/>
    <w:link w:val="CabealhoChar"/>
    <w:uiPriority w:val="99"/>
    <w:unhideWhenUsed/>
    <w:rsid w:val="0081056D"/>
    <w:pPr>
      <w:tabs>
        <w:tab w:val="center" w:pos="4252"/>
        <w:tab w:val="right" w:pos="8504"/>
      </w:tabs>
    </w:pPr>
  </w:style>
  <w:style w:type="character" w:customStyle="1" w:styleId="CabealhoChar">
    <w:name w:val="Cabeçalho Char"/>
    <w:link w:val="Cabealho"/>
    <w:uiPriority w:val="99"/>
    <w:rsid w:val="0081056D"/>
    <w:rPr>
      <w:sz w:val="22"/>
      <w:szCs w:val="22"/>
      <w:lang w:eastAsia="en-US"/>
    </w:rPr>
  </w:style>
  <w:style w:type="paragraph" w:styleId="Rodap">
    <w:name w:val="footer"/>
    <w:basedOn w:val="Normal"/>
    <w:link w:val="RodapChar"/>
    <w:uiPriority w:val="99"/>
    <w:unhideWhenUsed/>
    <w:rsid w:val="0081056D"/>
    <w:pPr>
      <w:tabs>
        <w:tab w:val="center" w:pos="4252"/>
        <w:tab w:val="right" w:pos="8504"/>
      </w:tabs>
    </w:pPr>
  </w:style>
  <w:style w:type="character" w:customStyle="1" w:styleId="RodapChar">
    <w:name w:val="Rodapé Char"/>
    <w:link w:val="Rodap"/>
    <w:uiPriority w:val="99"/>
    <w:rsid w:val="0081056D"/>
    <w:rPr>
      <w:sz w:val="22"/>
      <w:szCs w:val="22"/>
      <w:lang w:eastAsia="en-US"/>
    </w:rPr>
  </w:style>
  <w:style w:type="table" w:styleId="Tabelacomgrade">
    <w:name w:val="Table Grid"/>
    <w:basedOn w:val="Tabelanormal"/>
    <w:uiPriority w:val="59"/>
    <w:rsid w:val="008105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F66A73"/>
    <w:rPr>
      <w:rFonts w:ascii="Times New Roman" w:eastAsia="Times New Roman" w:hAnsi="Times New Roman" w:cs="Arial"/>
      <w:b/>
      <w:bCs/>
      <w:kern w:val="32"/>
      <w:sz w:val="28"/>
      <w:szCs w:val="24"/>
    </w:rPr>
  </w:style>
  <w:style w:type="character" w:customStyle="1" w:styleId="Ttulo2Char">
    <w:name w:val="Título 2 Char"/>
    <w:link w:val="Ttulo2"/>
    <w:rsid w:val="00F66A73"/>
    <w:rPr>
      <w:rFonts w:ascii="Times New Roman" w:eastAsia="Times New Roman" w:hAnsi="Times New Roman" w:cs="Arial"/>
      <w:b/>
      <w:sz w:val="24"/>
      <w:szCs w:val="24"/>
    </w:rPr>
  </w:style>
  <w:style w:type="character" w:styleId="Refdecomentrio">
    <w:name w:val="annotation reference"/>
    <w:uiPriority w:val="99"/>
    <w:semiHidden/>
    <w:unhideWhenUsed/>
    <w:rsid w:val="00F66A73"/>
    <w:rPr>
      <w:sz w:val="16"/>
      <w:szCs w:val="16"/>
    </w:rPr>
  </w:style>
  <w:style w:type="paragraph" w:styleId="Textodecomentrio">
    <w:name w:val="annotation text"/>
    <w:basedOn w:val="Normal"/>
    <w:link w:val="TextodecomentrioChar"/>
    <w:uiPriority w:val="99"/>
    <w:semiHidden/>
    <w:unhideWhenUsed/>
    <w:rsid w:val="00F66A73"/>
    <w:pPr>
      <w:spacing w:after="0"/>
    </w:pPr>
    <w:rPr>
      <w:rFonts w:eastAsia="Times New Roman"/>
      <w:sz w:val="20"/>
      <w:szCs w:val="20"/>
    </w:rPr>
  </w:style>
  <w:style w:type="character" w:customStyle="1" w:styleId="TextodecomentrioChar">
    <w:name w:val="Texto de comentário Char"/>
    <w:link w:val="Textodecomentrio"/>
    <w:uiPriority w:val="99"/>
    <w:semiHidden/>
    <w:rsid w:val="00F66A73"/>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E0439C"/>
    <w:pPr>
      <w:spacing w:after="200" w:line="276" w:lineRule="auto"/>
    </w:pPr>
    <w:rPr>
      <w:b/>
      <w:bCs/>
    </w:rPr>
  </w:style>
  <w:style w:type="character" w:customStyle="1" w:styleId="AssuntodocomentrioChar">
    <w:name w:val="Assunto do comentário Char"/>
    <w:link w:val="Assuntodocomentrio"/>
    <w:uiPriority w:val="99"/>
    <w:semiHidden/>
    <w:rsid w:val="00E0439C"/>
    <w:rPr>
      <w:rFonts w:ascii="Times New Roman" w:eastAsia="Times New Roman" w:hAnsi="Times New Roman"/>
      <w:b/>
      <w:bCs/>
      <w:lang w:eastAsia="en-US"/>
    </w:rPr>
  </w:style>
  <w:style w:type="paragraph" w:customStyle="1" w:styleId="Citaes">
    <w:name w:val="Citações"/>
    <w:basedOn w:val="Normal"/>
    <w:rsid w:val="002A28D2"/>
    <w:pPr>
      <w:spacing w:before="240" w:after="240"/>
      <w:ind w:left="2268"/>
      <w:jc w:val="both"/>
    </w:pPr>
    <w:rPr>
      <w:rFonts w:eastAsia="Times New Roman"/>
      <w:kern w:val="32"/>
      <w:sz w:val="20"/>
      <w:szCs w:val="24"/>
      <w:lang w:eastAsia="pt-BR"/>
    </w:rPr>
  </w:style>
  <w:style w:type="paragraph" w:styleId="Lista2">
    <w:name w:val="List 2"/>
    <w:basedOn w:val="Normal"/>
    <w:unhideWhenUsed/>
    <w:rsid w:val="002A28D2"/>
    <w:pPr>
      <w:spacing w:after="0"/>
      <w:ind w:left="566" w:hanging="283"/>
      <w:contextualSpacing/>
    </w:pPr>
    <w:rPr>
      <w:rFonts w:eastAsia="Times New Roman"/>
      <w:sz w:val="24"/>
      <w:szCs w:val="24"/>
      <w:lang w:eastAsia="pt-BR"/>
    </w:rPr>
  </w:style>
  <w:style w:type="paragraph" w:customStyle="1" w:styleId="TextoFiguraeTabela">
    <w:name w:val="Texto Figura e Tabela"/>
    <w:basedOn w:val="Normal"/>
    <w:rsid w:val="00102821"/>
    <w:pPr>
      <w:spacing w:before="60" w:after="0"/>
    </w:pPr>
    <w:rPr>
      <w:rFonts w:ascii="Arial" w:eastAsia="Times New Roman" w:hAnsi="Arial" w:cs="Arial"/>
      <w:sz w:val="20"/>
      <w:szCs w:val="20"/>
      <w:lang w:eastAsia="pt-BR"/>
    </w:rPr>
  </w:style>
  <w:style w:type="paragraph" w:customStyle="1" w:styleId="TtuloFiguraetabela">
    <w:name w:val="Título Figura e tabela"/>
    <w:basedOn w:val="Normal"/>
    <w:rsid w:val="002E3E7D"/>
    <w:pPr>
      <w:keepNext/>
      <w:spacing w:before="240" w:after="240"/>
    </w:pPr>
    <w:rPr>
      <w:rFonts w:eastAsia="Times New Roman" w:cs="Arial"/>
      <w:sz w:val="24"/>
      <w:szCs w:val="24"/>
      <w:lang w:eastAsia="pt-BR"/>
    </w:rPr>
  </w:style>
  <w:style w:type="character" w:styleId="Hyperlink">
    <w:name w:val="Hyperlink"/>
    <w:rsid w:val="00102821"/>
    <w:rPr>
      <w:color w:val="0000FF"/>
      <w:u w:val="single"/>
    </w:rPr>
  </w:style>
  <w:style w:type="paragraph" w:styleId="MapadoDocumento">
    <w:name w:val="Document Map"/>
    <w:basedOn w:val="Normal"/>
    <w:link w:val="MapadoDocumentoChar"/>
    <w:uiPriority w:val="99"/>
    <w:semiHidden/>
    <w:unhideWhenUsed/>
    <w:rsid w:val="00147538"/>
    <w:rPr>
      <w:rFonts w:ascii="Tahoma" w:hAnsi="Tahoma"/>
      <w:sz w:val="16"/>
      <w:szCs w:val="16"/>
    </w:rPr>
  </w:style>
  <w:style w:type="character" w:customStyle="1" w:styleId="MapadoDocumentoChar">
    <w:name w:val="Mapa do Documento Char"/>
    <w:link w:val="MapadoDocumento"/>
    <w:uiPriority w:val="99"/>
    <w:semiHidden/>
    <w:rsid w:val="00147538"/>
    <w:rPr>
      <w:rFonts w:ascii="Tahoma" w:hAnsi="Tahoma" w:cs="Tahoma"/>
      <w:sz w:val="16"/>
      <w:szCs w:val="16"/>
      <w:lang w:eastAsia="en-US"/>
    </w:rPr>
  </w:style>
  <w:style w:type="character" w:customStyle="1" w:styleId="Ttulo3Char">
    <w:name w:val="Título 3 Char"/>
    <w:link w:val="Ttulo3"/>
    <w:uiPriority w:val="9"/>
    <w:rsid w:val="00147538"/>
    <w:rPr>
      <w:rFonts w:ascii="Times New Roman" w:eastAsia="Times New Roman" w:hAnsi="Times New Roman" w:cs="Times New Roman"/>
      <w:bCs/>
      <w:sz w:val="24"/>
      <w:szCs w:val="26"/>
      <w:lang w:eastAsia="en-US"/>
    </w:rPr>
  </w:style>
  <w:style w:type="paragraph" w:styleId="Textodenotaderodap">
    <w:name w:val="footnote text"/>
    <w:basedOn w:val="Normal"/>
    <w:link w:val="TextodenotaderodapChar"/>
    <w:uiPriority w:val="99"/>
    <w:unhideWhenUsed/>
    <w:rsid w:val="00006A47"/>
    <w:rPr>
      <w:sz w:val="20"/>
      <w:szCs w:val="20"/>
    </w:rPr>
  </w:style>
  <w:style w:type="paragraph" w:styleId="Legenda">
    <w:name w:val="caption"/>
    <w:basedOn w:val="Normal"/>
    <w:next w:val="Normal"/>
    <w:uiPriority w:val="35"/>
    <w:qFormat/>
    <w:rsid w:val="00147538"/>
    <w:pPr>
      <w:spacing w:after="240"/>
    </w:pPr>
    <w:rPr>
      <w:bCs/>
      <w:sz w:val="20"/>
      <w:szCs w:val="20"/>
    </w:rPr>
  </w:style>
  <w:style w:type="character" w:customStyle="1" w:styleId="TextodenotaderodapChar">
    <w:name w:val="Texto de nota de rodapé Char"/>
    <w:link w:val="Textodenotaderodap"/>
    <w:uiPriority w:val="99"/>
    <w:qFormat/>
    <w:rsid w:val="00006A47"/>
    <w:rPr>
      <w:lang w:eastAsia="en-US"/>
    </w:rPr>
  </w:style>
  <w:style w:type="character" w:styleId="Refdenotaderodap">
    <w:name w:val="footnote reference"/>
    <w:uiPriority w:val="99"/>
    <w:semiHidden/>
    <w:unhideWhenUsed/>
    <w:rsid w:val="00006A47"/>
    <w:rPr>
      <w:vertAlign w:val="superscript"/>
    </w:rPr>
  </w:style>
  <w:style w:type="character" w:styleId="HiperlinkVisitado">
    <w:name w:val="FollowedHyperlink"/>
    <w:uiPriority w:val="99"/>
    <w:semiHidden/>
    <w:unhideWhenUsed/>
    <w:rsid w:val="004F058B"/>
    <w:rPr>
      <w:color w:val="800080"/>
      <w:u w:val="single"/>
    </w:rPr>
  </w:style>
  <w:style w:type="character" w:customStyle="1" w:styleId="apple-converted-space">
    <w:name w:val="apple-converted-space"/>
    <w:basedOn w:val="Fontepargpadro"/>
    <w:rsid w:val="00A64870"/>
  </w:style>
  <w:style w:type="table" w:styleId="ListaClara-nfase2">
    <w:name w:val="Light List Accent 2"/>
    <w:basedOn w:val="Tabelanormal"/>
    <w:uiPriority w:val="61"/>
    <w:rsid w:val="00851B6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olorida-nfase2">
    <w:name w:val="Colorful List Accent 2"/>
    <w:basedOn w:val="Tabelanormal"/>
    <w:uiPriority w:val="68"/>
    <w:rsid w:val="00851B69"/>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adeColorida-nfase5">
    <w:name w:val="Colorful Grid Accent 5"/>
    <w:basedOn w:val="Tabelanormal"/>
    <w:uiPriority w:val="69"/>
    <w:rsid w:val="00851B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ListaColorida-nfase11">
    <w:name w:val="Lista Colorida - Ênfase 11"/>
    <w:basedOn w:val="Normal"/>
    <w:uiPriority w:val="34"/>
    <w:qFormat/>
    <w:rsid w:val="00CB10D2"/>
    <w:pPr>
      <w:spacing w:after="100"/>
      <w:ind w:left="720"/>
      <w:contextualSpacing/>
    </w:pPr>
    <w:rPr>
      <w:rFonts w:eastAsia="MS Mincho"/>
      <w:lang w:eastAsia="pt-BR"/>
    </w:rPr>
  </w:style>
  <w:style w:type="paragraph" w:customStyle="1" w:styleId="ListaColorida-nfase12">
    <w:name w:val="Lista Colorida - Ênfase 12"/>
    <w:basedOn w:val="Normal"/>
    <w:uiPriority w:val="34"/>
    <w:qFormat/>
    <w:rsid w:val="008F0781"/>
    <w:pPr>
      <w:spacing w:after="100"/>
      <w:ind w:left="720"/>
      <w:contextualSpacing/>
    </w:pPr>
    <w:rPr>
      <w:rFonts w:eastAsia="MS Mincho"/>
      <w:lang w:eastAsia="pt-BR"/>
    </w:rPr>
  </w:style>
  <w:style w:type="paragraph" w:styleId="NormalWeb">
    <w:name w:val="Normal (Web)"/>
    <w:basedOn w:val="Normal"/>
    <w:uiPriority w:val="99"/>
    <w:unhideWhenUsed/>
    <w:rsid w:val="008F0781"/>
    <w:pPr>
      <w:spacing w:before="100" w:beforeAutospacing="1" w:after="100" w:afterAutospacing="1"/>
    </w:pPr>
    <w:rPr>
      <w:rFonts w:eastAsia="Times New Roman"/>
      <w:sz w:val="24"/>
      <w:szCs w:val="24"/>
      <w:lang w:eastAsia="pt-BR"/>
    </w:rPr>
  </w:style>
  <w:style w:type="paragraph" w:styleId="SemEspaamento">
    <w:name w:val="No Spacing"/>
    <w:uiPriority w:val="1"/>
    <w:qFormat/>
    <w:rsid w:val="00A77E88"/>
    <w:rPr>
      <w:sz w:val="22"/>
      <w:szCs w:val="22"/>
    </w:rPr>
  </w:style>
  <w:style w:type="character" w:customStyle="1" w:styleId="CabealhoChar1">
    <w:name w:val="Cabeçalho Char1"/>
    <w:uiPriority w:val="99"/>
    <w:rsid w:val="00B32E26"/>
    <w:rPr>
      <w:sz w:val="22"/>
      <w:szCs w:val="22"/>
      <w:lang w:eastAsia="en-US"/>
    </w:rPr>
  </w:style>
  <w:style w:type="paragraph" w:styleId="CabealhodoSumrio">
    <w:name w:val="TOC Heading"/>
    <w:basedOn w:val="Ttulo1"/>
    <w:next w:val="Normal"/>
    <w:uiPriority w:val="39"/>
    <w:unhideWhenUsed/>
    <w:qFormat/>
    <w:rsid w:val="009E20F2"/>
    <w:pPr>
      <w:keepLines/>
      <w:tabs>
        <w:tab w:val="clear" w:pos="567"/>
      </w:tabs>
      <w:spacing w:before="240" w:after="0" w:line="259" w:lineRule="auto"/>
      <w:contextualSpacing w:val="0"/>
      <w:outlineLvl w:val="9"/>
    </w:pPr>
    <w:rPr>
      <w:rFonts w:asciiTheme="majorHAnsi" w:eastAsiaTheme="majorEastAsia" w:hAnsiTheme="majorHAnsi" w:cstheme="majorBidi"/>
      <w:b w:val="0"/>
      <w:bCs w:val="0"/>
      <w:color w:val="365F91" w:themeColor="accent1" w:themeShade="BF"/>
      <w:kern w:val="0"/>
      <w:sz w:val="32"/>
      <w:szCs w:val="32"/>
      <w:lang w:eastAsia="pt-BR"/>
    </w:rPr>
  </w:style>
  <w:style w:type="paragraph" w:customStyle="1" w:styleId="Referncias">
    <w:name w:val="Referências"/>
    <w:basedOn w:val="Normal"/>
    <w:qFormat/>
    <w:rsid w:val="00247558"/>
    <w:pPr>
      <w:widowControl w:val="0"/>
      <w:spacing w:after="120"/>
      <w:jc w:val="both"/>
    </w:pPr>
    <w:rPr>
      <w:sz w:val="24"/>
      <w:szCs w:val="22"/>
    </w:rPr>
  </w:style>
  <w:style w:type="character" w:customStyle="1" w:styleId="LinkdaInternet">
    <w:name w:val="Link da Internet"/>
    <w:basedOn w:val="Fontepargpadro"/>
    <w:uiPriority w:val="99"/>
    <w:unhideWhenUsed/>
    <w:rsid w:val="002C12C0"/>
    <w:rPr>
      <w:color w:val="0000FF"/>
      <w:u w:val="single"/>
    </w:rPr>
  </w:style>
  <w:style w:type="character" w:customStyle="1" w:styleId="ncoradanotadefim">
    <w:name w:val="Âncora da nota de fim"/>
    <w:rsid w:val="002C12C0"/>
    <w:rPr>
      <w:vertAlign w:val="superscript"/>
    </w:rPr>
  </w:style>
  <w:style w:type="character" w:customStyle="1" w:styleId="Caracteresdenotadefim">
    <w:name w:val="Caracteres de nota de fim"/>
    <w:qFormat/>
    <w:rsid w:val="002C12C0"/>
  </w:style>
  <w:style w:type="paragraph" w:styleId="PargrafodaLista">
    <w:name w:val="List Paragraph"/>
    <w:basedOn w:val="Normal"/>
    <w:uiPriority w:val="34"/>
    <w:qFormat/>
    <w:rsid w:val="002C12C0"/>
    <w:pPr>
      <w:spacing w:after="160" w:line="259" w:lineRule="auto"/>
      <w:ind w:left="720"/>
      <w:contextualSpacing/>
      <w:jc w:val="left"/>
    </w:pPr>
    <w:rPr>
      <w:rFonts w:asciiTheme="minorHAnsi" w:eastAsiaTheme="minorHAnsi" w:hAnsiTheme="minorHAnsi" w:cstheme="minorBidi"/>
      <w:sz w:val="22"/>
      <w:szCs w:val="22"/>
    </w:rPr>
  </w:style>
  <w:style w:type="paragraph" w:customStyle="1" w:styleId="Default">
    <w:name w:val="Default"/>
    <w:qFormat/>
    <w:rsid w:val="002C12C0"/>
    <w:pPr>
      <w:spacing w:after="0"/>
      <w:jc w:val="left"/>
    </w:pPr>
    <w:rPr>
      <w:rFonts w:ascii="Chaparral Pro" w:hAnsi="Chaparral Pro" w:cs="Chaparral Pro"/>
      <w:color w:val="000000"/>
      <w:sz w:val="24"/>
      <w:szCs w:val="24"/>
    </w:rPr>
  </w:style>
  <w:style w:type="paragraph" w:customStyle="1" w:styleId="Recuodecorpodetexto31">
    <w:name w:val="Recuo de corpo de texto 31"/>
    <w:basedOn w:val="Normal"/>
    <w:qFormat/>
    <w:rsid w:val="002C12C0"/>
    <w:pPr>
      <w:suppressAutoHyphens/>
      <w:spacing w:after="0" w:line="480" w:lineRule="auto"/>
      <w:ind w:firstLine="709"/>
      <w:jc w:val="both"/>
    </w:pPr>
    <w:rPr>
      <w:rFonts w:eastAsia="Times New Roman"/>
      <w:color w:val="000000"/>
      <w:sz w:val="24"/>
      <w:szCs w:val="20"/>
      <w:lang w:eastAsia="ar-SA"/>
    </w:rPr>
  </w:style>
  <w:style w:type="character" w:styleId="nfase">
    <w:name w:val="Emphasis"/>
    <w:basedOn w:val="Fontepargpadro"/>
    <w:uiPriority w:val="20"/>
    <w:qFormat/>
    <w:rsid w:val="001E1F40"/>
    <w:rPr>
      <w:i/>
      <w:iCs/>
    </w:rPr>
  </w:style>
  <w:style w:type="character" w:customStyle="1" w:styleId="UnresolvedMention">
    <w:name w:val="Unresolved Mention"/>
    <w:basedOn w:val="Fontepargpadro"/>
    <w:uiPriority w:val="99"/>
    <w:semiHidden/>
    <w:unhideWhenUsed/>
    <w:rsid w:val="00017F6A"/>
    <w:rPr>
      <w:color w:val="605E5C"/>
      <w:shd w:val="clear" w:color="auto" w:fill="E1DFDD"/>
    </w:rPr>
  </w:style>
  <w:style w:type="character" w:customStyle="1" w:styleId="st">
    <w:name w:val="st"/>
    <w:basedOn w:val="Fontepargpadro"/>
    <w:rsid w:val="004928EF"/>
  </w:style>
  <w:style w:type="character" w:customStyle="1" w:styleId="Ttulo4Char">
    <w:name w:val="Título 4 Char"/>
    <w:basedOn w:val="Fontepargpadro"/>
    <w:link w:val="Ttulo4"/>
    <w:uiPriority w:val="9"/>
    <w:semiHidden/>
    <w:rsid w:val="003F24D7"/>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pt-BR" w:eastAsia="en-US" w:bidi="ar-SA"/>
      </w:rPr>
    </w:rPrDefault>
    <w:pPrDefault>
      <w:pPr>
        <w:spacing w:after="8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538"/>
  </w:style>
  <w:style w:type="paragraph" w:styleId="Ttulo1">
    <w:name w:val="heading 1"/>
    <w:basedOn w:val="Normal"/>
    <w:next w:val="Corpodetexto"/>
    <w:link w:val="Ttulo1Char"/>
    <w:qFormat/>
    <w:rsid w:val="00F66A73"/>
    <w:pPr>
      <w:keepNext/>
      <w:tabs>
        <w:tab w:val="left" w:pos="567"/>
      </w:tabs>
      <w:spacing w:after="480"/>
      <w:contextualSpacing/>
      <w:outlineLvl w:val="0"/>
    </w:pPr>
    <w:rPr>
      <w:rFonts w:eastAsia="Times New Roman"/>
      <w:b/>
      <w:bCs/>
      <w:kern w:val="32"/>
      <w:szCs w:val="24"/>
    </w:rPr>
  </w:style>
  <w:style w:type="paragraph" w:styleId="Ttulo2">
    <w:name w:val="heading 2"/>
    <w:basedOn w:val="Normal"/>
    <w:next w:val="Corpodetexto"/>
    <w:link w:val="Ttulo2Char"/>
    <w:qFormat/>
    <w:rsid w:val="00F66A73"/>
    <w:pPr>
      <w:keepNext/>
      <w:spacing w:after="240"/>
      <w:jc w:val="both"/>
      <w:outlineLvl w:val="1"/>
    </w:pPr>
    <w:rPr>
      <w:rFonts w:eastAsia="Times New Roman"/>
      <w:b/>
      <w:sz w:val="24"/>
      <w:szCs w:val="24"/>
    </w:rPr>
  </w:style>
  <w:style w:type="paragraph" w:styleId="Ttulo3">
    <w:name w:val="heading 3"/>
    <w:basedOn w:val="Normal"/>
    <w:next w:val="Normal"/>
    <w:link w:val="Ttulo3Char"/>
    <w:uiPriority w:val="9"/>
    <w:qFormat/>
    <w:rsid w:val="00147538"/>
    <w:pPr>
      <w:keepNext/>
      <w:spacing w:after="240"/>
      <w:outlineLvl w:val="2"/>
    </w:pPr>
    <w:rPr>
      <w:rFonts w:eastAsia="Times New Roman"/>
      <w:bCs/>
      <w:sz w:val="24"/>
      <w:szCs w:val="26"/>
    </w:rPr>
  </w:style>
  <w:style w:type="paragraph" w:styleId="Ttulo4">
    <w:name w:val="heading 4"/>
    <w:basedOn w:val="Normal"/>
    <w:next w:val="Normal"/>
    <w:link w:val="Ttulo4Char"/>
    <w:uiPriority w:val="9"/>
    <w:semiHidden/>
    <w:unhideWhenUsed/>
    <w:qFormat/>
    <w:rsid w:val="003F24D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00A78"/>
    <w:pPr>
      <w:widowControl w:val="0"/>
      <w:suppressAutoHyphens/>
      <w:spacing w:after="0"/>
    </w:pPr>
    <w:rPr>
      <w:rFonts w:eastAsia="Times New Roman"/>
      <w:sz w:val="24"/>
      <w:szCs w:val="24"/>
      <w:lang w:val="en-US"/>
    </w:rPr>
  </w:style>
  <w:style w:type="character" w:customStyle="1" w:styleId="CorpodetextoChar">
    <w:name w:val="Corpo de texto Char"/>
    <w:link w:val="Corpodetexto"/>
    <w:rsid w:val="00200A78"/>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200A78"/>
    <w:pPr>
      <w:spacing w:after="0"/>
    </w:pPr>
    <w:rPr>
      <w:rFonts w:ascii="Tahoma" w:hAnsi="Tahoma"/>
      <w:sz w:val="16"/>
      <w:szCs w:val="16"/>
    </w:rPr>
  </w:style>
  <w:style w:type="character" w:customStyle="1" w:styleId="TextodebaloChar">
    <w:name w:val="Texto de balão Char"/>
    <w:link w:val="Textodebalo"/>
    <w:uiPriority w:val="99"/>
    <w:semiHidden/>
    <w:rsid w:val="00200A78"/>
    <w:rPr>
      <w:rFonts w:ascii="Tahoma" w:hAnsi="Tahoma" w:cs="Tahoma"/>
      <w:sz w:val="16"/>
      <w:szCs w:val="16"/>
    </w:rPr>
  </w:style>
  <w:style w:type="paragraph" w:styleId="Cabealho">
    <w:name w:val="header"/>
    <w:basedOn w:val="Normal"/>
    <w:link w:val="CabealhoChar"/>
    <w:uiPriority w:val="99"/>
    <w:unhideWhenUsed/>
    <w:rsid w:val="0081056D"/>
    <w:pPr>
      <w:tabs>
        <w:tab w:val="center" w:pos="4252"/>
        <w:tab w:val="right" w:pos="8504"/>
      </w:tabs>
    </w:pPr>
  </w:style>
  <w:style w:type="character" w:customStyle="1" w:styleId="CabealhoChar">
    <w:name w:val="Cabeçalho Char"/>
    <w:link w:val="Cabealho"/>
    <w:uiPriority w:val="99"/>
    <w:rsid w:val="0081056D"/>
    <w:rPr>
      <w:sz w:val="22"/>
      <w:szCs w:val="22"/>
      <w:lang w:eastAsia="en-US"/>
    </w:rPr>
  </w:style>
  <w:style w:type="paragraph" w:styleId="Rodap">
    <w:name w:val="footer"/>
    <w:basedOn w:val="Normal"/>
    <w:link w:val="RodapChar"/>
    <w:uiPriority w:val="99"/>
    <w:unhideWhenUsed/>
    <w:rsid w:val="0081056D"/>
    <w:pPr>
      <w:tabs>
        <w:tab w:val="center" w:pos="4252"/>
        <w:tab w:val="right" w:pos="8504"/>
      </w:tabs>
    </w:pPr>
  </w:style>
  <w:style w:type="character" w:customStyle="1" w:styleId="RodapChar">
    <w:name w:val="Rodapé Char"/>
    <w:link w:val="Rodap"/>
    <w:uiPriority w:val="99"/>
    <w:rsid w:val="0081056D"/>
    <w:rPr>
      <w:sz w:val="22"/>
      <w:szCs w:val="22"/>
      <w:lang w:eastAsia="en-US"/>
    </w:rPr>
  </w:style>
  <w:style w:type="table" w:styleId="Tabelacomgrade">
    <w:name w:val="Table Grid"/>
    <w:basedOn w:val="Tabelanormal"/>
    <w:uiPriority w:val="59"/>
    <w:rsid w:val="008105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F66A73"/>
    <w:rPr>
      <w:rFonts w:ascii="Times New Roman" w:eastAsia="Times New Roman" w:hAnsi="Times New Roman" w:cs="Arial"/>
      <w:b/>
      <w:bCs/>
      <w:kern w:val="32"/>
      <w:sz w:val="28"/>
      <w:szCs w:val="24"/>
    </w:rPr>
  </w:style>
  <w:style w:type="character" w:customStyle="1" w:styleId="Ttulo2Char">
    <w:name w:val="Título 2 Char"/>
    <w:link w:val="Ttulo2"/>
    <w:rsid w:val="00F66A73"/>
    <w:rPr>
      <w:rFonts w:ascii="Times New Roman" w:eastAsia="Times New Roman" w:hAnsi="Times New Roman" w:cs="Arial"/>
      <w:b/>
      <w:sz w:val="24"/>
      <w:szCs w:val="24"/>
    </w:rPr>
  </w:style>
  <w:style w:type="character" w:styleId="Refdecomentrio">
    <w:name w:val="annotation reference"/>
    <w:uiPriority w:val="99"/>
    <w:semiHidden/>
    <w:unhideWhenUsed/>
    <w:rsid w:val="00F66A73"/>
    <w:rPr>
      <w:sz w:val="16"/>
      <w:szCs w:val="16"/>
    </w:rPr>
  </w:style>
  <w:style w:type="paragraph" w:styleId="Textodecomentrio">
    <w:name w:val="annotation text"/>
    <w:basedOn w:val="Normal"/>
    <w:link w:val="TextodecomentrioChar"/>
    <w:uiPriority w:val="99"/>
    <w:semiHidden/>
    <w:unhideWhenUsed/>
    <w:rsid w:val="00F66A73"/>
    <w:pPr>
      <w:spacing w:after="0"/>
    </w:pPr>
    <w:rPr>
      <w:rFonts w:eastAsia="Times New Roman"/>
      <w:sz w:val="20"/>
      <w:szCs w:val="20"/>
    </w:rPr>
  </w:style>
  <w:style w:type="character" w:customStyle="1" w:styleId="TextodecomentrioChar">
    <w:name w:val="Texto de comentário Char"/>
    <w:link w:val="Textodecomentrio"/>
    <w:uiPriority w:val="99"/>
    <w:semiHidden/>
    <w:rsid w:val="00F66A73"/>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E0439C"/>
    <w:pPr>
      <w:spacing w:after="200" w:line="276" w:lineRule="auto"/>
    </w:pPr>
    <w:rPr>
      <w:b/>
      <w:bCs/>
    </w:rPr>
  </w:style>
  <w:style w:type="character" w:customStyle="1" w:styleId="AssuntodocomentrioChar">
    <w:name w:val="Assunto do comentário Char"/>
    <w:link w:val="Assuntodocomentrio"/>
    <w:uiPriority w:val="99"/>
    <w:semiHidden/>
    <w:rsid w:val="00E0439C"/>
    <w:rPr>
      <w:rFonts w:ascii="Times New Roman" w:eastAsia="Times New Roman" w:hAnsi="Times New Roman"/>
      <w:b/>
      <w:bCs/>
      <w:lang w:eastAsia="en-US"/>
    </w:rPr>
  </w:style>
  <w:style w:type="paragraph" w:customStyle="1" w:styleId="Citaes">
    <w:name w:val="Citações"/>
    <w:basedOn w:val="Normal"/>
    <w:rsid w:val="002A28D2"/>
    <w:pPr>
      <w:spacing w:before="240" w:after="240"/>
      <w:ind w:left="2268"/>
      <w:jc w:val="both"/>
    </w:pPr>
    <w:rPr>
      <w:rFonts w:eastAsia="Times New Roman"/>
      <w:kern w:val="32"/>
      <w:sz w:val="20"/>
      <w:szCs w:val="24"/>
      <w:lang w:eastAsia="pt-BR"/>
    </w:rPr>
  </w:style>
  <w:style w:type="paragraph" w:styleId="Lista2">
    <w:name w:val="List 2"/>
    <w:basedOn w:val="Normal"/>
    <w:unhideWhenUsed/>
    <w:rsid w:val="002A28D2"/>
    <w:pPr>
      <w:spacing w:after="0"/>
      <w:ind w:left="566" w:hanging="283"/>
      <w:contextualSpacing/>
    </w:pPr>
    <w:rPr>
      <w:rFonts w:eastAsia="Times New Roman"/>
      <w:sz w:val="24"/>
      <w:szCs w:val="24"/>
      <w:lang w:eastAsia="pt-BR"/>
    </w:rPr>
  </w:style>
  <w:style w:type="paragraph" w:customStyle="1" w:styleId="TextoFiguraeTabela">
    <w:name w:val="Texto Figura e Tabela"/>
    <w:basedOn w:val="Normal"/>
    <w:rsid w:val="00102821"/>
    <w:pPr>
      <w:spacing w:before="60" w:after="0"/>
    </w:pPr>
    <w:rPr>
      <w:rFonts w:ascii="Arial" w:eastAsia="Times New Roman" w:hAnsi="Arial" w:cs="Arial"/>
      <w:sz w:val="20"/>
      <w:szCs w:val="20"/>
      <w:lang w:eastAsia="pt-BR"/>
    </w:rPr>
  </w:style>
  <w:style w:type="paragraph" w:customStyle="1" w:styleId="TtuloFiguraetabela">
    <w:name w:val="Título Figura e tabela"/>
    <w:basedOn w:val="Normal"/>
    <w:rsid w:val="002E3E7D"/>
    <w:pPr>
      <w:keepNext/>
      <w:spacing w:before="240" w:after="240"/>
    </w:pPr>
    <w:rPr>
      <w:rFonts w:eastAsia="Times New Roman" w:cs="Arial"/>
      <w:sz w:val="24"/>
      <w:szCs w:val="24"/>
      <w:lang w:eastAsia="pt-BR"/>
    </w:rPr>
  </w:style>
  <w:style w:type="character" w:styleId="Hyperlink">
    <w:name w:val="Hyperlink"/>
    <w:rsid w:val="00102821"/>
    <w:rPr>
      <w:color w:val="0000FF"/>
      <w:u w:val="single"/>
    </w:rPr>
  </w:style>
  <w:style w:type="paragraph" w:styleId="MapadoDocumento">
    <w:name w:val="Document Map"/>
    <w:basedOn w:val="Normal"/>
    <w:link w:val="MapadoDocumentoChar"/>
    <w:uiPriority w:val="99"/>
    <w:semiHidden/>
    <w:unhideWhenUsed/>
    <w:rsid w:val="00147538"/>
    <w:rPr>
      <w:rFonts w:ascii="Tahoma" w:hAnsi="Tahoma"/>
      <w:sz w:val="16"/>
      <w:szCs w:val="16"/>
    </w:rPr>
  </w:style>
  <w:style w:type="character" w:customStyle="1" w:styleId="MapadoDocumentoChar">
    <w:name w:val="Mapa do Documento Char"/>
    <w:link w:val="MapadoDocumento"/>
    <w:uiPriority w:val="99"/>
    <w:semiHidden/>
    <w:rsid w:val="00147538"/>
    <w:rPr>
      <w:rFonts w:ascii="Tahoma" w:hAnsi="Tahoma" w:cs="Tahoma"/>
      <w:sz w:val="16"/>
      <w:szCs w:val="16"/>
      <w:lang w:eastAsia="en-US"/>
    </w:rPr>
  </w:style>
  <w:style w:type="character" w:customStyle="1" w:styleId="Ttulo3Char">
    <w:name w:val="Título 3 Char"/>
    <w:link w:val="Ttulo3"/>
    <w:uiPriority w:val="9"/>
    <w:rsid w:val="00147538"/>
    <w:rPr>
      <w:rFonts w:ascii="Times New Roman" w:eastAsia="Times New Roman" w:hAnsi="Times New Roman" w:cs="Times New Roman"/>
      <w:bCs/>
      <w:sz w:val="24"/>
      <w:szCs w:val="26"/>
      <w:lang w:eastAsia="en-US"/>
    </w:rPr>
  </w:style>
  <w:style w:type="paragraph" w:styleId="Textodenotaderodap">
    <w:name w:val="footnote text"/>
    <w:basedOn w:val="Normal"/>
    <w:link w:val="TextodenotaderodapChar"/>
    <w:uiPriority w:val="99"/>
    <w:unhideWhenUsed/>
    <w:rsid w:val="00006A47"/>
    <w:rPr>
      <w:sz w:val="20"/>
      <w:szCs w:val="20"/>
    </w:rPr>
  </w:style>
  <w:style w:type="paragraph" w:styleId="Legenda">
    <w:name w:val="caption"/>
    <w:basedOn w:val="Normal"/>
    <w:next w:val="Normal"/>
    <w:uiPriority w:val="35"/>
    <w:qFormat/>
    <w:rsid w:val="00147538"/>
    <w:pPr>
      <w:spacing w:after="240"/>
    </w:pPr>
    <w:rPr>
      <w:bCs/>
      <w:sz w:val="20"/>
      <w:szCs w:val="20"/>
    </w:rPr>
  </w:style>
  <w:style w:type="character" w:customStyle="1" w:styleId="TextodenotaderodapChar">
    <w:name w:val="Texto de nota de rodapé Char"/>
    <w:link w:val="Textodenotaderodap"/>
    <w:uiPriority w:val="99"/>
    <w:qFormat/>
    <w:rsid w:val="00006A47"/>
    <w:rPr>
      <w:lang w:eastAsia="en-US"/>
    </w:rPr>
  </w:style>
  <w:style w:type="character" w:styleId="Refdenotaderodap">
    <w:name w:val="footnote reference"/>
    <w:uiPriority w:val="99"/>
    <w:semiHidden/>
    <w:unhideWhenUsed/>
    <w:rsid w:val="00006A47"/>
    <w:rPr>
      <w:vertAlign w:val="superscript"/>
    </w:rPr>
  </w:style>
  <w:style w:type="character" w:styleId="HiperlinkVisitado">
    <w:name w:val="FollowedHyperlink"/>
    <w:uiPriority w:val="99"/>
    <w:semiHidden/>
    <w:unhideWhenUsed/>
    <w:rsid w:val="004F058B"/>
    <w:rPr>
      <w:color w:val="800080"/>
      <w:u w:val="single"/>
    </w:rPr>
  </w:style>
  <w:style w:type="character" w:customStyle="1" w:styleId="apple-converted-space">
    <w:name w:val="apple-converted-space"/>
    <w:basedOn w:val="Fontepargpadro"/>
    <w:rsid w:val="00A64870"/>
  </w:style>
  <w:style w:type="table" w:styleId="ListaClara-nfase2">
    <w:name w:val="Light List Accent 2"/>
    <w:basedOn w:val="Tabelanormal"/>
    <w:uiPriority w:val="61"/>
    <w:rsid w:val="00851B69"/>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olorida-nfase2">
    <w:name w:val="Colorful List Accent 2"/>
    <w:basedOn w:val="Tabelanormal"/>
    <w:uiPriority w:val="68"/>
    <w:rsid w:val="00851B69"/>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adeColorida-nfase5">
    <w:name w:val="Colorful Grid Accent 5"/>
    <w:basedOn w:val="Tabelanormal"/>
    <w:uiPriority w:val="69"/>
    <w:rsid w:val="00851B69"/>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ListaColorida-nfase11">
    <w:name w:val="Lista Colorida - Ênfase 11"/>
    <w:basedOn w:val="Normal"/>
    <w:uiPriority w:val="34"/>
    <w:qFormat/>
    <w:rsid w:val="00CB10D2"/>
    <w:pPr>
      <w:spacing w:after="100"/>
      <w:ind w:left="720"/>
      <w:contextualSpacing/>
    </w:pPr>
    <w:rPr>
      <w:rFonts w:eastAsia="MS Mincho"/>
      <w:lang w:eastAsia="pt-BR"/>
    </w:rPr>
  </w:style>
  <w:style w:type="paragraph" w:customStyle="1" w:styleId="ListaColorida-nfase12">
    <w:name w:val="Lista Colorida - Ênfase 12"/>
    <w:basedOn w:val="Normal"/>
    <w:uiPriority w:val="34"/>
    <w:qFormat/>
    <w:rsid w:val="008F0781"/>
    <w:pPr>
      <w:spacing w:after="100"/>
      <w:ind w:left="720"/>
      <w:contextualSpacing/>
    </w:pPr>
    <w:rPr>
      <w:rFonts w:eastAsia="MS Mincho"/>
      <w:lang w:eastAsia="pt-BR"/>
    </w:rPr>
  </w:style>
  <w:style w:type="paragraph" w:styleId="NormalWeb">
    <w:name w:val="Normal (Web)"/>
    <w:basedOn w:val="Normal"/>
    <w:uiPriority w:val="99"/>
    <w:unhideWhenUsed/>
    <w:rsid w:val="008F0781"/>
    <w:pPr>
      <w:spacing w:before="100" w:beforeAutospacing="1" w:after="100" w:afterAutospacing="1"/>
    </w:pPr>
    <w:rPr>
      <w:rFonts w:eastAsia="Times New Roman"/>
      <w:sz w:val="24"/>
      <w:szCs w:val="24"/>
      <w:lang w:eastAsia="pt-BR"/>
    </w:rPr>
  </w:style>
  <w:style w:type="paragraph" w:styleId="SemEspaamento">
    <w:name w:val="No Spacing"/>
    <w:uiPriority w:val="1"/>
    <w:qFormat/>
    <w:rsid w:val="00A77E88"/>
    <w:rPr>
      <w:sz w:val="22"/>
      <w:szCs w:val="22"/>
    </w:rPr>
  </w:style>
  <w:style w:type="character" w:customStyle="1" w:styleId="CabealhoChar1">
    <w:name w:val="Cabeçalho Char1"/>
    <w:uiPriority w:val="99"/>
    <w:rsid w:val="00B32E26"/>
    <w:rPr>
      <w:sz w:val="22"/>
      <w:szCs w:val="22"/>
      <w:lang w:eastAsia="en-US"/>
    </w:rPr>
  </w:style>
  <w:style w:type="paragraph" w:styleId="CabealhodoSumrio">
    <w:name w:val="TOC Heading"/>
    <w:basedOn w:val="Ttulo1"/>
    <w:next w:val="Normal"/>
    <w:uiPriority w:val="39"/>
    <w:unhideWhenUsed/>
    <w:qFormat/>
    <w:rsid w:val="009E20F2"/>
    <w:pPr>
      <w:keepLines/>
      <w:tabs>
        <w:tab w:val="clear" w:pos="567"/>
      </w:tabs>
      <w:spacing w:before="240" w:after="0" w:line="259" w:lineRule="auto"/>
      <w:contextualSpacing w:val="0"/>
      <w:outlineLvl w:val="9"/>
    </w:pPr>
    <w:rPr>
      <w:rFonts w:asciiTheme="majorHAnsi" w:eastAsiaTheme="majorEastAsia" w:hAnsiTheme="majorHAnsi" w:cstheme="majorBidi"/>
      <w:b w:val="0"/>
      <w:bCs w:val="0"/>
      <w:color w:val="365F91" w:themeColor="accent1" w:themeShade="BF"/>
      <w:kern w:val="0"/>
      <w:sz w:val="32"/>
      <w:szCs w:val="32"/>
      <w:lang w:eastAsia="pt-BR"/>
    </w:rPr>
  </w:style>
  <w:style w:type="paragraph" w:customStyle="1" w:styleId="Referncias">
    <w:name w:val="Referências"/>
    <w:basedOn w:val="Normal"/>
    <w:qFormat/>
    <w:rsid w:val="00247558"/>
    <w:pPr>
      <w:widowControl w:val="0"/>
      <w:spacing w:after="120"/>
      <w:jc w:val="both"/>
    </w:pPr>
    <w:rPr>
      <w:sz w:val="24"/>
      <w:szCs w:val="22"/>
    </w:rPr>
  </w:style>
  <w:style w:type="character" w:customStyle="1" w:styleId="LinkdaInternet">
    <w:name w:val="Link da Internet"/>
    <w:basedOn w:val="Fontepargpadro"/>
    <w:uiPriority w:val="99"/>
    <w:unhideWhenUsed/>
    <w:rsid w:val="002C12C0"/>
    <w:rPr>
      <w:color w:val="0000FF"/>
      <w:u w:val="single"/>
    </w:rPr>
  </w:style>
  <w:style w:type="character" w:customStyle="1" w:styleId="ncoradanotadefim">
    <w:name w:val="Âncora da nota de fim"/>
    <w:rsid w:val="002C12C0"/>
    <w:rPr>
      <w:vertAlign w:val="superscript"/>
    </w:rPr>
  </w:style>
  <w:style w:type="character" w:customStyle="1" w:styleId="Caracteresdenotadefim">
    <w:name w:val="Caracteres de nota de fim"/>
    <w:qFormat/>
    <w:rsid w:val="002C12C0"/>
  </w:style>
  <w:style w:type="paragraph" w:styleId="PargrafodaLista">
    <w:name w:val="List Paragraph"/>
    <w:basedOn w:val="Normal"/>
    <w:uiPriority w:val="34"/>
    <w:qFormat/>
    <w:rsid w:val="002C12C0"/>
    <w:pPr>
      <w:spacing w:after="160" w:line="259" w:lineRule="auto"/>
      <w:ind w:left="720"/>
      <w:contextualSpacing/>
      <w:jc w:val="left"/>
    </w:pPr>
    <w:rPr>
      <w:rFonts w:asciiTheme="minorHAnsi" w:eastAsiaTheme="minorHAnsi" w:hAnsiTheme="minorHAnsi" w:cstheme="minorBidi"/>
      <w:sz w:val="22"/>
      <w:szCs w:val="22"/>
    </w:rPr>
  </w:style>
  <w:style w:type="paragraph" w:customStyle="1" w:styleId="Default">
    <w:name w:val="Default"/>
    <w:qFormat/>
    <w:rsid w:val="002C12C0"/>
    <w:pPr>
      <w:spacing w:after="0"/>
      <w:jc w:val="left"/>
    </w:pPr>
    <w:rPr>
      <w:rFonts w:ascii="Chaparral Pro" w:hAnsi="Chaparral Pro" w:cs="Chaparral Pro"/>
      <w:color w:val="000000"/>
      <w:sz w:val="24"/>
      <w:szCs w:val="24"/>
    </w:rPr>
  </w:style>
  <w:style w:type="paragraph" w:customStyle="1" w:styleId="Recuodecorpodetexto31">
    <w:name w:val="Recuo de corpo de texto 31"/>
    <w:basedOn w:val="Normal"/>
    <w:qFormat/>
    <w:rsid w:val="002C12C0"/>
    <w:pPr>
      <w:suppressAutoHyphens/>
      <w:spacing w:after="0" w:line="480" w:lineRule="auto"/>
      <w:ind w:firstLine="709"/>
      <w:jc w:val="both"/>
    </w:pPr>
    <w:rPr>
      <w:rFonts w:eastAsia="Times New Roman"/>
      <w:color w:val="000000"/>
      <w:sz w:val="24"/>
      <w:szCs w:val="20"/>
      <w:lang w:eastAsia="ar-SA"/>
    </w:rPr>
  </w:style>
  <w:style w:type="character" w:styleId="nfase">
    <w:name w:val="Emphasis"/>
    <w:basedOn w:val="Fontepargpadro"/>
    <w:uiPriority w:val="20"/>
    <w:qFormat/>
    <w:rsid w:val="001E1F40"/>
    <w:rPr>
      <w:i/>
      <w:iCs/>
    </w:rPr>
  </w:style>
  <w:style w:type="character" w:customStyle="1" w:styleId="UnresolvedMention">
    <w:name w:val="Unresolved Mention"/>
    <w:basedOn w:val="Fontepargpadro"/>
    <w:uiPriority w:val="99"/>
    <w:semiHidden/>
    <w:unhideWhenUsed/>
    <w:rsid w:val="00017F6A"/>
    <w:rPr>
      <w:color w:val="605E5C"/>
      <w:shd w:val="clear" w:color="auto" w:fill="E1DFDD"/>
    </w:rPr>
  </w:style>
  <w:style w:type="character" w:customStyle="1" w:styleId="st">
    <w:name w:val="st"/>
    <w:basedOn w:val="Fontepargpadro"/>
    <w:rsid w:val="004928EF"/>
  </w:style>
  <w:style w:type="character" w:customStyle="1" w:styleId="Ttulo4Char">
    <w:name w:val="Título 4 Char"/>
    <w:basedOn w:val="Fontepargpadro"/>
    <w:link w:val="Ttulo4"/>
    <w:uiPriority w:val="9"/>
    <w:semiHidden/>
    <w:rsid w:val="003F24D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619298">
      <w:bodyDiv w:val="1"/>
      <w:marLeft w:val="0"/>
      <w:marRight w:val="0"/>
      <w:marTop w:val="0"/>
      <w:marBottom w:val="0"/>
      <w:divBdr>
        <w:top w:val="none" w:sz="0" w:space="0" w:color="auto"/>
        <w:left w:val="none" w:sz="0" w:space="0" w:color="auto"/>
        <w:bottom w:val="none" w:sz="0" w:space="0" w:color="auto"/>
        <w:right w:val="none" w:sz="0" w:space="0" w:color="auto"/>
      </w:divBdr>
    </w:div>
    <w:div w:id="798959608">
      <w:bodyDiv w:val="1"/>
      <w:marLeft w:val="0"/>
      <w:marRight w:val="0"/>
      <w:marTop w:val="0"/>
      <w:marBottom w:val="0"/>
      <w:divBdr>
        <w:top w:val="none" w:sz="0" w:space="0" w:color="auto"/>
        <w:left w:val="none" w:sz="0" w:space="0" w:color="auto"/>
        <w:bottom w:val="none" w:sz="0" w:space="0" w:color="auto"/>
        <w:right w:val="none" w:sz="0" w:space="0" w:color="auto"/>
      </w:divBdr>
    </w:div>
    <w:div w:id="1072317634">
      <w:bodyDiv w:val="1"/>
      <w:marLeft w:val="0"/>
      <w:marRight w:val="0"/>
      <w:marTop w:val="0"/>
      <w:marBottom w:val="0"/>
      <w:divBdr>
        <w:top w:val="none" w:sz="0" w:space="0" w:color="auto"/>
        <w:left w:val="none" w:sz="0" w:space="0" w:color="auto"/>
        <w:bottom w:val="none" w:sz="0" w:space="0" w:color="auto"/>
        <w:right w:val="none" w:sz="0" w:space="0" w:color="auto"/>
      </w:divBdr>
    </w:div>
    <w:div w:id="1141726521">
      <w:bodyDiv w:val="1"/>
      <w:marLeft w:val="0"/>
      <w:marRight w:val="0"/>
      <w:marTop w:val="0"/>
      <w:marBottom w:val="0"/>
      <w:divBdr>
        <w:top w:val="none" w:sz="0" w:space="0" w:color="auto"/>
        <w:left w:val="none" w:sz="0" w:space="0" w:color="auto"/>
        <w:bottom w:val="none" w:sz="0" w:space="0" w:color="auto"/>
        <w:right w:val="none" w:sz="0" w:space="0" w:color="auto"/>
      </w:divBdr>
    </w:div>
    <w:div w:id="1346320051">
      <w:bodyDiv w:val="1"/>
      <w:marLeft w:val="0"/>
      <w:marRight w:val="0"/>
      <w:marTop w:val="0"/>
      <w:marBottom w:val="0"/>
      <w:divBdr>
        <w:top w:val="none" w:sz="0" w:space="0" w:color="auto"/>
        <w:left w:val="none" w:sz="0" w:space="0" w:color="auto"/>
        <w:bottom w:val="none" w:sz="0" w:space="0" w:color="auto"/>
        <w:right w:val="none" w:sz="0" w:space="0" w:color="auto"/>
      </w:divBdr>
    </w:div>
    <w:div w:id="1624116919">
      <w:bodyDiv w:val="1"/>
      <w:marLeft w:val="0"/>
      <w:marRight w:val="0"/>
      <w:marTop w:val="0"/>
      <w:marBottom w:val="0"/>
      <w:divBdr>
        <w:top w:val="none" w:sz="0" w:space="0" w:color="auto"/>
        <w:left w:val="none" w:sz="0" w:space="0" w:color="auto"/>
        <w:bottom w:val="none" w:sz="0" w:space="0" w:color="auto"/>
        <w:right w:val="none" w:sz="0" w:space="0" w:color="auto"/>
      </w:divBdr>
    </w:div>
    <w:div w:id="184597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talogodeteses.capes.gov.br/catalogo-teses/" TargetMode="External"/><Relationship Id="rId18" Type="http://schemas.openxmlformats.org/officeDocument/2006/relationships/chart" Target="charts/chart4.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dx.doi.org/10.1590/S1413-85572008000200020" TargetMode="External"/><Relationship Id="rId7" Type="http://schemas.openxmlformats.org/officeDocument/2006/relationships/footnotes" Target="footnotes.xml"/><Relationship Id="rId12" Type="http://schemas.openxmlformats.org/officeDocument/2006/relationships/hyperlink" Target="https://sucupira.capes.gov.br/sucupira/" TargetMode="External"/><Relationship Id="rId17" Type="http://schemas.openxmlformats.org/officeDocument/2006/relationships/image" Target="media/image2.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pes.gov.br/images/stories/download/legislacao/Portaria_013_2006.pdf" TargetMode="External"/><Relationship Id="rId24" Type="http://schemas.openxmlformats.org/officeDocument/2006/relationships/hyperlink" Target="http://dx.doi.org/10.7213/dialogo.educ.14.041.DS01"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hyperlink" Target="https://doi.org/10.1080/02671520701296189" TargetMode="External"/><Relationship Id="rId28" Type="http://schemas.openxmlformats.org/officeDocument/2006/relationships/fontTable" Target="fontTable.xml"/><Relationship Id="rId10" Type="http://schemas.openxmlformats.org/officeDocument/2006/relationships/hyperlink" Target="http://catalogodeteses.capes.gov.br/catalogo-teses/" TargetMode="Externa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yperlink" Target="http://dx.doi.org/10.1590/S1413-82712003000200005"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iaPaulina\Desktop\2%20PAPERS%20CONFERENCES%20LIVROS\2019%20Cren&#231;as\1%20Passando%20a%20limpo\teses%20e%20disserta&#231;&#245;es%2027%20junho%202018%201%20(passando%20a%20limpo)%208%20nov%2020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ARTIGOS%20-%20LIVROS\E-CURRICULUM\teses%20e%20disserta&#231;&#245;es%2027%20junho%202018%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label 0</c:f>
              <c:strCache>
                <c:ptCount val="1"/>
                <c:pt idx="0">
                  <c:v>DISSERTAÇÕES</c:v>
                </c:pt>
              </c:strCache>
            </c:strRef>
          </c:tx>
          <c:spPr>
            <a:solidFill>
              <a:srgbClr val="5B9BD5"/>
            </a:solidFill>
            <a:ln>
              <a:noFill/>
            </a:ln>
          </c:spPr>
          <c:invertIfNegative val="0"/>
          <c:dLbls>
            <c:spPr>
              <a:noFill/>
              <a:ln>
                <a:noFill/>
              </a:ln>
              <a:effectLst/>
            </c:spPr>
            <c:dLblPos val="ctr"/>
            <c:showLegendKey val="0"/>
            <c:showVal val="0"/>
            <c:showCatName val="0"/>
            <c:showSerName val="0"/>
            <c:showPercent val="0"/>
            <c:showBubbleSize val="1"/>
            <c:showLeaderLines val="0"/>
            <c:extLst xmlns:c16r2="http://schemas.microsoft.com/office/drawing/2015/06/chart">
              <c:ext xmlns:c15="http://schemas.microsoft.com/office/drawing/2012/chart" uri="{CE6537A1-D6FC-4f65-9D91-7224C49458BB}">
                <c15:showLeaderLines val="0"/>
              </c:ext>
            </c:extLst>
          </c:dLbls>
          <c:cat>
            <c:strRef>
              <c:f>categories</c:f>
              <c:strCache>
                <c:ptCount val="33"/>
                <c:pt idx="0">
                  <c:v>UNICAMP</c:v>
                </c:pt>
                <c:pt idx="1">
                  <c:v>UFRGS</c:v>
                </c:pt>
                <c:pt idx="2">
                  <c:v>UFPR</c:v>
                </c:pt>
                <c:pt idx="3">
                  <c:v>UEL</c:v>
                </c:pt>
                <c:pt idx="4">
                  <c:v>USP</c:v>
                </c:pt>
                <c:pt idx="5">
                  <c:v>UNOESTE</c:v>
                </c:pt>
                <c:pt idx="6">
                  <c:v>UNESP</c:v>
                </c:pt>
                <c:pt idx="7">
                  <c:v>UFBA</c:v>
                </c:pt>
                <c:pt idx="8">
                  <c:v>UFOP</c:v>
                </c:pt>
                <c:pt idx="9">
                  <c:v>UFRN</c:v>
                </c:pt>
                <c:pt idx="10">
                  <c:v>UFSC</c:v>
                </c:pt>
                <c:pt idx="11">
                  <c:v>UNIVERSO</c:v>
                </c:pt>
                <c:pt idx="12">
                  <c:v>UFPA</c:v>
                </c:pt>
                <c:pt idx="13">
                  <c:v>IBMEC</c:v>
                </c:pt>
                <c:pt idx="14">
                  <c:v>UCB</c:v>
                </c:pt>
                <c:pt idx="15">
                  <c:v>UCP</c:v>
                </c:pt>
                <c:pt idx="16">
                  <c:v>UCSB</c:v>
                </c:pt>
                <c:pt idx="17">
                  <c:v>UFC</c:v>
                </c:pt>
                <c:pt idx="18">
                  <c:v>UFES</c:v>
                </c:pt>
                <c:pt idx="19">
                  <c:v>UFMG</c:v>
                </c:pt>
                <c:pt idx="20">
                  <c:v>UFPB</c:v>
                </c:pt>
                <c:pt idx="21">
                  <c:v>UFS </c:v>
                </c:pt>
                <c:pt idx="22">
                  <c:v>UFSC</c:v>
                </c:pt>
                <c:pt idx="23">
                  <c:v>UFSCAR</c:v>
                </c:pt>
                <c:pt idx="24">
                  <c:v>UFSM-FURG</c:v>
                </c:pt>
                <c:pt idx="25">
                  <c:v>UMESP</c:v>
                </c:pt>
                <c:pt idx="26">
                  <c:v>UNB</c:v>
                </c:pt>
                <c:pt idx="27">
                  <c:v>UNICAP</c:v>
                </c:pt>
                <c:pt idx="28">
                  <c:v>UNIFOR</c:v>
                </c:pt>
                <c:pt idx="29">
                  <c:v>UNIMEP</c:v>
                </c:pt>
                <c:pt idx="30">
                  <c:v>UNINOVE</c:v>
                </c:pt>
                <c:pt idx="31">
                  <c:v>USF</c:v>
                </c:pt>
                <c:pt idx="32">
                  <c:v>UFU</c:v>
                </c:pt>
              </c:strCache>
            </c:strRef>
          </c:cat>
          <c:val>
            <c:numRef>
              <c:f>0</c:f>
              <c:numCache>
                <c:formatCode>General</c:formatCode>
                <c:ptCount val="33"/>
                <c:pt idx="0">
                  <c:v>8</c:v>
                </c:pt>
                <c:pt idx="1">
                  <c:v>7</c:v>
                </c:pt>
                <c:pt idx="2">
                  <c:v>7</c:v>
                </c:pt>
                <c:pt idx="3">
                  <c:v>5</c:v>
                </c:pt>
                <c:pt idx="4">
                  <c:v>3</c:v>
                </c:pt>
                <c:pt idx="5">
                  <c:v>4</c:v>
                </c:pt>
                <c:pt idx="6">
                  <c:v>3</c:v>
                </c:pt>
                <c:pt idx="7">
                  <c:v>1</c:v>
                </c:pt>
                <c:pt idx="8">
                  <c:v>2</c:v>
                </c:pt>
                <c:pt idx="9">
                  <c:v>2</c:v>
                </c:pt>
                <c:pt idx="10">
                  <c:v>2</c:v>
                </c:pt>
                <c:pt idx="11">
                  <c:v>2</c:v>
                </c:pt>
                <c:pt idx="13">
                  <c:v>1</c:v>
                </c:pt>
                <c:pt idx="14">
                  <c:v>1</c:v>
                </c:pt>
                <c:pt idx="15">
                  <c:v>1</c:v>
                </c:pt>
                <c:pt idx="16">
                  <c:v>1</c:v>
                </c:pt>
                <c:pt idx="17">
                  <c:v>1</c:v>
                </c:pt>
                <c:pt idx="18">
                  <c:v>1</c:v>
                </c:pt>
                <c:pt idx="20">
                  <c:v>1</c:v>
                </c:pt>
                <c:pt idx="21">
                  <c:v>1</c:v>
                </c:pt>
                <c:pt idx="22">
                  <c:v>1</c:v>
                </c:pt>
                <c:pt idx="23">
                  <c:v>1</c:v>
                </c:pt>
                <c:pt idx="24">
                  <c:v>1</c:v>
                </c:pt>
                <c:pt idx="25">
                  <c:v>1</c:v>
                </c:pt>
                <c:pt idx="26">
                  <c:v>1</c:v>
                </c:pt>
                <c:pt idx="27">
                  <c:v>1</c:v>
                </c:pt>
                <c:pt idx="28">
                  <c:v>1</c:v>
                </c:pt>
                <c:pt idx="29">
                  <c:v>1</c:v>
                </c:pt>
                <c:pt idx="32">
                  <c:v>1</c:v>
                </c:pt>
              </c:numCache>
            </c:numRef>
          </c:val>
          <c:extLst xmlns:c16r2="http://schemas.microsoft.com/office/drawing/2015/06/chart">
            <c:ext xmlns:c16="http://schemas.microsoft.com/office/drawing/2014/chart" uri="{C3380CC4-5D6E-409C-BE32-E72D297353CC}">
              <c16:uniqueId val="{00000000-4670-4EEF-BA28-B1EF009DE058}"/>
            </c:ext>
          </c:extLst>
        </c:ser>
        <c:ser>
          <c:idx val="1"/>
          <c:order val="1"/>
          <c:tx>
            <c:strRef>
              <c:f>label 1</c:f>
              <c:strCache>
                <c:ptCount val="1"/>
                <c:pt idx="0">
                  <c:v>TESES</c:v>
                </c:pt>
              </c:strCache>
            </c:strRef>
          </c:tx>
          <c:spPr>
            <a:solidFill>
              <a:srgbClr val="ED7D31"/>
            </a:solidFill>
            <a:ln>
              <a:noFill/>
            </a:ln>
          </c:spPr>
          <c:invertIfNegative val="0"/>
          <c:dLbls>
            <c:spPr>
              <a:noFill/>
              <a:ln>
                <a:noFill/>
              </a:ln>
              <a:effectLst/>
            </c:spPr>
            <c:dLblPos val="ctr"/>
            <c:showLegendKey val="0"/>
            <c:showVal val="0"/>
            <c:showCatName val="0"/>
            <c:showSerName val="0"/>
            <c:showPercent val="0"/>
            <c:showBubbleSize val="1"/>
            <c:showLeaderLines val="0"/>
            <c:extLst xmlns:c16r2="http://schemas.microsoft.com/office/drawing/2015/06/chart">
              <c:ext xmlns:c15="http://schemas.microsoft.com/office/drawing/2012/chart" uri="{CE6537A1-D6FC-4f65-9D91-7224C49458BB}">
                <c15:showLeaderLines val="0"/>
              </c:ext>
            </c:extLst>
          </c:dLbls>
          <c:cat>
            <c:strRef>
              <c:f>categories</c:f>
              <c:strCache>
                <c:ptCount val="33"/>
                <c:pt idx="0">
                  <c:v>UNICAMP</c:v>
                </c:pt>
                <c:pt idx="1">
                  <c:v>UFRGS</c:v>
                </c:pt>
                <c:pt idx="2">
                  <c:v>UFPR</c:v>
                </c:pt>
                <c:pt idx="3">
                  <c:v>UEL</c:v>
                </c:pt>
                <c:pt idx="4">
                  <c:v>USP</c:v>
                </c:pt>
                <c:pt idx="5">
                  <c:v>UNOESTE</c:v>
                </c:pt>
                <c:pt idx="6">
                  <c:v>UNESP</c:v>
                </c:pt>
                <c:pt idx="7">
                  <c:v>UFBA</c:v>
                </c:pt>
                <c:pt idx="8">
                  <c:v>UFOP</c:v>
                </c:pt>
                <c:pt idx="9">
                  <c:v>UFRN</c:v>
                </c:pt>
                <c:pt idx="10">
                  <c:v>UFSC</c:v>
                </c:pt>
                <c:pt idx="11">
                  <c:v>UNIVERSO</c:v>
                </c:pt>
                <c:pt idx="12">
                  <c:v>UFPA</c:v>
                </c:pt>
                <c:pt idx="13">
                  <c:v>IBMEC</c:v>
                </c:pt>
                <c:pt idx="14">
                  <c:v>UCB</c:v>
                </c:pt>
                <c:pt idx="15">
                  <c:v>UCP</c:v>
                </c:pt>
                <c:pt idx="16">
                  <c:v>UCSB</c:v>
                </c:pt>
                <c:pt idx="17">
                  <c:v>UFC</c:v>
                </c:pt>
                <c:pt idx="18">
                  <c:v>UFES</c:v>
                </c:pt>
                <c:pt idx="19">
                  <c:v>UFMG</c:v>
                </c:pt>
                <c:pt idx="20">
                  <c:v>UFPB</c:v>
                </c:pt>
                <c:pt idx="21">
                  <c:v>UFS </c:v>
                </c:pt>
                <c:pt idx="22">
                  <c:v>UFSC</c:v>
                </c:pt>
                <c:pt idx="23">
                  <c:v>UFSCAR</c:v>
                </c:pt>
                <c:pt idx="24">
                  <c:v>UFSM-FURG</c:v>
                </c:pt>
                <c:pt idx="25">
                  <c:v>UMESP</c:v>
                </c:pt>
                <c:pt idx="26">
                  <c:v>UNB</c:v>
                </c:pt>
                <c:pt idx="27">
                  <c:v>UNICAP</c:v>
                </c:pt>
                <c:pt idx="28">
                  <c:v>UNIFOR</c:v>
                </c:pt>
                <c:pt idx="29">
                  <c:v>UNIMEP</c:v>
                </c:pt>
                <c:pt idx="30">
                  <c:v>UNINOVE</c:v>
                </c:pt>
                <c:pt idx="31">
                  <c:v>USF</c:v>
                </c:pt>
                <c:pt idx="32">
                  <c:v>UFU</c:v>
                </c:pt>
              </c:strCache>
            </c:strRef>
          </c:cat>
          <c:val>
            <c:numRef>
              <c:f>1</c:f>
              <c:numCache>
                <c:formatCode>General</c:formatCode>
                <c:ptCount val="33"/>
                <c:pt idx="0">
                  <c:v>18</c:v>
                </c:pt>
                <c:pt idx="1">
                  <c:v>2</c:v>
                </c:pt>
                <c:pt idx="2">
                  <c:v>1</c:v>
                </c:pt>
                <c:pt idx="4">
                  <c:v>2</c:v>
                </c:pt>
                <c:pt idx="7">
                  <c:v>1</c:v>
                </c:pt>
                <c:pt idx="12">
                  <c:v>2</c:v>
                </c:pt>
                <c:pt idx="13">
                  <c:v>0</c:v>
                </c:pt>
                <c:pt idx="14">
                  <c:v>0</c:v>
                </c:pt>
                <c:pt idx="15">
                  <c:v>0</c:v>
                </c:pt>
                <c:pt idx="16">
                  <c:v>0</c:v>
                </c:pt>
                <c:pt idx="19">
                  <c:v>1</c:v>
                </c:pt>
                <c:pt idx="23">
                  <c:v>1</c:v>
                </c:pt>
                <c:pt idx="30">
                  <c:v>1</c:v>
                </c:pt>
                <c:pt idx="31">
                  <c:v>1</c:v>
                </c:pt>
              </c:numCache>
            </c:numRef>
          </c:val>
          <c:extLst xmlns:c16r2="http://schemas.microsoft.com/office/drawing/2015/06/chart">
            <c:ext xmlns:c16="http://schemas.microsoft.com/office/drawing/2014/chart" uri="{C3380CC4-5D6E-409C-BE32-E72D297353CC}">
              <c16:uniqueId val="{00000001-4670-4EEF-BA28-B1EF009DE058}"/>
            </c:ext>
          </c:extLst>
        </c:ser>
        <c:ser>
          <c:idx val="2"/>
          <c:order val="2"/>
          <c:tx>
            <c:strRef>
              <c:f>label 2</c:f>
              <c:strCache>
                <c:ptCount val="1"/>
                <c:pt idx="0">
                  <c:v>TOTAIS</c:v>
                </c:pt>
              </c:strCache>
            </c:strRef>
          </c:tx>
          <c:spPr>
            <a:solidFill>
              <a:srgbClr val="A5A5A5"/>
            </a:solidFill>
            <a:ln>
              <a:noFill/>
            </a:ln>
          </c:spPr>
          <c:invertIfNegative val="0"/>
          <c:dLbls>
            <c:spPr>
              <a:noFill/>
              <a:ln>
                <a:noFill/>
              </a:ln>
              <a:effectLst/>
            </c:spPr>
            <c:dLblPos val="ctr"/>
            <c:showLegendKey val="0"/>
            <c:showVal val="0"/>
            <c:showCatName val="0"/>
            <c:showSerName val="0"/>
            <c:showPercent val="0"/>
            <c:showBubbleSize val="1"/>
            <c:showLeaderLines val="0"/>
            <c:extLst xmlns:c16r2="http://schemas.microsoft.com/office/drawing/2015/06/chart">
              <c:ext xmlns:c15="http://schemas.microsoft.com/office/drawing/2012/chart" uri="{CE6537A1-D6FC-4f65-9D91-7224C49458BB}">
                <c15:showLeaderLines val="0"/>
              </c:ext>
            </c:extLst>
          </c:dLbls>
          <c:cat>
            <c:strRef>
              <c:f>categories</c:f>
              <c:strCache>
                <c:ptCount val="33"/>
                <c:pt idx="0">
                  <c:v>UNICAMP</c:v>
                </c:pt>
                <c:pt idx="1">
                  <c:v>UFRGS</c:v>
                </c:pt>
                <c:pt idx="2">
                  <c:v>UFPR</c:v>
                </c:pt>
                <c:pt idx="3">
                  <c:v>UEL</c:v>
                </c:pt>
                <c:pt idx="4">
                  <c:v>USP</c:v>
                </c:pt>
                <c:pt idx="5">
                  <c:v>UNOESTE</c:v>
                </c:pt>
                <c:pt idx="6">
                  <c:v>UNESP</c:v>
                </c:pt>
                <c:pt idx="7">
                  <c:v>UFBA</c:v>
                </c:pt>
                <c:pt idx="8">
                  <c:v>UFOP</c:v>
                </c:pt>
                <c:pt idx="9">
                  <c:v>UFRN</c:v>
                </c:pt>
                <c:pt idx="10">
                  <c:v>UFSC</c:v>
                </c:pt>
                <c:pt idx="11">
                  <c:v>UNIVERSO</c:v>
                </c:pt>
                <c:pt idx="12">
                  <c:v>UFPA</c:v>
                </c:pt>
                <c:pt idx="13">
                  <c:v>IBMEC</c:v>
                </c:pt>
                <c:pt idx="14">
                  <c:v>UCB</c:v>
                </c:pt>
                <c:pt idx="15">
                  <c:v>UCP</c:v>
                </c:pt>
                <c:pt idx="16">
                  <c:v>UCSB</c:v>
                </c:pt>
                <c:pt idx="17">
                  <c:v>UFC</c:v>
                </c:pt>
                <c:pt idx="18">
                  <c:v>UFES</c:v>
                </c:pt>
                <c:pt idx="19">
                  <c:v>UFMG</c:v>
                </c:pt>
                <c:pt idx="20">
                  <c:v>UFPB</c:v>
                </c:pt>
                <c:pt idx="21">
                  <c:v>UFS </c:v>
                </c:pt>
                <c:pt idx="22">
                  <c:v>UFSC</c:v>
                </c:pt>
                <c:pt idx="23">
                  <c:v>UFSCAR</c:v>
                </c:pt>
                <c:pt idx="24">
                  <c:v>UFSM-FURG</c:v>
                </c:pt>
                <c:pt idx="25">
                  <c:v>UMESP</c:v>
                </c:pt>
                <c:pt idx="26">
                  <c:v>UNB</c:v>
                </c:pt>
                <c:pt idx="27">
                  <c:v>UNICAP</c:v>
                </c:pt>
                <c:pt idx="28">
                  <c:v>UNIFOR</c:v>
                </c:pt>
                <c:pt idx="29">
                  <c:v>UNIMEP</c:v>
                </c:pt>
                <c:pt idx="30">
                  <c:v>UNINOVE</c:v>
                </c:pt>
                <c:pt idx="31">
                  <c:v>USF</c:v>
                </c:pt>
                <c:pt idx="32">
                  <c:v>UFU</c:v>
                </c:pt>
              </c:strCache>
            </c:strRef>
          </c:cat>
          <c:val>
            <c:numRef>
              <c:f>2</c:f>
              <c:numCache>
                <c:formatCode>General</c:formatCode>
                <c:ptCount val="33"/>
                <c:pt idx="0">
                  <c:v>26</c:v>
                </c:pt>
                <c:pt idx="1">
                  <c:v>10</c:v>
                </c:pt>
                <c:pt idx="2">
                  <c:v>8</c:v>
                </c:pt>
                <c:pt idx="3">
                  <c:v>5</c:v>
                </c:pt>
                <c:pt idx="4">
                  <c:v>5</c:v>
                </c:pt>
                <c:pt idx="5">
                  <c:v>4</c:v>
                </c:pt>
                <c:pt idx="6">
                  <c:v>3</c:v>
                </c:pt>
                <c:pt idx="7">
                  <c:v>2</c:v>
                </c:pt>
                <c:pt idx="8">
                  <c:v>2</c:v>
                </c:pt>
                <c:pt idx="9">
                  <c:v>2</c:v>
                </c:pt>
                <c:pt idx="10">
                  <c:v>2</c:v>
                </c:pt>
                <c:pt idx="11">
                  <c:v>2</c:v>
                </c:pt>
                <c:pt idx="12">
                  <c:v>2</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numCache>
            </c:numRef>
          </c:val>
          <c:extLst xmlns:c16r2="http://schemas.microsoft.com/office/drawing/2015/06/chart">
            <c:ext xmlns:c16="http://schemas.microsoft.com/office/drawing/2014/chart" uri="{C3380CC4-5D6E-409C-BE32-E72D297353CC}">
              <c16:uniqueId val="{00000002-4670-4EEF-BA28-B1EF009DE058}"/>
            </c:ext>
          </c:extLst>
        </c:ser>
        <c:dLbls>
          <c:showLegendKey val="0"/>
          <c:showVal val="0"/>
          <c:showCatName val="0"/>
          <c:showSerName val="0"/>
          <c:showPercent val="0"/>
          <c:showBubbleSize val="0"/>
        </c:dLbls>
        <c:gapWidth val="150"/>
        <c:overlap val="100"/>
        <c:axId val="173736320"/>
        <c:axId val="173737856"/>
      </c:barChart>
      <c:catAx>
        <c:axId val="173736320"/>
        <c:scaling>
          <c:orientation val="minMax"/>
        </c:scaling>
        <c:delete val="0"/>
        <c:axPos val="b"/>
        <c:numFmt formatCode="General" sourceLinked="1"/>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pt-BR"/>
          </a:p>
        </c:txPr>
        <c:crossAx val="173737856"/>
        <c:crosses val="autoZero"/>
        <c:auto val="1"/>
        <c:lblAlgn val="ctr"/>
        <c:lblOffset val="100"/>
        <c:noMultiLvlLbl val="1"/>
      </c:catAx>
      <c:valAx>
        <c:axId val="173737856"/>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t-BR"/>
          </a:p>
        </c:txPr>
        <c:crossAx val="173736320"/>
        <c:crosses val="autoZero"/>
        <c:crossBetween val="between"/>
      </c:valAx>
      <c:spPr>
        <a:noFill/>
        <a:ln>
          <a:noFill/>
        </a:ln>
      </c:spPr>
    </c:plotArea>
    <c:legend>
      <c:legendPos val="b"/>
      <c:overlay val="0"/>
      <c:spPr>
        <a:noFill/>
        <a:ln>
          <a:noFill/>
        </a:ln>
      </c:spPr>
      <c:txPr>
        <a:bodyPr/>
        <a:lstStyle/>
        <a:p>
          <a:pPr>
            <a:defRPr sz="900" b="0" strike="noStrike" spc="-1">
              <a:solidFill>
                <a:srgbClr val="595959"/>
              </a:solidFill>
              <a:latin typeface="Calibri"/>
            </a:defRPr>
          </a:pPr>
          <a:endParaRPr lang="pt-BR"/>
        </a:p>
      </c:txPr>
    </c:legend>
    <c:plotVisOnly val="1"/>
    <c:dispBlanksAs val="gap"/>
    <c:showDLblsOverMax val="1"/>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label 0</c:f>
              <c:strCache>
                <c:ptCount val="1"/>
              </c:strCache>
            </c:strRef>
          </c:tx>
          <c:spPr>
            <a:ln w="19080">
              <a:noFill/>
            </a:ln>
          </c:spPr>
          <c:marker>
            <c:symbol val="circle"/>
            <c:size val="5"/>
            <c:spPr>
              <a:solidFill>
                <a:srgbClr val="5B9BD5"/>
              </a:solidFill>
            </c:spPr>
          </c:marker>
          <c:dLbls>
            <c:spPr>
              <a:noFill/>
              <a:ln>
                <a:noFill/>
              </a:ln>
              <a:effectLst/>
            </c:spPr>
            <c:dLblPos val="r"/>
            <c:showLegendKey val="0"/>
            <c:showVal val="0"/>
            <c:showCatName val="0"/>
            <c:showSerName val="0"/>
            <c:showPercent val="0"/>
            <c:showBubbleSize val="1"/>
            <c:showLeaderLines val="0"/>
            <c:extLst xmlns:c16r2="http://schemas.microsoft.com/office/drawing/2015/06/chart">
              <c:ext xmlns:c15="http://schemas.microsoft.com/office/drawing/2012/chart" uri="{CE6537A1-D6FC-4f65-9D91-7224C49458BB}">
                <c15:showLeaderLines val="0"/>
              </c:ext>
            </c:extLst>
          </c:dLbls>
          <c:trendline>
            <c:spPr>
              <a:ln w="19080">
                <a:solidFill>
                  <a:srgbClr val="5B9BD5"/>
                </a:solidFill>
                <a:round/>
              </a:ln>
            </c:spPr>
            <c:trendlineType val="linear"/>
            <c:dispRSqr val="0"/>
            <c:dispEq val="0"/>
          </c:trendline>
          <c:yVal>
            <c:numRef>
              <c:f>0</c:f>
              <c:numCache>
                <c:formatCode>General</c:formatCode>
                <c:ptCount val="92"/>
                <c:pt idx="0">
                  <c:v>2007</c:v>
                </c:pt>
                <c:pt idx="1">
                  <c:v>2007</c:v>
                </c:pt>
                <c:pt idx="2">
                  <c:v>2007</c:v>
                </c:pt>
                <c:pt idx="3">
                  <c:v>2007</c:v>
                </c:pt>
                <c:pt idx="4">
                  <c:v>2007</c:v>
                </c:pt>
                <c:pt idx="5">
                  <c:v>2007</c:v>
                </c:pt>
                <c:pt idx="6">
                  <c:v>2007</c:v>
                </c:pt>
                <c:pt idx="7">
                  <c:v>2008</c:v>
                </c:pt>
                <c:pt idx="8">
                  <c:v>2008</c:v>
                </c:pt>
                <c:pt idx="9">
                  <c:v>2008</c:v>
                </c:pt>
                <c:pt idx="10">
                  <c:v>2009</c:v>
                </c:pt>
                <c:pt idx="11">
                  <c:v>2009</c:v>
                </c:pt>
                <c:pt idx="12">
                  <c:v>2009</c:v>
                </c:pt>
                <c:pt idx="13">
                  <c:v>2009</c:v>
                </c:pt>
                <c:pt idx="14">
                  <c:v>2009</c:v>
                </c:pt>
                <c:pt idx="15">
                  <c:v>2009</c:v>
                </c:pt>
                <c:pt idx="16">
                  <c:v>2010</c:v>
                </c:pt>
                <c:pt idx="17">
                  <c:v>2010</c:v>
                </c:pt>
                <c:pt idx="18">
                  <c:v>2010</c:v>
                </c:pt>
                <c:pt idx="19">
                  <c:v>2010</c:v>
                </c:pt>
                <c:pt idx="20">
                  <c:v>2010</c:v>
                </c:pt>
                <c:pt idx="21">
                  <c:v>2010</c:v>
                </c:pt>
                <c:pt idx="22">
                  <c:v>2011</c:v>
                </c:pt>
                <c:pt idx="23">
                  <c:v>2011</c:v>
                </c:pt>
                <c:pt idx="24">
                  <c:v>2011</c:v>
                </c:pt>
                <c:pt idx="25">
                  <c:v>2011</c:v>
                </c:pt>
                <c:pt idx="26">
                  <c:v>2011</c:v>
                </c:pt>
                <c:pt idx="27">
                  <c:v>2011</c:v>
                </c:pt>
                <c:pt idx="28">
                  <c:v>2011</c:v>
                </c:pt>
                <c:pt idx="29">
                  <c:v>2012</c:v>
                </c:pt>
                <c:pt idx="30">
                  <c:v>2013</c:v>
                </c:pt>
                <c:pt idx="31">
                  <c:v>2013</c:v>
                </c:pt>
                <c:pt idx="32">
                  <c:v>2013</c:v>
                </c:pt>
                <c:pt idx="33">
                  <c:v>2013</c:v>
                </c:pt>
                <c:pt idx="34">
                  <c:v>2013</c:v>
                </c:pt>
                <c:pt idx="35">
                  <c:v>2013</c:v>
                </c:pt>
                <c:pt idx="36">
                  <c:v>2013</c:v>
                </c:pt>
                <c:pt idx="37">
                  <c:v>2013</c:v>
                </c:pt>
                <c:pt idx="38">
                  <c:v>2014</c:v>
                </c:pt>
                <c:pt idx="39">
                  <c:v>2014</c:v>
                </c:pt>
                <c:pt idx="40">
                  <c:v>2014</c:v>
                </c:pt>
                <c:pt idx="41">
                  <c:v>2014</c:v>
                </c:pt>
                <c:pt idx="42">
                  <c:v>2014</c:v>
                </c:pt>
                <c:pt idx="43">
                  <c:v>2014</c:v>
                </c:pt>
                <c:pt idx="44">
                  <c:v>2015</c:v>
                </c:pt>
                <c:pt idx="45">
                  <c:v>2015</c:v>
                </c:pt>
                <c:pt idx="46">
                  <c:v>2015</c:v>
                </c:pt>
                <c:pt idx="47">
                  <c:v>2015</c:v>
                </c:pt>
                <c:pt idx="48">
                  <c:v>2015</c:v>
                </c:pt>
                <c:pt idx="49">
                  <c:v>2015</c:v>
                </c:pt>
                <c:pt idx="50">
                  <c:v>2015</c:v>
                </c:pt>
                <c:pt idx="51">
                  <c:v>2015</c:v>
                </c:pt>
                <c:pt idx="52">
                  <c:v>2015</c:v>
                </c:pt>
                <c:pt idx="53">
                  <c:v>2015</c:v>
                </c:pt>
                <c:pt idx="54">
                  <c:v>2015</c:v>
                </c:pt>
                <c:pt idx="55">
                  <c:v>2016</c:v>
                </c:pt>
                <c:pt idx="56">
                  <c:v>2016</c:v>
                </c:pt>
                <c:pt idx="57">
                  <c:v>2016</c:v>
                </c:pt>
                <c:pt idx="58">
                  <c:v>2016</c:v>
                </c:pt>
                <c:pt idx="59">
                  <c:v>2016</c:v>
                </c:pt>
                <c:pt idx="60">
                  <c:v>2016</c:v>
                </c:pt>
                <c:pt idx="61">
                  <c:v>2016</c:v>
                </c:pt>
                <c:pt idx="62">
                  <c:v>2016</c:v>
                </c:pt>
                <c:pt idx="63">
                  <c:v>2016</c:v>
                </c:pt>
                <c:pt idx="64">
                  <c:v>2016</c:v>
                </c:pt>
                <c:pt idx="65">
                  <c:v>2016</c:v>
                </c:pt>
                <c:pt idx="66">
                  <c:v>2016</c:v>
                </c:pt>
                <c:pt idx="67">
                  <c:v>2016</c:v>
                </c:pt>
                <c:pt idx="68">
                  <c:v>2016</c:v>
                </c:pt>
                <c:pt idx="69">
                  <c:v>2016</c:v>
                </c:pt>
                <c:pt idx="70">
                  <c:v>2016</c:v>
                </c:pt>
                <c:pt idx="71">
                  <c:v>2017</c:v>
                </c:pt>
                <c:pt idx="72">
                  <c:v>2017</c:v>
                </c:pt>
                <c:pt idx="73">
                  <c:v>2017</c:v>
                </c:pt>
                <c:pt idx="74">
                  <c:v>2017</c:v>
                </c:pt>
                <c:pt idx="75">
                  <c:v>2017</c:v>
                </c:pt>
                <c:pt idx="76">
                  <c:v>2017</c:v>
                </c:pt>
                <c:pt idx="77">
                  <c:v>2017</c:v>
                </c:pt>
                <c:pt idx="78">
                  <c:v>2017</c:v>
                </c:pt>
                <c:pt idx="79">
                  <c:v>2017</c:v>
                </c:pt>
                <c:pt idx="80">
                  <c:v>2017</c:v>
                </c:pt>
                <c:pt idx="81">
                  <c:v>2017</c:v>
                </c:pt>
                <c:pt idx="82">
                  <c:v>2017</c:v>
                </c:pt>
                <c:pt idx="83">
                  <c:v>2017</c:v>
                </c:pt>
                <c:pt idx="84">
                  <c:v>2017</c:v>
                </c:pt>
                <c:pt idx="85">
                  <c:v>2017</c:v>
                </c:pt>
                <c:pt idx="86">
                  <c:v>2017</c:v>
                </c:pt>
                <c:pt idx="87">
                  <c:v>2017</c:v>
                </c:pt>
                <c:pt idx="88">
                  <c:v>2017</c:v>
                </c:pt>
                <c:pt idx="89">
                  <c:v>2017</c:v>
                </c:pt>
                <c:pt idx="90">
                  <c:v>2017</c:v>
                </c:pt>
                <c:pt idx="91">
                  <c:v>2017</c:v>
                </c:pt>
              </c:numCache>
            </c:numRef>
          </c:yVal>
          <c:smooth val="0"/>
          <c:extLst xmlns:c16r2="http://schemas.microsoft.com/office/drawing/2015/06/chart">
            <c:ext xmlns:c16="http://schemas.microsoft.com/office/drawing/2014/chart" uri="{C3380CC4-5D6E-409C-BE32-E72D297353CC}">
              <c16:uniqueId val="{00000001-939C-49DB-B368-FB7343DD2046}"/>
            </c:ext>
          </c:extLst>
        </c:ser>
        <c:dLbls>
          <c:showLegendKey val="0"/>
          <c:showVal val="0"/>
          <c:showCatName val="0"/>
          <c:showSerName val="0"/>
          <c:showPercent val="0"/>
          <c:showBubbleSize val="0"/>
        </c:dLbls>
        <c:axId val="173750912"/>
        <c:axId val="173756800"/>
      </c:scatterChart>
      <c:valAx>
        <c:axId val="173750912"/>
        <c:scaling>
          <c:orientation val="minMax"/>
        </c:scaling>
        <c:delete val="0"/>
        <c:axPos val="b"/>
        <c:majorGridlines>
          <c:spPr>
            <a:ln w="9360">
              <a:solidFill>
                <a:srgbClr val="D9D9D9"/>
              </a:solidFill>
              <a:round/>
            </a:ln>
          </c:spPr>
        </c:majorGridlines>
        <c:minorGridlines>
          <c:spPr>
            <a:ln w="9360">
              <a:solidFill>
                <a:srgbClr val="F2F2F2"/>
              </a:solidFill>
              <a:round/>
            </a:ln>
          </c:spPr>
        </c:minorGridlines>
        <c:numFmt formatCode="General" sourceLinked="0"/>
        <c:majorTickMark val="out"/>
        <c:minorTickMark val="none"/>
        <c:tickLblPos val="nextTo"/>
        <c:spPr>
          <a:ln w="9360">
            <a:solidFill>
              <a:srgbClr val="BFBFBF"/>
            </a:solidFill>
            <a:round/>
          </a:ln>
        </c:spPr>
        <c:txPr>
          <a:bodyPr/>
          <a:lstStyle/>
          <a:p>
            <a:pPr>
              <a:defRPr sz="900" b="0" strike="noStrike" spc="-1">
                <a:solidFill>
                  <a:srgbClr val="595959"/>
                </a:solidFill>
                <a:latin typeface="Calibri"/>
              </a:defRPr>
            </a:pPr>
            <a:endParaRPr lang="pt-BR"/>
          </a:p>
        </c:txPr>
        <c:crossAx val="173756800"/>
        <c:crosses val="autoZero"/>
        <c:crossBetween val="midCat"/>
      </c:valAx>
      <c:valAx>
        <c:axId val="173756800"/>
        <c:scaling>
          <c:orientation val="minMax"/>
        </c:scaling>
        <c:delete val="0"/>
        <c:axPos val="l"/>
        <c:majorGridlines>
          <c:spPr>
            <a:ln w="9360">
              <a:solidFill>
                <a:srgbClr val="D9D9D9"/>
              </a:solidFill>
              <a:round/>
            </a:ln>
          </c:spPr>
        </c:majorGridlines>
        <c:minorGridlines>
          <c:spPr>
            <a:ln w="9360">
              <a:solidFill>
                <a:srgbClr val="F2F2F2"/>
              </a:solidFill>
              <a:round/>
            </a:ln>
          </c:spPr>
        </c:minorGridlines>
        <c:title>
          <c:tx>
            <c:rich>
              <a:bodyPr rot="-5400000"/>
              <a:lstStyle/>
              <a:p>
                <a:pPr>
                  <a:defRPr sz="1000" b="0" strike="noStrike" spc="-1">
                    <a:solidFill>
                      <a:srgbClr val="595959"/>
                    </a:solidFill>
                    <a:latin typeface="Calibri"/>
                  </a:defRPr>
                </a:pPr>
                <a:r>
                  <a:rPr lang="pt-BR" sz="1000" b="0" strike="noStrike" spc="-1">
                    <a:solidFill>
                      <a:srgbClr val="595959"/>
                    </a:solidFill>
                    <a:latin typeface="Calibri"/>
                  </a:rPr>
                  <a:t>anos</a:t>
                </a:r>
              </a:p>
            </c:rich>
          </c:tx>
          <c:overlay val="0"/>
          <c:spPr>
            <a:noFill/>
            <a:ln>
              <a:noFill/>
            </a:ln>
          </c:spPr>
        </c:title>
        <c:numFmt formatCode="General" sourceLinked="0"/>
        <c:majorTickMark val="out"/>
        <c:minorTickMark val="none"/>
        <c:tickLblPos val="nextTo"/>
        <c:spPr>
          <a:ln w="9360">
            <a:solidFill>
              <a:srgbClr val="BFBFBF"/>
            </a:solidFill>
            <a:round/>
          </a:ln>
        </c:spPr>
        <c:txPr>
          <a:bodyPr/>
          <a:lstStyle/>
          <a:p>
            <a:pPr>
              <a:defRPr sz="900" b="0" strike="noStrike" spc="-1">
                <a:solidFill>
                  <a:srgbClr val="595959"/>
                </a:solidFill>
                <a:latin typeface="Calibri"/>
              </a:defRPr>
            </a:pPr>
            <a:endParaRPr lang="pt-BR"/>
          </a:p>
        </c:txPr>
        <c:crossAx val="173750912"/>
        <c:crosses val="autoZero"/>
        <c:crossBetween val="midCat"/>
      </c:valAx>
      <c:spPr>
        <a:noFill/>
        <a:ln>
          <a:noFill/>
        </a:ln>
      </c:spPr>
    </c:plotArea>
    <c:plotVisOnly val="1"/>
    <c:dispBlanksAs val="gap"/>
    <c:showDLblsOverMax val="1"/>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label 0</c:f>
              <c:strCache>
                <c:ptCount val="1"/>
                <c:pt idx="0">
                  <c:v>TESES</c:v>
                </c:pt>
              </c:strCache>
            </c:strRef>
          </c:tx>
          <c:spPr>
            <a:ln w="28440">
              <a:solidFill>
                <a:srgbClr val="5B9BD5"/>
              </a:solidFill>
              <a:round/>
            </a:ln>
          </c:spPr>
          <c:marker>
            <c:symbol val="none"/>
          </c:marker>
          <c:dLbls>
            <c:spPr>
              <a:noFill/>
              <a:ln>
                <a:noFill/>
              </a:ln>
              <a:effectLst/>
            </c:spPr>
            <c:dLblPos val="r"/>
            <c:showLegendKey val="0"/>
            <c:showVal val="0"/>
            <c:showCatName val="0"/>
            <c:showSerName val="0"/>
            <c:showPercent val="0"/>
            <c:showBubbleSize val="1"/>
            <c:showLeaderLines val="0"/>
            <c:extLst xmlns:c16r2="http://schemas.microsoft.com/office/drawing/2015/06/chart">
              <c:ext xmlns:c15="http://schemas.microsoft.com/office/drawing/2012/chart" uri="{CE6537A1-D6FC-4f65-9D91-7224C49458BB}">
                <c15:showLeaderLines val="0"/>
              </c:ext>
            </c:extLst>
          </c:dLbls>
          <c:cat>
            <c:strRef>
              <c:f>categories</c:f>
              <c:strCache>
                <c:ptCount val="12"/>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0</c:f>
              <c:numCache>
                <c:formatCode>General</c:formatCode>
                <c:ptCount val="12"/>
                <c:pt idx="0">
                  <c:v>3</c:v>
                </c:pt>
                <c:pt idx="1">
                  <c:v>0</c:v>
                </c:pt>
                <c:pt idx="2">
                  <c:v>2</c:v>
                </c:pt>
                <c:pt idx="3">
                  <c:v>1</c:v>
                </c:pt>
                <c:pt idx="4">
                  <c:v>5</c:v>
                </c:pt>
                <c:pt idx="5">
                  <c:v>0</c:v>
                </c:pt>
                <c:pt idx="6">
                  <c:v>3</c:v>
                </c:pt>
                <c:pt idx="7">
                  <c:v>1</c:v>
                </c:pt>
                <c:pt idx="8">
                  <c:v>3</c:v>
                </c:pt>
                <c:pt idx="9">
                  <c:v>6</c:v>
                </c:pt>
                <c:pt idx="10">
                  <c:v>6</c:v>
                </c:pt>
                <c:pt idx="11">
                  <c:v>30</c:v>
                </c:pt>
              </c:numCache>
            </c:numRef>
          </c:val>
          <c:smooth val="0"/>
          <c:extLst xmlns:c16r2="http://schemas.microsoft.com/office/drawing/2015/06/chart">
            <c:ext xmlns:c16="http://schemas.microsoft.com/office/drawing/2014/chart" uri="{C3380CC4-5D6E-409C-BE32-E72D297353CC}">
              <c16:uniqueId val="{00000000-EBE2-4376-A0EA-865D617439B6}"/>
            </c:ext>
          </c:extLst>
        </c:ser>
        <c:ser>
          <c:idx val="1"/>
          <c:order val="1"/>
          <c:tx>
            <c:strRef>
              <c:f>label 1</c:f>
              <c:strCache>
                <c:ptCount val="1"/>
                <c:pt idx="0">
                  <c:v>DISSERTAÇÕES</c:v>
                </c:pt>
              </c:strCache>
            </c:strRef>
          </c:tx>
          <c:spPr>
            <a:ln w="28440">
              <a:solidFill>
                <a:srgbClr val="ED7D31"/>
              </a:solidFill>
              <a:round/>
            </a:ln>
          </c:spPr>
          <c:marker>
            <c:symbol val="none"/>
          </c:marker>
          <c:dLbls>
            <c:spPr>
              <a:noFill/>
              <a:ln>
                <a:noFill/>
              </a:ln>
              <a:effectLst/>
            </c:spPr>
            <c:dLblPos val="r"/>
            <c:showLegendKey val="0"/>
            <c:showVal val="0"/>
            <c:showCatName val="0"/>
            <c:showSerName val="0"/>
            <c:showPercent val="0"/>
            <c:showBubbleSize val="1"/>
            <c:showLeaderLines val="0"/>
            <c:extLst xmlns:c16r2="http://schemas.microsoft.com/office/drawing/2015/06/chart">
              <c:ext xmlns:c15="http://schemas.microsoft.com/office/drawing/2012/chart" uri="{CE6537A1-D6FC-4f65-9D91-7224C49458BB}">
                <c15:showLeaderLines val="0"/>
              </c:ext>
            </c:extLst>
          </c:dLbls>
          <c:cat>
            <c:strRef>
              <c:f>categories</c:f>
              <c:strCache>
                <c:ptCount val="12"/>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1</c:f>
              <c:numCache>
                <c:formatCode>General</c:formatCode>
                <c:ptCount val="12"/>
                <c:pt idx="0">
                  <c:v>3</c:v>
                </c:pt>
                <c:pt idx="1">
                  <c:v>3</c:v>
                </c:pt>
                <c:pt idx="2">
                  <c:v>4</c:v>
                </c:pt>
                <c:pt idx="3">
                  <c:v>5</c:v>
                </c:pt>
                <c:pt idx="4">
                  <c:v>2</c:v>
                </c:pt>
                <c:pt idx="5">
                  <c:v>1</c:v>
                </c:pt>
                <c:pt idx="6">
                  <c:v>5</c:v>
                </c:pt>
                <c:pt idx="7">
                  <c:v>5</c:v>
                </c:pt>
                <c:pt idx="8">
                  <c:v>8</c:v>
                </c:pt>
                <c:pt idx="9">
                  <c:v>10</c:v>
                </c:pt>
                <c:pt idx="10">
                  <c:v>16</c:v>
                </c:pt>
                <c:pt idx="11">
                  <c:v>62</c:v>
                </c:pt>
              </c:numCache>
            </c:numRef>
          </c:val>
          <c:smooth val="0"/>
          <c:extLst xmlns:c16r2="http://schemas.microsoft.com/office/drawing/2015/06/chart">
            <c:ext xmlns:c16="http://schemas.microsoft.com/office/drawing/2014/chart" uri="{C3380CC4-5D6E-409C-BE32-E72D297353CC}">
              <c16:uniqueId val="{00000001-EBE2-4376-A0EA-865D617439B6}"/>
            </c:ext>
          </c:extLst>
        </c:ser>
        <c:ser>
          <c:idx val="2"/>
          <c:order val="2"/>
          <c:tx>
            <c:strRef>
              <c:f>label 2</c:f>
              <c:strCache>
                <c:ptCount val="1"/>
                <c:pt idx="0">
                  <c:v>TOTAIS</c:v>
                </c:pt>
              </c:strCache>
            </c:strRef>
          </c:tx>
          <c:spPr>
            <a:ln w="28440">
              <a:solidFill>
                <a:srgbClr val="A5A5A5"/>
              </a:solidFill>
              <a:round/>
            </a:ln>
          </c:spPr>
          <c:marker>
            <c:symbol val="none"/>
          </c:marker>
          <c:dLbls>
            <c:spPr>
              <a:noFill/>
              <a:ln>
                <a:noFill/>
              </a:ln>
              <a:effectLst/>
            </c:spPr>
            <c:dLblPos val="r"/>
            <c:showLegendKey val="0"/>
            <c:showVal val="0"/>
            <c:showCatName val="0"/>
            <c:showSerName val="0"/>
            <c:showPercent val="0"/>
            <c:showBubbleSize val="1"/>
            <c:showLeaderLines val="0"/>
            <c:extLst xmlns:c16r2="http://schemas.microsoft.com/office/drawing/2015/06/chart">
              <c:ext xmlns:c15="http://schemas.microsoft.com/office/drawing/2012/chart" uri="{CE6537A1-D6FC-4f65-9D91-7224C49458BB}">
                <c15:showLeaderLines val="0"/>
              </c:ext>
            </c:extLst>
          </c:dLbls>
          <c:cat>
            <c:strRef>
              <c:f>categories</c:f>
              <c:strCache>
                <c:ptCount val="12"/>
                <c:pt idx="0">
                  <c:v>2007</c:v>
                </c:pt>
                <c:pt idx="1">
                  <c:v>2008</c:v>
                </c:pt>
                <c:pt idx="2">
                  <c:v>2009</c:v>
                </c:pt>
                <c:pt idx="3">
                  <c:v>2010</c:v>
                </c:pt>
                <c:pt idx="4">
                  <c:v>2011</c:v>
                </c:pt>
                <c:pt idx="5">
                  <c:v>2012</c:v>
                </c:pt>
                <c:pt idx="6">
                  <c:v>2013</c:v>
                </c:pt>
                <c:pt idx="7">
                  <c:v>2014</c:v>
                </c:pt>
                <c:pt idx="8">
                  <c:v>2015</c:v>
                </c:pt>
                <c:pt idx="9">
                  <c:v>2016</c:v>
                </c:pt>
                <c:pt idx="10">
                  <c:v>2017</c:v>
                </c:pt>
              </c:strCache>
            </c:strRef>
          </c:cat>
          <c:val>
            <c:numRef>
              <c:f>2</c:f>
              <c:numCache>
                <c:formatCode>General</c:formatCode>
                <c:ptCount val="12"/>
                <c:pt idx="0">
                  <c:v>6</c:v>
                </c:pt>
                <c:pt idx="1">
                  <c:v>3</c:v>
                </c:pt>
                <c:pt idx="2">
                  <c:v>6</c:v>
                </c:pt>
                <c:pt idx="3">
                  <c:v>6</c:v>
                </c:pt>
                <c:pt idx="4">
                  <c:v>7</c:v>
                </c:pt>
                <c:pt idx="5">
                  <c:v>1</c:v>
                </c:pt>
                <c:pt idx="6">
                  <c:v>8</c:v>
                </c:pt>
                <c:pt idx="7">
                  <c:v>6</c:v>
                </c:pt>
                <c:pt idx="8">
                  <c:v>11</c:v>
                </c:pt>
                <c:pt idx="9">
                  <c:v>16</c:v>
                </c:pt>
                <c:pt idx="10">
                  <c:v>22</c:v>
                </c:pt>
                <c:pt idx="11">
                  <c:v>92</c:v>
                </c:pt>
              </c:numCache>
            </c:numRef>
          </c:val>
          <c:smooth val="0"/>
          <c:extLst xmlns:c16r2="http://schemas.microsoft.com/office/drawing/2015/06/chart">
            <c:ext xmlns:c16="http://schemas.microsoft.com/office/drawing/2014/chart" uri="{C3380CC4-5D6E-409C-BE32-E72D297353CC}">
              <c16:uniqueId val="{00000002-EBE2-4376-A0EA-865D617439B6}"/>
            </c:ext>
          </c:extLst>
        </c:ser>
        <c:dLbls>
          <c:showLegendKey val="0"/>
          <c:showVal val="0"/>
          <c:showCatName val="0"/>
          <c:showSerName val="0"/>
          <c:showPercent val="0"/>
          <c:showBubbleSize val="0"/>
        </c:dLbls>
        <c:hiLowLines>
          <c:spPr>
            <a:ln>
              <a:noFill/>
            </a:ln>
          </c:spPr>
        </c:hiLowLines>
        <c:marker val="1"/>
        <c:smooth val="0"/>
        <c:axId val="173937024"/>
        <c:axId val="173938560"/>
      </c:lineChart>
      <c:catAx>
        <c:axId val="173937024"/>
        <c:scaling>
          <c:orientation val="minMax"/>
        </c:scaling>
        <c:delete val="0"/>
        <c:axPos val="b"/>
        <c:numFmt formatCode="General" sourceLinked="1"/>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pt-BR"/>
          </a:p>
        </c:txPr>
        <c:crossAx val="173938560"/>
        <c:crosses val="autoZero"/>
        <c:auto val="1"/>
        <c:lblAlgn val="ctr"/>
        <c:lblOffset val="100"/>
        <c:noMultiLvlLbl val="1"/>
      </c:catAx>
      <c:valAx>
        <c:axId val="173938560"/>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pt-BR"/>
          </a:p>
        </c:txPr>
        <c:crossAx val="173937024"/>
        <c:crosses val="autoZero"/>
        <c:crossBetween val="midCat"/>
      </c:valAx>
      <c:spPr>
        <a:noFill/>
        <a:ln>
          <a:noFill/>
        </a:ln>
      </c:spPr>
    </c:plotArea>
    <c:legend>
      <c:legendPos val="b"/>
      <c:overlay val="0"/>
      <c:spPr>
        <a:noFill/>
        <a:ln>
          <a:noFill/>
        </a:ln>
      </c:spPr>
      <c:txPr>
        <a:bodyPr/>
        <a:lstStyle/>
        <a:p>
          <a:pPr>
            <a:defRPr sz="900" b="0" strike="noStrike" spc="-1">
              <a:solidFill>
                <a:srgbClr val="595959"/>
              </a:solidFill>
              <a:latin typeface="Calibri"/>
            </a:defRPr>
          </a:pPr>
          <a:endParaRPr lang="pt-BR"/>
        </a:p>
      </c:txPr>
    </c:legend>
    <c:plotVisOnly val="1"/>
    <c:dispBlanksAs val="gap"/>
    <c:showDLblsOverMax val="1"/>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'4 TESES-UNI-ANO'!$C$3</c:f>
              <c:strCache>
                <c:ptCount val="1"/>
                <c:pt idx="0">
                  <c:v>TOTAIS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'4 TESES-UNI-ANO'!$A$4:$B$23</c:f>
              <c:multiLvlStrCache>
                <c:ptCount val="20"/>
                <c:lvl>
                  <c:pt idx="0">
                    <c:v>UNICAMP</c:v>
                  </c:pt>
                  <c:pt idx="1">
                    <c:v>UNICAMP</c:v>
                  </c:pt>
                  <c:pt idx="2">
                    <c:v>UNICAMP</c:v>
                  </c:pt>
                  <c:pt idx="3">
                    <c:v>UFMG</c:v>
                  </c:pt>
                  <c:pt idx="4">
                    <c:v>UFRGS</c:v>
                  </c:pt>
                  <c:pt idx="5">
                    <c:v>UNICAMP</c:v>
                  </c:pt>
                  <c:pt idx="6">
                    <c:v>UNICAMP</c:v>
                  </c:pt>
                  <c:pt idx="7">
                    <c:v>USP</c:v>
                  </c:pt>
                  <c:pt idx="8">
                    <c:v>UNICAMP</c:v>
                  </c:pt>
                  <c:pt idx="9">
                    <c:v>UNICAMP</c:v>
                  </c:pt>
                  <c:pt idx="10">
                    <c:v>UFRGS</c:v>
                  </c:pt>
                  <c:pt idx="11">
                    <c:v>UFSCAR</c:v>
                  </c:pt>
                  <c:pt idx="12">
                    <c:v>UFPA</c:v>
                  </c:pt>
                  <c:pt idx="13">
                    <c:v>UNICAMP</c:v>
                  </c:pt>
                  <c:pt idx="14">
                    <c:v>UNINOVE</c:v>
                  </c:pt>
                  <c:pt idx="15">
                    <c:v>USF</c:v>
                  </c:pt>
                  <c:pt idx="16">
                    <c:v>UFBA</c:v>
                  </c:pt>
                  <c:pt idx="17">
                    <c:v>UFPR</c:v>
                  </c:pt>
                  <c:pt idx="18">
                    <c:v>UNICAMP</c:v>
                  </c:pt>
                  <c:pt idx="19">
                    <c:v>USP</c:v>
                  </c:pt>
                </c:lvl>
                <c:lvl>
                  <c:pt idx="0">
                    <c:v>2007</c:v>
                  </c:pt>
                  <c:pt idx="1">
                    <c:v>2009</c:v>
                  </c:pt>
                  <c:pt idx="2">
                    <c:v>2010</c:v>
                  </c:pt>
                  <c:pt idx="3">
                    <c:v>2011</c:v>
                  </c:pt>
                  <c:pt idx="6">
                    <c:v>2013</c:v>
                  </c:pt>
                  <c:pt idx="8">
                    <c:v>2014</c:v>
                  </c:pt>
                  <c:pt idx="9">
                    <c:v>2015</c:v>
                  </c:pt>
                  <c:pt idx="10">
                    <c:v>2016</c:v>
                  </c:pt>
                  <c:pt idx="16">
                    <c:v>2017</c:v>
                  </c:pt>
                </c:lvl>
              </c:multiLvlStrCache>
            </c:multiLvlStrRef>
          </c:cat>
          <c:val>
            <c:numRef>
              <c:f>'4 TESES-UNI-ANO'!$C$4:$C$23</c:f>
              <c:numCache>
                <c:formatCode>General</c:formatCode>
                <c:ptCount val="20"/>
                <c:pt idx="0">
                  <c:v>3</c:v>
                </c:pt>
                <c:pt idx="1">
                  <c:v>2</c:v>
                </c:pt>
                <c:pt idx="2">
                  <c:v>1</c:v>
                </c:pt>
                <c:pt idx="3">
                  <c:v>1</c:v>
                </c:pt>
                <c:pt idx="4">
                  <c:v>1</c:v>
                </c:pt>
                <c:pt idx="5">
                  <c:v>3</c:v>
                </c:pt>
                <c:pt idx="6">
                  <c:v>2</c:v>
                </c:pt>
                <c:pt idx="7">
                  <c:v>1</c:v>
                </c:pt>
                <c:pt idx="8">
                  <c:v>1</c:v>
                </c:pt>
                <c:pt idx="9">
                  <c:v>1</c:v>
                </c:pt>
                <c:pt idx="10">
                  <c:v>1</c:v>
                </c:pt>
                <c:pt idx="11">
                  <c:v>1</c:v>
                </c:pt>
                <c:pt idx="12">
                  <c:v>2</c:v>
                </c:pt>
                <c:pt idx="13">
                  <c:v>2</c:v>
                </c:pt>
                <c:pt idx="14">
                  <c:v>1</c:v>
                </c:pt>
                <c:pt idx="15">
                  <c:v>1</c:v>
                </c:pt>
                <c:pt idx="16">
                  <c:v>1</c:v>
                </c:pt>
                <c:pt idx="17">
                  <c:v>1</c:v>
                </c:pt>
                <c:pt idx="18">
                  <c:v>3</c:v>
                </c:pt>
                <c:pt idx="19">
                  <c:v>1</c:v>
                </c:pt>
              </c:numCache>
            </c:numRef>
          </c:val>
          <c:extLst xmlns:c16r2="http://schemas.microsoft.com/office/drawing/2015/06/chart">
            <c:ext xmlns:c16="http://schemas.microsoft.com/office/drawing/2014/chart" uri="{C3380CC4-5D6E-409C-BE32-E72D297353CC}">
              <c16:uniqueId val="{00000000-CCC1-413B-A9C5-8E67BB4E8581}"/>
            </c:ext>
          </c:extLst>
        </c:ser>
        <c:dLbls>
          <c:showLegendKey val="0"/>
          <c:showVal val="1"/>
          <c:showCatName val="0"/>
          <c:showSerName val="0"/>
          <c:showPercent val="0"/>
          <c:showBubbleSize val="0"/>
        </c:dLbls>
        <c:gapWidth val="150"/>
        <c:overlap val="-25"/>
        <c:axId val="173966464"/>
        <c:axId val="173973504"/>
      </c:barChart>
      <c:catAx>
        <c:axId val="17396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73973504"/>
        <c:crosses val="autoZero"/>
        <c:auto val="1"/>
        <c:lblAlgn val="ctr"/>
        <c:lblOffset val="100"/>
        <c:noMultiLvlLbl val="0"/>
      </c:catAx>
      <c:valAx>
        <c:axId val="173973504"/>
        <c:scaling>
          <c:orientation val="minMax"/>
        </c:scaling>
        <c:delete val="1"/>
        <c:axPos val="l"/>
        <c:numFmt formatCode="General" sourceLinked="1"/>
        <c:majorTickMark val="none"/>
        <c:minorTickMark val="none"/>
        <c:tickLblPos val="nextTo"/>
        <c:crossAx val="173966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strCache>
            </c:strRef>
          </c:tx>
          <c:spPr>
            <a:solidFill>
              <a:srgbClr val="5B9BD5"/>
            </a:solidFill>
            <a:ln>
              <a:noFill/>
            </a:ln>
          </c:spPr>
          <c:invertIfNegative val="0"/>
          <c:dLbls>
            <c:spPr>
              <a:noFill/>
              <a:ln>
                <a:noFill/>
              </a:ln>
              <a:effectLst/>
            </c:spPr>
            <c:dLblPos val="outEnd"/>
            <c:showLegendKey val="0"/>
            <c:showVal val="0"/>
            <c:showCatName val="0"/>
            <c:showSerName val="0"/>
            <c:showPercent val="0"/>
            <c:showBubbleSize val="1"/>
            <c:showLeaderLines val="0"/>
            <c:extLst xmlns:c16r2="http://schemas.microsoft.com/office/drawing/2015/06/chart">
              <c:ext xmlns:c15="http://schemas.microsoft.com/office/drawing/2012/chart" uri="{CE6537A1-D6FC-4f65-9D91-7224C49458BB}">
                <c15:showLeaderLines val="0"/>
              </c:ext>
            </c:extLst>
          </c:dLbls>
          <c:cat>
            <c:strRef>
              <c:f>categories</c:f>
              <c:strCache>
                <c:ptCount val="6"/>
                <c:pt idx="0">
                  <c:v>Infantil</c:v>
                </c:pt>
                <c:pt idx="1">
                  <c:v>Fundamental</c:v>
                </c:pt>
                <c:pt idx="2">
                  <c:v>Médio</c:v>
                </c:pt>
                <c:pt idx="3">
                  <c:v>Graduação</c:v>
                </c:pt>
                <c:pt idx="4">
                  <c:v>Pós-graduação</c:v>
                </c:pt>
                <c:pt idx="5">
                  <c:v>EJA</c:v>
                </c:pt>
              </c:strCache>
            </c:strRef>
          </c:cat>
          <c:val>
            <c:numRef>
              <c:f>0</c:f>
              <c:numCache>
                <c:formatCode>General</c:formatCode>
                <c:ptCount val="6"/>
                <c:pt idx="0">
                  <c:v>4</c:v>
                </c:pt>
                <c:pt idx="1">
                  <c:v>29</c:v>
                </c:pt>
                <c:pt idx="2">
                  <c:v>25</c:v>
                </c:pt>
                <c:pt idx="3">
                  <c:v>30</c:v>
                </c:pt>
                <c:pt idx="4">
                  <c:v>3</c:v>
                </c:pt>
                <c:pt idx="5">
                  <c:v>2</c:v>
                </c:pt>
              </c:numCache>
            </c:numRef>
          </c:val>
          <c:extLst xmlns:c16r2="http://schemas.microsoft.com/office/drawing/2015/06/chart">
            <c:ext xmlns:c16="http://schemas.microsoft.com/office/drawing/2014/chart" uri="{C3380CC4-5D6E-409C-BE32-E72D297353CC}">
              <c16:uniqueId val="{00000000-F9D8-4ECD-A070-E1D67ED434E9}"/>
            </c:ext>
          </c:extLst>
        </c:ser>
        <c:dLbls>
          <c:showLegendKey val="0"/>
          <c:showVal val="0"/>
          <c:showCatName val="0"/>
          <c:showSerName val="0"/>
          <c:showPercent val="0"/>
          <c:showBubbleSize val="0"/>
        </c:dLbls>
        <c:gapWidth val="219"/>
        <c:overlap val="-27"/>
        <c:axId val="173982080"/>
        <c:axId val="173983616"/>
      </c:barChart>
      <c:catAx>
        <c:axId val="173982080"/>
        <c:scaling>
          <c:orientation val="minMax"/>
        </c:scaling>
        <c:delete val="0"/>
        <c:axPos val="b"/>
        <c:numFmt formatCode="General" sourceLinked="1"/>
        <c:majorTickMark val="none"/>
        <c:minorTickMark val="none"/>
        <c:tickLblPos val="nextTo"/>
        <c:spPr>
          <a:ln w="9360">
            <a:solidFill>
              <a:srgbClr val="D9D9D9"/>
            </a:solidFill>
            <a:round/>
          </a:ln>
        </c:spPr>
        <c:txPr>
          <a:bodyPr/>
          <a:lstStyle/>
          <a:p>
            <a:pPr>
              <a:defRPr sz="900" b="0" strike="noStrike" spc="-1">
                <a:solidFill>
                  <a:srgbClr val="595959"/>
                </a:solidFill>
                <a:latin typeface="Times New Roman"/>
              </a:defRPr>
            </a:pPr>
            <a:endParaRPr lang="pt-BR"/>
          </a:p>
        </c:txPr>
        <c:crossAx val="173983616"/>
        <c:crosses val="autoZero"/>
        <c:auto val="1"/>
        <c:lblAlgn val="ctr"/>
        <c:lblOffset val="100"/>
        <c:noMultiLvlLbl val="1"/>
      </c:catAx>
      <c:valAx>
        <c:axId val="173983616"/>
        <c:scaling>
          <c:orientation val="minMax"/>
        </c:scaling>
        <c:delete val="0"/>
        <c:axPos val="l"/>
        <c:majorGridlines>
          <c:spPr>
            <a:ln w="9360">
              <a:solidFill>
                <a:srgbClr val="D9D9D9"/>
              </a:solidFill>
              <a:round/>
            </a:ln>
          </c:spPr>
        </c:majorGridlines>
        <c:numFmt formatCode="General" sourceLinked="0"/>
        <c:majorTickMark val="none"/>
        <c:minorTickMark val="none"/>
        <c:tickLblPos val="nextTo"/>
        <c:spPr>
          <a:ln w="6480">
            <a:noFill/>
          </a:ln>
        </c:spPr>
        <c:txPr>
          <a:bodyPr/>
          <a:lstStyle/>
          <a:p>
            <a:pPr>
              <a:defRPr sz="900" b="0" strike="noStrike" spc="-1">
                <a:solidFill>
                  <a:srgbClr val="595959"/>
                </a:solidFill>
                <a:latin typeface="Times New Roman"/>
              </a:defRPr>
            </a:pPr>
            <a:endParaRPr lang="pt-BR"/>
          </a:p>
        </c:txPr>
        <c:crossAx val="173982080"/>
        <c:crosses val="autoZero"/>
        <c:crossBetween val="between"/>
      </c:valAx>
      <c:spPr>
        <a:noFill/>
        <a:ln>
          <a:noFill/>
        </a:ln>
      </c:spPr>
    </c:plotArea>
    <c:plotVisOnly val="1"/>
    <c:dispBlanksAs val="gap"/>
    <c:showDLblsOverMax val="1"/>
  </c:chart>
  <c:spPr>
    <a:solidFill>
      <a:srgbClr val="FFFFFF"/>
    </a:solidFill>
    <a:ln w="9360">
      <a:solidFill>
        <a:srgbClr val="D9D9D9"/>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cat>
            <c:strRef>
              <c:f>Plan1!$C$2:$C$14</c:f>
              <c:strCache>
                <c:ptCount val="13"/>
                <c:pt idx="0">
                  <c:v>Ensino de língua estrangeira</c:v>
                </c:pt>
                <c:pt idx="1">
                  <c:v>Ensino de estatística</c:v>
                </c:pt>
                <c:pt idx="2">
                  <c:v>Ensino de Arte</c:v>
                </c:pt>
                <c:pt idx="3">
                  <c:v>Trabalho</c:v>
                </c:pt>
                <c:pt idx="4">
                  <c:v>Educação Física</c:v>
                </c:pt>
                <c:pt idx="5">
                  <c:v>Computacional docente </c:v>
                </c:pt>
                <c:pt idx="6">
                  <c:v>Ensino de Física</c:v>
                </c:pt>
                <c:pt idx="7">
                  <c:v>Acadêmica</c:v>
                </c:pt>
                <c:pt idx="8">
                  <c:v>Ensino de Matemática</c:v>
                </c:pt>
                <c:pt idx="9">
                  <c:v>Transição da graduação para a vida profissional</c:v>
                </c:pt>
                <c:pt idx="10">
                  <c:v>Ensino de Música </c:v>
                </c:pt>
                <c:pt idx="11">
                  <c:v>Alunos</c:v>
                </c:pt>
                <c:pt idx="12">
                  <c:v>Docência</c:v>
                </c:pt>
              </c:strCache>
            </c:strRef>
          </c:cat>
          <c:val>
            <c:numRef>
              <c:f>Plan1!$D$2:$D$14</c:f>
              <c:numCache>
                <c:formatCode>General</c:formatCode>
                <c:ptCount val="13"/>
                <c:pt idx="0">
                  <c:v>1</c:v>
                </c:pt>
                <c:pt idx="1">
                  <c:v>1</c:v>
                </c:pt>
                <c:pt idx="2">
                  <c:v>1</c:v>
                </c:pt>
                <c:pt idx="3">
                  <c:v>2</c:v>
                </c:pt>
                <c:pt idx="4">
                  <c:v>5</c:v>
                </c:pt>
                <c:pt idx="5">
                  <c:v>5</c:v>
                </c:pt>
                <c:pt idx="6">
                  <c:v>6</c:v>
                </c:pt>
                <c:pt idx="7">
                  <c:v>7</c:v>
                </c:pt>
                <c:pt idx="8">
                  <c:v>8</c:v>
                </c:pt>
                <c:pt idx="9">
                  <c:v>10</c:v>
                </c:pt>
                <c:pt idx="10">
                  <c:v>10</c:v>
                </c:pt>
                <c:pt idx="11">
                  <c:v>18</c:v>
                </c:pt>
                <c:pt idx="12">
                  <c:v>23</c:v>
                </c:pt>
              </c:numCache>
            </c:numRef>
          </c:val>
          <c:extLst xmlns:c16r2="http://schemas.microsoft.com/office/drawing/2015/06/chart">
            <c:ext xmlns:c16="http://schemas.microsoft.com/office/drawing/2014/chart" uri="{C3380CC4-5D6E-409C-BE32-E72D297353CC}">
              <c16:uniqueId val="{00000000-C6A5-43D3-A46F-C8D5B2D5FDEE}"/>
            </c:ext>
          </c:extLst>
        </c:ser>
        <c:dLbls>
          <c:showLegendKey val="0"/>
          <c:showVal val="0"/>
          <c:showCatName val="0"/>
          <c:showSerName val="0"/>
          <c:showPercent val="0"/>
          <c:showBubbleSize val="0"/>
        </c:dLbls>
        <c:gapWidth val="150"/>
        <c:axId val="174212608"/>
        <c:axId val="174214144"/>
      </c:barChart>
      <c:catAx>
        <c:axId val="174212608"/>
        <c:scaling>
          <c:orientation val="minMax"/>
        </c:scaling>
        <c:delete val="0"/>
        <c:axPos val="l"/>
        <c:numFmt formatCode="General" sourceLinked="0"/>
        <c:majorTickMark val="out"/>
        <c:minorTickMark val="none"/>
        <c:tickLblPos val="nextTo"/>
        <c:crossAx val="174214144"/>
        <c:crosses val="autoZero"/>
        <c:auto val="1"/>
        <c:lblAlgn val="ctr"/>
        <c:lblOffset val="100"/>
        <c:noMultiLvlLbl val="0"/>
      </c:catAx>
      <c:valAx>
        <c:axId val="174214144"/>
        <c:scaling>
          <c:orientation val="minMax"/>
        </c:scaling>
        <c:delete val="0"/>
        <c:axPos val="b"/>
        <c:majorGridlines/>
        <c:numFmt formatCode="General" sourceLinked="1"/>
        <c:majorTickMark val="out"/>
        <c:minorTickMark val="none"/>
        <c:tickLblPos val="nextTo"/>
        <c:crossAx val="17421260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mbra Extre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19105-AA78-47C5-AA83-D464DEFCA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7106</Words>
  <Characters>38375</Characters>
  <Application>Microsoft Office Word</Application>
  <DocSecurity>0</DocSecurity>
  <Lines>319</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Artigo</vt:lpstr>
      <vt:lpstr>Artigo</vt:lpstr>
    </vt:vector>
  </TitlesOfParts>
  <Company>Particular</Company>
  <LinksUpToDate>false</LinksUpToDate>
  <CharactersWithSpaces>45391</CharactersWithSpaces>
  <SharedDoc>false</SharedDoc>
  <HLinks>
    <vt:vector size="12" baseType="variant">
      <vt:variant>
        <vt:i4>6815869</vt:i4>
      </vt:variant>
      <vt:variant>
        <vt:i4>3</vt:i4>
      </vt:variant>
      <vt:variant>
        <vt:i4>0</vt:i4>
      </vt:variant>
      <vt:variant>
        <vt:i4>5</vt:i4>
      </vt:variant>
      <vt:variant>
        <vt:lpwstr>http://www.planalto.gov.br/ccivil_03/_Ato2015-2018/2016/Lei/L13278.htm</vt:lpwstr>
      </vt:variant>
      <vt:variant>
        <vt:lpwstr/>
      </vt:variant>
      <vt:variant>
        <vt:i4>7143547</vt:i4>
      </vt:variant>
      <vt:variant>
        <vt:i4>0</vt:i4>
      </vt:variant>
      <vt:variant>
        <vt:i4>0</vt:i4>
      </vt:variant>
      <vt:variant>
        <vt:i4>5</vt:i4>
      </vt:variant>
      <vt:variant>
        <vt:lpwstr>http://www.planalto.gov.br/ccivil_03/_ato2007-2010/2010/lei/l12244.htm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Artigo</dc:title>
  <dc:subject>Template</dc:subject>
  <dc:creator>AtoZ: novas práticas em informação e conhecimento</dc:creator>
  <cp:lastModifiedBy>User</cp:lastModifiedBy>
  <cp:revision>2</cp:revision>
  <cp:lastPrinted>2017-04-06T14:02:00Z</cp:lastPrinted>
  <dcterms:created xsi:type="dcterms:W3CDTF">2019-09-30T16:55:00Z</dcterms:created>
  <dcterms:modified xsi:type="dcterms:W3CDTF">2019-09-30T16:55:00Z</dcterms:modified>
</cp:coreProperties>
</file>