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F999" w14:textId="1F59B48D" w:rsidR="00CF0556" w:rsidRPr="00CF0556" w:rsidRDefault="00CF0556" w:rsidP="00CF0556">
      <w:pPr>
        <w:spacing w:line="240" w:lineRule="auto"/>
        <w:jc w:val="left"/>
        <w:rPr>
          <w:rFonts w:ascii="Times New Roman" w:eastAsia="Times New Roman" w:hAnsi="Times New Roman" w:cs="Times New Roman"/>
          <w:color w:val="000000"/>
          <w:sz w:val="24"/>
          <w:szCs w:val="24"/>
          <w:lang w:val="en-BR"/>
        </w:rPr>
      </w:pPr>
      <w:r w:rsidRPr="00CF0556">
        <w:rPr>
          <w:rFonts w:ascii="Times New Roman" w:eastAsia="Times New Roman" w:hAnsi="Times New Roman" w:cs="Times New Roman"/>
          <w:color w:val="000000"/>
          <w:sz w:val="24"/>
          <w:szCs w:val="24"/>
          <w:lang w:val="en-BR"/>
        </w:rPr>
        <w:fldChar w:fldCharType="begin"/>
      </w:r>
      <w:r w:rsidRPr="00CF0556">
        <w:rPr>
          <w:rFonts w:ascii="Times New Roman" w:eastAsia="Times New Roman" w:hAnsi="Times New Roman" w:cs="Times New Roman"/>
          <w:color w:val="000000"/>
          <w:sz w:val="24"/>
          <w:szCs w:val="24"/>
          <w:lang w:val="en-BR"/>
        </w:rPr>
        <w:instrText xml:space="preserve"> HYPERLINK "https://doi.org/10.1590/1678-460x202148237" </w:instrText>
      </w:r>
      <w:r w:rsidRPr="00CF0556">
        <w:rPr>
          <w:rFonts w:ascii="Times New Roman" w:eastAsia="Times New Roman" w:hAnsi="Times New Roman" w:cs="Times New Roman"/>
          <w:color w:val="000000"/>
          <w:sz w:val="24"/>
          <w:szCs w:val="24"/>
          <w:lang w:val="en-BR"/>
        </w:rPr>
        <w:fldChar w:fldCharType="separate"/>
      </w:r>
      <w:r w:rsidRPr="00CF0556">
        <w:rPr>
          <w:rStyle w:val="Hyperlink"/>
          <w:rFonts w:ascii="Times New Roman" w:eastAsia="Times New Roman" w:hAnsi="Times New Roman" w:cs="Times New Roman"/>
          <w:sz w:val="24"/>
          <w:szCs w:val="24"/>
          <w:lang w:val="en-BR"/>
        </w:rPr>
        <w:t>https://doi.org/10.1590/1678-460x202148237</w:t>
      </w:r>
      <w:r w:rsidRPr="00CF0556">
        <w:rPr>
          <w:rFonts w:ascii="Times New Roman" w:eastAsia="Times New Roman" w:hAnsi="Times New Roman" w:cs="Times New Roman"/>
          <w:color w:val="000000"/>
          <w:sz w:val="24"/>
          <w:szCs w:val="24"/>
          <w:lang w:val="en-BR"/>
        </w:rPr>
        <w:fldChar w:fldCharType="end"/>
      </w:r>
    </w:p>
    <w:p w14:paraId="0C7FE12E" w14:textId="77777777" w:rsidR="00CF0556" w:rsidRPr="00CF0556" w:rsidRDefault="00CF0556" w:rsidP="00CF0556">
      <w:pPr>
        <w:spacing w:line="240" w:lineRule="auto"/>
        <w:jc w:val="left"/>
        <w:rPr>
          <w:rFonts w:ascii="Times New Roman" w:eastAsia="Times New Roman" w:hAnsi="Times New Roman" w:cs="Times New Roman"/>
          <w:sz w:val="24"/>
          <w:szCs w:val="24"/>
          <w:lang w:val="en-BR"/>
        </w:rPr>
      </w:pPr>
    </w:p>
    <w:p w14:paraId="0781172C" w14:textId="24356369" w:rsidR="0065612C" w:rsidRDefault="0065612C" w:rsidP="00CF0556">
      <w:pPr>
        <w:pBdr>
          <w:top w:val="nil"/>
          <w:left w:val="nil"/>
          <w:bottom w:val="nil"/>
          <w:right w:val="nil"/>
          <w:between w:val="nil"/>
        </w:pBdr>
        <w:spacing w:before="120" w:after="120"/>
        <w:rPr>
          <w:color w:val="000000"/>
          <w:sz w:val="24"/>
          <w:szCs w:val="24"/>
        </w:rPr>
      </w:pPr>
      <w:r w:rsidRPr="00CF0556">
        <w:rPr>
          <w:noProof/>
          <w:sz w:val="24"/>
          <w:szCs w:val="24"/>
        </w:rPr>
        <w:drawing>
          <wp:anchor distT="0" distB="0" distL="0" distR="0" simplePos="0" relativeHeight="251659264" behindDoc="1" locked="0" layoutInCell="1" hidden="0" allowOverlap="1" wp14:anchorId="7280248B" wp14:editId="3906DCB6">
            <wp:simplePos x="0" y="0"/>
            <wp:positionH relativeFrom="column">
              <wp:posOffset>4867772</wp:posOffset>
            </wp:positionH>
            <wp:positionV relativeFrom="paragraph">
              <wp:posOffset>-518793</wp:posOffset>
            </wp:positionV>
            <wp:extent cx="927100" cy="932815"/>
            <wp:effectExtent l="0" t="0" r="0" b="0"/>
            <wp:wrapNone/>
            <wp:docPr id="1" name="image1.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application&#10;&#10;Description automatically generated"/>
                    <pic:cNvPicPr preferRelativeResize="0"/>
                  </pic:nvPicPr>
                  <pic:blipFill>
                    <a:blip r:embed="rId7"/>
                    <a:srcRect/>
                    <a:stretch>
                      <a:fillRect/>
                    </a:stretch>
                  </pic:blipFill>
                  <pic:spPr>
                    <a:xfrm>
                      <a:off x="0" y="0"/>
                      <a:ext cx="927100" cy="932815"/>
                    </a:xfrm>
                    <a:prstGeom prst="rect">
                      <a:avLst/>
                    </a:prstGeom>
                    <a:ln/>
                  </pic:spPr>
                </pic:pic>
              </a:graphicData>
            </a:graphic>
          </wp:anchor>
        </w:drawing>
      </w:r>
    </w:p>
    <w:p w14:paraId="2F3375FB" w14:textId="77777777" w:rsidR="00CF0556" w:rsidRPr="00CF0556" w:rsidRDefault="00CF0556" w:rsidP="00CF0556">
      <w:pPr>
        <w:pBdr>
          <w:top w:val="nil"/>
          <w:left w:val="nil"/>
          <w:bottom w:val="nil"/>
          <w:right w:val="nil"/>
          <w:between w:val="nil"/>
        </w:pBdr>
        <w:spacing w:before="120" w:after="120"/>
        <w:rPr>
          <w:color w:val="000000"/>
          <w:sz w:val="24"/>
          <w:szCs w:val="24"/>
        </w:rPr>
      </w:pPr>
    </w:p>
    <w:p w14:paraId="7E62A08A" w14:textId="77777777" w:rsidR="0065612C" w:rsidRPr="00CF0556" w:rsidRDefault="0065612C" w:rsidP="0065612C">
      <w:pPr>
        <w:spacing w:after="120"/>
        <w:rPr>
          <w:rFonts w:ascii="Times New Roman" w:hAnsi="Times New Roman" w:cs="Times New Roman"/>
          <w:b/>
          <w:bCs/>
          <w:sz w:val="24"/>
          <w:szCs w:val="24"/>
        </w:rPr>
      </w:pPr>
      <w:r w:rsidRPr="00CF0556">
        <w:rPr>
          <w:rFonts w:ascii="Times New Roman" w:hAnsi="Times New Roman" w:cs="Times New Roman"/>
          <w:b/>
          <w:bCs/>
          <w:sz w:val="24"/>
          <w:szCs w:val="24"/>
        </w:rPr>
        <w:t>Indicador de evolução da competência leitora na educação especial: uma proposta de indicador educacional</w:t>
      </w:r>
    </w:p>
    <w:p w14:paraId="28B5B8C2" w14:textId="0BC4176A" w:rsidR="0065612C" w:rsidRPr="00CF0556" w:rsidRDefault="004601B0" w:rsidP="0065612C">
      <w:pPr>
        <w:spacing w:after="120"/>
        <w:rPr>
          <w:rFonts w:ascii="Times New Roman" w:hAnsi="Times New Roman" w:cs="Times New Roman"/>
          <w:b/>
          <w:bCs/>
          <w:sz w:val="24"/>
          <w:szCs w:val="24"/>
          <w:lang w:val="en-US"/>
        </w:rPr>
      </w:pPr>
      <w:r>
        <w:rPr>
          <w:rFonts w:ascii="Times New Roman" w:hAnsi="Times New Roman" w:cs="Times New Roman"/>
          <w:b/>
          <w:bCs/>
          <w:sz w:val="24"/>
          <w:szCs w:val="24"/>
          <w:lang w:val="en-US"/>
        </w:rPr>
        <w:t>R</w:t>
      </w:r>
      <w:r w:rsidR="0065612C" w:rsidRPr="00CF0556">
        <w:rPr>
          <w:rFonts w:ascii="Times New Roman" w:hAnsi="Times New Roman" w:cs="Times New Roman"/>
          <w:b/>
          <w:bCs/>
          <w:sz w:val="24"/>
          <w:szCs w:val="24"/>
          <w:lang w:val="en-US"/>
        </w:rPr>
        <w:t xml:space="preserve">eading competence </w:t>
      </w:r>
      <w:r>
        <w:rPr>
          <w:rFonts w:ascii="Times New Roman" w:hAnsi="Times New Roman" w:cs="Times New Roman"/>
          <w:b/>
          <w:bCs/>
          <w:sz w:val="24"/>
          <w:szCs w:val="24"/>
          <w:lang w:val="en-US"/>
        </w:rPr>
        <w:t xml:space="preserve">evolution indicator </w:t>
      </w:r>
      <w:r w:rsidR="0065612C" w:rsidRPr="00CF0556">
        <w:rPr>
          <w:rFonts w:ascii="Times New Roman" w:hAnsi="Times New Roman" w:cs="Times New Roman"/>
          <w:b/>
          <w:bCs/>
          <w:sz w:val="24"/>
          <w:szCs w:val="24"/>
          <w:lang w:val="en-US"/>
        </w:rPr>
        <w:t xml:space="preserve">in special education: a proposal for </w:t>
      </w:r>
      <w:r w:rsidR="00DD74F7">
        <w:rPr>
          <w:rFonts w:ascii="Times New Roman" w:hAnsi="Times New Roman" w:cs="Times New Roman"/>
          <w:b/>
          <w:bCs/>
          <w:sz w:val="24"/>
          <w:szCs w:val="24"/>
          <w:lang w:val="en-US"/>
        </w:rPr>
        <w:t xml:space="preserve">an </w:t>
      </w:r>
      <w:r w:rsidR="0065612C" w:rsidRPr="00CF0556">
        <w:rPr>
          <w:rFonts w:ascii="Times New Roman" w:hAnsi="Times New Roman" w:cs="Times New Roman"/>
          <w:b/>
          <w:bCs/>
          <w:sz w:val="24"/>
          <w:szCs w:val="24"/>
          <w:lang w:val="en-US"/>
        </w:rPr>
        <w:t>educational indicator</w:t>
      </w:r>
    </w:p>
    <w:p w14:paraId="5E7DB03C" w14:textId="77777777" w:rsidR="0065612C" w:rsidRPr="00CF0556" w:rsidRDefault="0065612C" w:rsidP="0065612C">
      <w:pPr>
        <w:pBdr>
          <w:top w:val="nil"/>
          <w:left w:val="nil"/>
          <w:bottom w:val="nil"/>
          <w:right w:val="nil"/>
          <w:between w:val="nil"/>
        </w:pBdr>
        <w:spacing w:before="120" w:after="120"/>
        <w:rPr>
          <w:rFonts w:ascii="Times New Roman" w:hAnsi="Times New Roman" w:cs="Times New Roman"/>
          <w:color w:val="000000"/>
          <w:sz w:val="24"/>
          <w:szCs w:val="24"/>
          <w:lang w:val="en-US"/>
        </w:rPr>
      </w:pPr>
    </w:p>
    <w:p w14:paraId="16DECBC3" w14:textId="77777777" w:rsidR="0065612C" w:rsidRPr="00CF0556" w:rsidRDefault="0065612C" w:rsidP="0065612C">
      <w:pPr>
        <w:pBdr>
          <w:top w:val="nil"/>
          <w:left w:val="nil"/>
          <w:bottom w:val="nil"/>
          <w:right w:val="nil"/>
          <w:between w:val="nil"/>
        </w:pBdr>
        <w:spacing w:before="120" w:after="120"/>
        <w:jc w:val="right"/>
        <w:rPr>
          <w:rFonts w:ascii="Times New Roman" w:hAnsi="Times New Roman" w:cs="Times New Roman"/>
          <w:i/>
          <w:iCs/>
          <w:color w:val="000000"/>
          <w:sz w:val="24"/>
          <w:szCs w:val="24"/>
        </w:rPr>
      </w:pPr>
      <w:r w:rsidRPr="00CF0556">
        <w:rPr>
          <w:rFonts w:ascii="Times New Roman" w:eastAsia="Arial" w:hAnsi="Times New Roman" w:cs="Times New Roman"/>
          <w:i/>
          <w:iCs/>
          <w:sz w:val="24"/>
          <w:szCs w:val="24"/>
        </w:rPr>
        <w:t xml:space="preserve">Edlaine Souza Pereira </w:t>
      </w:r>
      <w:r w:rsidRPr="00CF0556">
        <w:rPr>
          <w:rFonts w:ascii="Times New Roman" w:hAnsi="Times New Roman" w:cs="Times New Roman"/>
          <w:i/>
          <w:iCs/>
          <w:color w:val="000000"/>
          <w:sz w:val="24"/>
          <w:szCs w:val="24"/>
          <w:vertAlign w:val="superscript"/>
        </w:rPr>
        <w:t>1</w:t>
      </w:r>
    </w:p>
    <w:p w14:paraId="7C3BA2C5" w14:textId="77777777" w:rsidR="0065612C" w:rsidRPr="00CF0556" w:rsidRDefault="0065612C" w:rsidP="0065612C">
      <w:pPr>
        <w:pBdr>
          <w:top w:val="nil"/>
          <w:left w:val="nil"/>
          <w:bottom w:val="nil"/>
          <w:right w:val="nil"/>
          <w:between w:val="nil"/>
        </w:pBdr>
        <w:spacing w:before="120" w:after="120"/>
        <w:jc w:val="right"/>
        <w:rPr>
          <w:rFonts w:ascii="Times New Roman" w:hAnsi="Times New Roman" w:cs="Times New Roman"/>
          <w:i/>
          <w:iCs/>
          <w:color w:val="000000"/>
          <w:sz w:val="24"/>
          <w:szCs w:val="24"/>
        </w:rPr>
      </w:pPr>
      <w:r w:rsidRPr="00CF0556">
        <w:rPr>
          <w:rFonts w:ascii="Times New Roman" w:hAnsi="Times New Roman" w:cs="Times New Roman"/>
          <w:i/>
          <w:iCs/>
          <w:color w:val="000000"/>
          <w:sz w:val="24"/>
          <w:szCs w:val="24"/>
        </w:rPr>
        <w:t>Luciana Mendonça Alves</w:t>
      </w:r>
      <w:r w:rsidRPr="00CF0556">
        <w:rPr>
          <w:rFonts w:ascii="Times New Roman" w:hAnsi="Times New Roman" w:cs="Times New Roman"/>
          <w:i/>
          <w:iCs/>
          <w:color w:val="000000"/>
          <w:sz w:val="24"/>
          <w:szCs w:val="24"/>
          <w:vertAlign w:val="superscript"/>
        </w:rPr>
        <w:t xml:space="preserve"> 2</w:t>
      </w:r>
    </w:p>
    <w:p w14:paraId="16E062D8" w14:textId="77777777" w:rsidR="0065612C" w:rsidRPr="00CF0556" w:rsidRDefault="0065612C" w:rsidP="0065612C">
      <w:pPr>
        <w:pBdr>
          <w:top w:val="nil"/>
          <w:left w:val="nil"/>
          <w:bottom w:val="nil"/>
          <w:right w:val="nil"/>
          <w:between w:val="nil"/>
        </w:pBdr>
        <w:spacing w:before="120" w:after="120"/>
        <w:jc w:val="right"/>
        <w:rPr>
          <w:rFonts w:ascii="Times New Roman" w:hAnsi="Times New Roman" w:cs="Times New Roman"/>
          <w:i/>
          <w:iCs/>
          <w:color w:val="000000"/>
          <w:sz w:val="24"/>
          <w:szCs w:val="24"/>
          <w:vertAlign w:val="superscript"/>
        </w:rPr>
      </w:pPr>
      <w:r w:rsidRPr="00CF0556">
        <w:rPr>
          <w:rFonts w:ascii="Times New Roman" w:eastAsia="Arial" w:hAnsi="Times New Roman" w:cs="Times New Roman"/>
          <w:i/>
          <w:iCs/>
          <w:sz w:val="24"/>
          <w:szCs w:val="24"/>
        </w:rPr>
        <w:t xml:space="preserve">Vanessa de Oliveira Martins-Reis </w:t>
      </w:r>
      <w:r w:rsidRPr="00CF0556">
        <w:rPr>
          <w:rFonts w:ascii="Times New Roman" w:hAnsi="Times New Roman" w:cs="Times New Roman"/>
          <w:i/>
          <w:iCs/>
          <w:color w:val="000000"/>
          <w:sz w:val="24"/>
          <w:szCs w:val="24"/>
          <w:vertAlign w:val="superscript"/>
        </w:rPr>
        <w:t>3</w:t>
      </w:r>
    </w:p>
    <w:p w14:paraId="393CB4F0" w14:textId="77777777" w:rsidR="0065612C" w:rsidRPr="0065612C" w:rsidRDefault="0065612C" w:rsidP="0065612C">
      <w:pPr>
        <w:pBdr>
          <w:top w:val="nil"/>
          <w:left w:val="nil"/>
          <w:bottom w:val="nil"/>
          <w:right w:val="nil"/>
          <w:between w:val="nil"/>
        </w:pBdr>
        <w:spacing w:before="120" w:after="120"/>
        <w:jc w:val="right"/>
        <w:rPr>
          <w:rFonts w:ascii="Times New Roman" w:hAnsi="Times New Roman" w:cs="Times New Roman"/>
          <w:color w:val="000000"/>
          <w:sz w:val="24"/>
          <w:szCs w:val="24"/>
        </w:rPr>
      </w:pPr>
      <w:r w:rsidRPr="00CF0556">
        <w:rPr>
          <w:rFonts w:ascii="Times New Roman" w:eastAsia="Arial" w:hAnsi="Times New Roman" w:cs="Times New Roman"/>
          <w:i/>
          <w:iCs/>
          <w:sz w:val="24"/>
          <w:szCs w:val="24"/>
        </w:rPr>
        <w:t>Leticia Correa Celeste</w:t>
      </w:r>
      <w:r w:rsidRPr="0065612C">
        <w:rPr>
          <w:rFonts w:ascii="Times New Roman" w:eastAsia="Arial" w:hAnsi="Times New Roman" w:cs="Times New Roman"/>
          <w:sz w:val="24"/>
          <w:szCs w:val="24"/>
        </w:rPr>
        <w:t xml:space="preserve"> </w:t>
      </w:r>
      <w:r w:rsidRPr="0065612C">
        <w:rPr>
          <w:rFonts w:ascii="Times New Roman" w:eastAsia="Arial" w:hAnsi="Times New Roman" w:cs="Times New Roman"/>
          <w:sz w:val="24"/>
          <w:szCs w:val="24"/>
          <w:vertAlign w:val="superscript"/>
        </w:rPr>
        <w:t>4</w:t>
      </w:r>
    </w:p>
    <w:p w14:paraId="68F62511" w14:textId="77777777" w:rsidR="0065612C" w:rsidRPr="0065612C" w:rsidRDefault="0065612C" w:rsidP="0065612C">
      <w:pPr>
        <w:spacing w:before="120" w:after="120"/>
        <w:rPr>
          <w:rFonts w:ascii="Times New Roman" w:hAnsi="Times New Roman" w:cs="Times New Roman"/>
          <w:b/>
          <w:sz w:val="24"/>
          <w:szCs w:val="24"/>
        </w:rPr>
      </w:pPr>
    </w:p>
    <w:p w14:paraId="45F8DAC3" w14:textId="77777777" w:rsidR="0065612C" w:rsidRPr="0065612C" w:rsidRDefault="0065612C" w:rsidP="0065612C">
      <w:pPr>
        <w:spacing w:after="120"/>
        <w:rPr>
          <w:rFonts w:ascii="Times New Roman" w:hAnsi="Times New Roman" w:cs="Times New Roman"/>
          <w:b/>
          <w:bCs/>
          <w:sz w:val="24"/>
          <w:szCs w:val="24"/>
        </w:rPr>
      </w:pPr>
      <w:r w:rsidRPr="0065612C">
        <w:rPr>
          <w:rFonts w:ascii="Times New Roman" w:hAnsi="Times New Roman" w:cs="Times New Roman"/>
          <w:b/>
          <w:bCs/>
          <w:sz w:val="24"/>
          <w:szCs w:val="24"/>
        </w:rPr>
        <w:t>Resumo</w:t>
      </w:r>
    </w:p>
    <w:p w14:paraId="7C8F60C7" w14:textId="77777777" w:rsidR="00CF0556" w:rsidRDefault="0065612C" w:rsidP="00CF0556">
      <w:pPr>
        <w:tabs>
          <w:tab w:val="left" w:pos="2700"/>
        </w:tabs>
        <w:spacing w:before="120"/>
        <w:jc w:val="left"/>
        <w:rPr>
          <w:rFonts w:ascii="Times New Roman" w:eastAsia="Arial" w:hAnsi="Times New Roman" w:cs="Times New Roman"/>
          <w:sz w:val="24"/>
          <w:szCs w:val="24"/>
        </w:rPr>
      </w:pPr>
      <w:r w:rsidRPr="0065612C">
        <w:rPr>
          <w:rFonts w:ascii="Times New Roman" w:eastAsia="Arial" w:hAnsi="Times New Roman" w:cs="Times New Roman"/>
          <w:sz w:val="24"/>
          <w:szCs w:val="24"/>
        </w:rPr>
        <w:t xml:space="preserve">Introdução: a fluência de leitura é uma medida capaz de avaliar de forma objetiva o desempenho de escolares em leitura oral. Objetivo: avaliar a utilização da fluência de leitura como um indicador de competência leitora a ser utilizado na educação inclusiva. Métodos: participaram do estudo 121 escolares do 3° ao 5° ano do ensino fundamental, destes 31 escolares do público-alvo da educação especial compuseram o grupo de interesse e 90 escolares compuseram o grupo controle. Foi definido um escore Z que permitiu a realização da análise individual do desempenho dos escolares e a identificação dos possíveis déficits nas tarefas de fluência de leitura e compreensão, foi aplicado o </w:t>
      </w:r>
      <w:r w:rsidRPr="00A91FBD">
        <w:rPr>
          <w:rFonts w:ascii="Times New Roman" w:eastAsia="Arial" w:hAnsi="Times New Roman" w:cs="Times New Roman"/>
          <w:i/>
          <w:iCs/>
          <w:sz w:val="24"/>
          <w:szCs w:val="24"/>
        </w:rPr>
        <w:t>Test t</w:t>
      </w:r>
      <w:r w:rsidRPr="0065612C">
        <w:rPr>
          <w:rFonts w:ascii="Times New Roman" w:eastAsia="Arial" w:hAnsi="Times New Roman" w:cs="Times New Roman"/>
          <w:sz w:val="24"/>
          <w:szCs w:val="24"/>
        </w:rPr>
        <w:t xml:space="preserve"> de Student para comparação dos grupos. Resultados: houve variabilidade nos desempenhos apresentados por cada subgrupo do público-alvo da educação especial. Na comparação dos dois grupos, os resultados foram superiores para o GC em todas as variáveis. Conclusão: A diversidade encontrada dentro dos subgrupos do público-alvo da educação especial mostrou que a avaliação de fluência de leitura individual é essencial tanto para pesquisas quanto para a prática pedagógica.</w:t>
      </w:r>
    </w:p>
    <w:p w14:paraId="06B0018D" w14:textId="46CE89F5" w:rsidR="0065612C" w:rsidRPr="00CF0556" w:rsidRDefault="0065612C" w:rsidP="00CF0556">
      <w:pPr>
        <w:tabs>
          <w:tab w:val="left" w:pos="2700"/>
        </w:tabs>
        <w:spacing w:before="120"/>
        <w:jc w:val="left"/>
        <w:rPr>
          <w:rFonts w:ascii="Times New Roman" w:eastAsia="Arial" w:hAnsi="Times New Roman" w:cs="Times New Roman"/>
          <w:sz w:val="24"/>
          <w:szCs w:val="24"/>
        </w:rPr>
      </w:pPr>
      <w:r w:rsidRPr="0065612C">
        <w:rPr>
          <w:rFonts w:ascii="Times New Roman" w:hAnsi="Times New Roman" w:cs="Times New Roman"/>
          <w:sz w:val="24"/>
          <w:szCs w:val="24"/>
        </w:rPr>
        <w:t xml:space="preserve">Palavras-chave: </w:t>
      </w:r>
      <w:r w:rsidR="00CF0556">
        <w:rPr>
          <w:rFonts w:ascii="Times New Roman" w:hAnsi="Times New Roman" w:cs="Times New Roman"/>
          <w:sz w:val="24"/>
          <w:szCs w:val="24"/>
        </w:rPr>
        <w:t>l</w:t>
      </w:r>
      <w:r w:rsidRPr="0065612C">
        <w:rPr>
          <w:rFonts w:ascii="Times New Roman" w:hAnsi="Times New Roman" w:cs="Times New Roman"/>
          <w:sz w:val="24"/>
          <w:szCs w:val="24"/>
        </w:rPr>
        <w:t>eitura</w:t>
      </w:r>
      <w:r w:rsidR="00CF0556">
        <w:rPr>
          <w:rFonts w:ascii="Times New Roman" w:hAnsi="Times New Roman" w:cs="Times New Roman"/>
          <w:sz w:val="24"/>
          <w:szCs w:val="24"/>
        </w:rPr>
        <w:t>,</w:t>
      </w:r>
      <w:r w:rsidRPr="0065612C">
        <w:rPr>
          <w:rFonts w:ascii="Times New Roman" w:hAnsi="Times New Roman" w:cs="Times New Roman"/>
          <w:sz w:val="24"/>
          <w:szCs w:val="24"/>
        </w:rPr>
        <w:t xml:space="preserve"> </w:t>
      </w:r>
      <w:r w:rsidR="00CF0556">
        <w:rPr>
          <w:rFonts w:ascii="Times New Roman" w:hAnsi="Times New Roman" w:cs="Times New Roman"/>
          <w:sz w:val="24"/>
          <w:szCs w:val="24"/>
        </w:rPr>
        <w:t>d</w:t>
      </w:r>
      <w:r w:rsidRPr="0065612C">
        <w:rPr>
          <w:rFonts w:ascii="Times New Roman" w:hAnsi="Times New Roman" w:cs="Times New Roman"/>
          <w:sz w:val="24"/>
          <w:szCs w:val="24"/>
        </w:rPr>
        <w:t>esempenho acadêmico</w:t>
      </w:r>
      <w:r w:rsidR="00CF0556">
        <w:rPr>
          <w:rFonts w:ascii="Times New Roman" w:hAnsi="Times New Roman" w:cs="Times New Roman"/>
          <w:sz w:val="24"/>
          <w:szCs w:val="24"/>
        </w:rPr>
        <w:t>,</w:t>
      </w:r>
      <w:r w:rsidRPr="0065612C">
        <w:rPr>
          <w:rFonts w:ascii="Times New Roman" w:hAnsi="Times New Roman" w:cs="Times New Roman"/>
          <w:sz w:val="24"/>
          <w:szCs w:val="24"/>
        </w:rPr>
        <w:t xml:space="preserve"> </w:t>
      </w:r>
      <w:r w:rsidR="00CF0556">
        <w:rPr>
          <w:rFonts w:ascii="Times New Roman" w:hAnsi="Times New Roman" w:cs="Times New Roman"/>
          <w:sz w:val="24"/>
          <w:szCs w:val="24"/>
        </w:rPr>
        <w:t>c</w:t>
      </w:r>
      <w:r w:rsidRPr="0065612C">
        <w:rPr>
          <w:rFonts w:ascii="Times New Roman" w:hAnsi="Times New Roman" w:cs="Times New Roman"/>
          <w:sz w:val="24"/>
          <w:szCs w:val="24"/>
        </w:rPr>
        <w:t>ompreensão</w:t>
      </w:r>
      <w:r w:rsidR="00CF0556">
        <w:rPr>
          <w:rFonts w:ascii="Times New Roman" w:hAnsi="Times New Roman" w:cs="Times New Roman"/>
          <w:sz w:val="24"/>
          <w:szCs w:val="24"/>
        </w:rPr>
        <w:t>,</w:t>
      </w:r>
      <w:r w:rsidRPr="0065612C">
        <w:rPr>
          <w:rFonts w:ascii="Times New Roman" w:hAnsi="Times New Roman" w:cs="Times New Roman"/>
          <w:sz w:val="24"/>
          <w:szCs w:val="24"/>
        </w:rPr>
        <w:t xml:space="preserve"> </w:t>
      </w:r>
      <w:r w:rsidR="00CF0556">
        <w:rPr>
          <w:rFonts w:ascii="Times New Roman" w:hAnsi="Times New Roman" w:cs="Times New Roman"/>
          <w:sz w:val="24"/>
          <w:szCs w:val="24"/>
        </w:rPr>
        <w:t>e</w:t>
      </w:r>
      <w:r w:rsidRPr="0065612C">
        <w:rPr>
          <w:rFonts w:ascii="Times New Roman" w:hAnsi="Times New Roman" w:cs="Times New Roman"/>
          <w:sz w:val="24"/>
          <w:szCs w:val="24"/>
        </w:rPr>
        <w:t xml:space="preserve">ducação </w:t>
      </w:r>
      <w:r w:rsidR="00CF0556">
        <w:rPr>
          <w:rFonts w:ascii="Times New Roman" w:hAnsi="Times New Roman" w:cs="Times New Roman"/>
          <w:sz w:val="24"/>
          <w:szCs w:val="24"/>
        </w:rPr>
        <w:t>e</w:t>
      </w:r>
      <w:r w:rsidRPr="0065612C">
        <w:rPr>
          <w:rFonts w:ascii="Times New Roman" w:hAnsi="Times New Roman" w:cs="Times New Roman"/>
          <w:sz w:val="24"/>
          <w:szCs w:val="24"/>
        </w:rPr>
        <w:t>special</w:t>
      </w:r>
    </w:p>
    <w:p w14:paraId="293838E5" w14:textId="77777777" w:rsidR="0065612C" w:rsidRPr="0065612C" w:rsidRDefault="0065612C" w:rsidP="002E100C">
      <w:pPr>
        <w:spacing w:before="240" w:after="120" w:line="240" w:lineRule="auto"/>
        <w:jc w:val="left"/>
        <w:rPr>
          <w:rFonts w:ascii="Times New Roman" w:hAnsi="Times New Roman" w:cs="Times New Roman"/>
          <w:sz w:val="24"/>
          <w:szCs w:val="24"/>
        </w:rPr>
      </w:pPr>
    </w:p>
    <w:p w14:paraId="1D996EEC" w14:textId="576D2185" w:rsidR="0065612C" w:rsidRPr="00CF0556" w:rsidRDefault="0065612C" w:rsidP="00CF0556">
      <w:pPr>
        <w:jc w:val="left"/>
        <w:rPr>
          <w:rFonts w:ascii="Times New Roman" w:eastAsia="Arial" w:hAnsi="Times New Roman" w:cs="Times New Roman"/>
          <w:sz w:val="24"/>
          <w:szCs w:val="24"/>
        </w:rPr>
      </w:pPr>
      <w:r w:rsidRPr="0065612C">
        <w:rPr>
          <w:rFonts w:ascii="Times New Roman" w:hAnsi="Times New Roman" w:cs="Times New Roman"/>
          <w:color w:val="000000"/>
          <w:sz w:val="24"/>
          <w:szCs w:val="24"/>
          <w:vertAlign w:val="superscript"/>
        </w:rPr>
        <w:t>1</w:t>
      </w:r>
      <w:r w:rsidRPr="0065612C">
        <w:rPr>
          <w:rFonts w:ascii="Times New Roman" w:hAnsi="Times New Roman" w:cs="Times New Roman"/>
          <w:color w:val="000000"/>
          <w:sz w:val="24"/>
          <w:szCs w:val="24"/>
        </w:rPr>
        <w:t xml:space="preserve"> </w:t>
      </w:r>
      <w:r w:rsidRPr="0065612C">
        <w:rPr>
          <w:rFonts w:ascii="Times New Roman" w:eastAsia="Arial" w:hAnsi="Times New Roman" w:cs="Times New Roman"/>
          <w:sz w:val="24"/>
          <w:szCs w:val="24"/>
        </w:rPr>
        <w:t xml:space="preserve">Universidade de Brasília </w:t>
      </w:r>
      <w:r w:rsidRPr="0065612C">
        <w:rPr>
          <w:rFonts w:ascii="Times New Roman" w:hAnsi="Times New Roman" w:cs="Times New Roman"/>
          <w:sz w:val="24"/>
          <w:szCs w:val="24"/>
        </w:rPr>
        <w:t xml:space="preserve">– UnB. Brasília – Brasil. </w:t>
      </w:r>
      <w:hyperlink r:id="rId8" w:history="1">
        <w:r w:rsidRPr="0065612C">
          <w:rPr>
            <w:rStyle w:val="Hyperlink"/>
            <w:rFonts w:ascii="Times New Roman" w:hAnsi="Times New Roman" w:cs="Times New Roman"/>
            <w:sz w:val="24"/>
            <w:szCs w:val="24"/>
          </w:rPr>
          <w:t>https://orcid.org/0000-0002-6914-4294</w:t>
        </w:r>
      </w:hyperlink>
      <w:r w:rsidRPr="0065612C">
        <w:rPr>
          <w:rFonts w:ascii="Times New Roman" w:eastAsia="Arial" w:hAnsi="Times New Roman" w:cs="Times New Roman"/>
          <w:sz w:val="24"/>
          <w:szCs w:val="24"/>
        </w:rPr>
        <w:t xml:space="preserve">. E-mail: </w:t>
      </w:r>
      <w:r w:rsidRPr="0065612C">
        <w:rPr>
          <w:rFonts w:ascii="Times New Roman" w:hAnsi="Times New Roman" w:cs="Times New Roman"/>
          <w:sz w:val="24"/>
          <w:szCs w:val="24"/>
        </w:rPr>
        <w:t>edlainesouzap@gmail</w:t>
      </w:r>
      <w:r w:rsidRPr="0065612C">
        <w:rPr>
          <w:rFonts w:ascii="Times New Roman" w:eastAsia="Arial" w:hAnsi="Times New Roman" w:cs="Times New Roman"/>
          <w:sz w:val="24"/>
          <w:szCs w:val="24"/>
        </w:rPr>
        <w:t>.</w:t>
      </w:r>
      <w:r w:rsidRPr="0065612C">
        <w:rPr>
          <w:rFonts w:ascii="Times New Roman" w:hAnsi="Times New Roman" w:cs="Times New Roman"/>
          <w:sz w:val="24"/>
          <w:szCs w:val="24"/>
        </w:rPr>
        <w:t>com</w:t>
      </w:r>
      <w:r w:rsidRPr="0065612C">
        <w:rPr>
          <w:rFonts w:ascii="Times New Roman" w:eastAsia="Arial" w:hAnsi="Times New Roman" w:cs="Times New Roman"/>
          <w:sz w:val="24"/>
          <w:szCs w:val="24"/>
        </w:rPr>
        <w:t xml:space="preserve">. </w:t>
      </w:r>
    </w:p>
    <w:p w14:paraId="37678A21" w14:textId="28080918" w:rsidR="0065612C" w:rsidRPr="00CF0556" w:rsidRDefault="0065612C" w:rsidP="00CF0556">
      <w:pPr>
        <w:jc w:val="left"/>
        <w:rPr>
          <w:rFonts w:ascii="Times New Roman" w:eastAsia="Arial" w:hAnsi="Times New Roman" w:cs="Times New Roman"/>
          <w:sz w:val="24"/>
          <w:szCs w:val="24"/>
        </w:rPr>
      </w:pPr>
      <w:r w:rsidRPr="0065612C">
        <w:rPr>
          <w:rFonts w:ascii="Times New Roman" w:hAnsi="Times New Roman" w:cs="Times New Roman"/>
          <w:color w:val="000000"/>
          <w:sz w:val="24"/>
          <w:szCs w:val="24"/>
          <w:vertAlign w:val="superscript"/>
        </w:rPr>
        <w:t>2</w:t>
      </w:r>
      <w:r w:rsidRPr="0065612C">
        <w:rPr>
          <w:rFonts w:ascii="Times New Roman" w:hAnsi="Times New Roman" w:cs="Times New Roman"/>
          <w:color w:val="000000"/>
          <w:sz w:val="24"/>
          <w:szCs w:val="24"/>
        </w:rPr>
        <w:t xml:space="preserve"> </w:t>
      </w:r>
      <w:r w:rsidRPr="0065612C">
        <w:rPr>
          <w:rFonts w:ascii="Times New Roman" w:eastAsia="Arial" w:hAnsi="Times New Roman" w:cs="Times New Roman"/>
          <w:sz w:val="24"/>
          <w:szCs w:val="24"/>
        </w:rPr>
        <w:t xml:space="preserve">Universidade Federal de Minas Gerais </w:t>
      </w:r>
      <w:r w:rsidRPr="0065612C">
        <w:rPr>
          <w:rFonts w:ascii="Times New Roman" w:hAnsi="Times New Roman" w:cs="Times New Roman"/>
          <w:sz w:val="24"/>
          <w:szCs w:val="24"/>
        </w:rPr>
        <w:t>– UFMG. Minas Gerais – Brasil.</w:t>
      </w:r>
      <w:r w:rsidRPr="0065612C">
        <w:rPr>
          <w:rFonts w:ascii="Times New Roman" w:eastAsia="Arial" w:hAnsi="Times New Roman" w:cs="Times New Roman"/>
          <w:sz w:val="24"/>
          <w:szCs w:val="24"/>
        </w:rPr>
        <w:t xml:space="preserve"> </w:t>
      </w:r>
      <w:hyperlink r:id="rId9" w:history="1">
        <w:r w:rsidRPr="0065612C">
          <w:rPr>
            <w:rStyle w:val="Hyperlink"/>
            <w:rFonts w:ascii="Times New Roman" w:hAnsi="Times New Roman" w:cs="Times New Roman"/>
            <w:sz w:val="24"/>
            <w:szCs w:val="24"/>
          </w:rPr>
          <w:t>https://orcid.org/0000-0002-6403-4117</w:t>
        </w:r>
      </w:hyperlink>
      <w:r w:rsidRPr="0065612C">
        <w:rPr>
          <w:rFonts w:ascii="Times New Roman" w:eastAsia="Arial" w:hAnsi="Times New Roman" w:cs="Times New Roman"/>
          <w:sz w:val="24"/>
          <w:szCs w:val="24"/>
        </w:rPr>
        <w:t xml:space="preserve">. E-mail: </w:t>
      </w:r>
      <w:r w:rsidRPr="0065612C">
        <w:rPr>
          <w:rFonts w:ascii="Times New Roman" w:hAnsi="Times New Roman" w:cs="Times New Roman"/>
          <w:color w:val="222222"/>
          <w:sz w:val="24"/>
          <w:szCs w:val="24"/>
          <w:shd w:val="clear" w:color="auto" w:fill="FFFFFF"/>
        </w:rPr>
        <w:t>lumendoncaalves@gmail.com</w:t>
      </w:r>
    </w:p>
    <w:p w14:paraId="7BC4B1C1" w14:textId="5751A5F3" w:rsidR="0065612C" w:rsidRPr="0065612C" w:rsidRDefault="0065612C" w:rsidP="00CF0556">
      <w:pPr>
        <w:pBdr>
          <w:top w:val="nil"/>
          <w:left w:val="nil"/>
          <w:bottom w:val="nil"/>
          <w:right w:val="nil"/>
          <w:between w:val="nil"/>
        </w:pBdr>
        <w:jc w:val="left"/>
        <w:rPr>
          <w:rFonts w:ascii="Times New Roman" w:eastAsia="Arial" w:hAnsi="Times New Roman" w:cs="Times New Roman"/>
          <w:sz w:val="24"/>
          <w:szCs w:val="24"/>
        </w:rPr>
      </w:pPr>
      <w:bookmarkStart w:id="0" w:name="_gjdgxs" w:colFirst="0" w:colLast="0"/>
      <w:bookmarkEnd w:id="0"/>
      <w:r w:rsidRPr="0065612C">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w:t>
      </w:r>
      <w:r w:rsidRPr="0065612C">
        <w:rPr>
          <w:rFonts w:ascii="Times New Roman" w:eastAsia="Arial" w:hAnsi="Times New Roman" w:cs="Times New Roman"/>
          <w:sz w:val="24"/>
          <w:szCs w:val="24"/>
        </w:rPr>
        <w:t xml:space="preserve">Universidade de Brasília – UnB. Brasília – </w:t>
      </w:r>
      <w:hyperlink r:id="rId10" w:history="1">
        <w:r w:rsidRPr="0065612C">
          <w:rPr>
            <w:rStyle w:val="Hyperlink"/>
            <w:rFonts w:ascii="Times New Roman" w:hAnsi="Times New Roman" w:cs="Times New Roman"/>
            <w:sz w:val="24"/>
            <w:szCs w:val="24"/>
          </w:rPr>
          <w:t>https://orcid.org/0000-0002-4254-2372</w:t>
        </w:r>
      </w:hyperlink>
      <w:r w:rsidRPr="0065612C">
        <w:rPr>
          <w:rFonts w:ascii="Times New Roman" w:eastAsia="Arial" w:hAnsi="Times New Roman" w:cs="Times New Roman"/>
          <w:sz w:val="24"/>
          <w:szCs w:val="24"/>
        </w:rPr>
        <w:t xml:space="preserve">. E-mail: vomartins81@gmail.com. </w:t>
      </w:r>
    </w:p>
    <w:p w14:paraId="43E42E14" w14:textId="73C96151" w:rsidR="0065612C" w:rsidRDefault="0065612C" w:rsidP="00CF0556">
      <w:pPr>
        <w:jc w:val="left"/>
        <w:rPr>
          <w:rFonts w:ascii="Times New Roman" w:hAnsi="Times New Roman" w:cs="Times New Roman"/>
          <w:color w:val="222222"/>
          <w:sz w:val="24"/>
          <w:szCs w:val="24"/>
          <w:shd w:val="clear" w:color="auto" w:fill="FFFFFF"/>
        </w:rPr>
      </w:pPr>
      <w:r w:rsidRPr="0065612C">
        <w:rPr>
          <w:rFonts w:ascii="Times New Roman" w:eastAsia="Arial" w:hAnsi="Times New Roman" w:cs="Times New Roman"/>
          <w:sz w:val="24"/>
          <w:szCs w:val="24"/>
          <w:vertAlign w:val="superscript"/>
        </w:rPr>
        <w:t xml:space="preserve">4 </w:t>
      </w:r>
      <w:r w:rsidRPr="0065612C">
        <w:rPr>
          <w:rFonts w:ascii="Times New Roman" w:eastAsia="Arial" w:hAnsi="Times New Roman" w:cs="Times New Roman"/>
          <w:sz w:val="24"/>
          <w:szCs w:val="24"/>
        </w:rPr>
        <w:t xml:space="preserve">Universidade de Brasília – UnB. Brasília – </w:t>
      </w:r>
      <w:hyperlink r:id="rId11" w:history="1">
        <w:r w:rsidRPr="0065612C">
          <w:rPr>
            <w:rStyle w:val="Hyperlink"/>
            <w:rFonts w:ascii="Times New Roman" w:hAnsi="Times New Roman" w:cs="Times New Roman"/>
            <w:sz w:val="24"/>
            <w:szCs w:val="24"/>
          </w:rPr>
          <w:t>https://orcid.org/0000-0002-2384-3989</w:t>
        </w:r>
      </w:hyperlink>
      <w:r w:rsidRPr="0065612C">
        <w:rPr>
          <w:rFonts w:ascii="Times New Roman" w:eastAsia="Arial" w:hAnsi="Times New Roman" w:cs="Times New Roman"/>
          <w:sz w:val="24"/>
          <w:szCs w:val="24"/>
        </w:rPr>
        <w:t>. E-mail:</w:t>
      </w:r>
      <w:r w:rsidRPr="0065612C">
        <w:rPr>
          <w:rFonts w:ascii="Times New Roman" w:hAnsi="Times New Roman" w:cs="Times New Roman"/>
          <w:color w:val="222222"/>
          <w:sz w:val="24"/>
          <w:szCs w:val="24"/>
          <w:shd w:val="clear" w:color="auto" w:fill="FFFFFF"/>
        </w:rPr>
        <w:t xml:space="preserve"> leticiaceleste@unb.br. </w:t>
      </w:r>
    </w:p>
    <w:p w14:paraId="0FA74EF3" w14:textId="77777777" w:rsidR="00CF0556" w:rsidRPr="0065612C" w:rsidRDefault="00CF0556" w:rsidP="00CF0556">
      <w:pPr>
        <w:jc w:val="left"/>
        <w:rPr>
          <w:rFonts w:ascii="Times New Roman" w:eastAsia="Arial" w:hAnsi="Times New Roman" w:cs="Times New Roman"/>
          <w:sz w:val="24"/>
          <w:szCs w:val="24"/>
        </w:rPr>
      </w:pPr>
    </w:p>
    <w:p w14:paraId="5D862EBE" w14:textId="77777777" w:rsidR="0065612C" w:rsidRPr="0065612C" w:rsidRDefault="0065612C" w:rsidP="002E100C">
      <w:pPr>
        <w:spacing w:before="240" w:after="120"/>
        <w:jc w:val="left"/>
        <w:rPr>
          <w:rFonts w:ascii="Times New Roman" w:hAnsi="Times New Roman" w:cs="Times New Roman"/>
          <w:b/>
          <w:bCs/>
          <w:sz w:val="24"/>
          <w:szCs w:val="24"/>
          <w:lang w:val="en-US"/>
        </w:rPr>
      </w:pPr>
      <w:r w:rsidRPr="0065612C">
        <w:rPr>
          <w:rFonts w:ascii="Times New Roman" w:hAnsi="Times New Roman" w:cs="Times New Roman"/>
          <w:b/>
          <w:bCs/>
          <w:sz w:val="24"/>
          <w:szCs w:val="24"/>
          <w:lang w:val="en-US"/>
        </w:rPr>
        <w:t>Abstract</w:t>
      </w:r>
    </w:p>
    <w:p w14:paraId="7FBC0DA8" w14:textId="3642C84E" w:rsidR="0065612C" w:rsidRPr="0065612C" w:rsidRDefault="0065612C" w:rsidP="00CF0556">
      <w:pPr>
        <w:spacing w:before="120"/>
        <w:jc w:val="left"/>
        <w:rPr>
          <w:rFonts w:ascii="Times New Roman" w:hAnsi="Times New Roman" w:cs="Times New Roman"/>
          <w:sz w:val="24"/>
          <w:szCs w:val="24"/>
          <w:lang w:val="en-US"/>
        </w:rPr>
      </w:pPr>
      <w:r w:rsidRPr="0065612C">
        <w:rPr>
          <w:rFonts w:ascii="Times New Roman" w:hAnsi="Times New Roman" w:cs="Times New Roman"/>
          <w:sz w:val="24"/>
          <w:szCs w:val="24"/>
          <w:lang w:val="en-US"/>
        </w:rPr>
        <w:t>Introduction: reading fluency is a measure capable of objectively evaluating the performance of students in oral reading. Objective: to evaluate the use of reading fluency as an indicator of reading competence to be used in inclusive education. Methods: 121 students from the 3rd to the 5th year of elementary school participated in the study</w:t>
      </w:r>
      <w:r w:rsidR="00E75E9F">
        <w:rPr>
          <w:rFonts w:ascii="Times New Roman" w:hAnsi="Times New Roman" w:cs="Times New Roman"/>
          <w:sz w:val="24"/>
          <w:szCs w:val="24"/>
          <w:lang w:val="en-US"/>
        </w:rPr>
        <w:t xml:space="preserve">. 31 of these </w:t>
      </w:r>
      <w:r w:rsidRPr="0065612C">
        <w:rPr>
          <w:rFonts w:ascii="Times New Roman" w:hAnsi="Times New Roman" w:cs="Times New Roman"/>
          <w:sz w:val="24"/>
          <w:szCs w:val="24"/>
          <w:lang w:val="en-US"/>
        </w:rPr>
        <w:t xml:space="preserve">students from the target group of special education were in the interest group and 90 students were in the control group. A Z score </w:t>
      </w:r>
      <w:r w:rsidR="00E75E9F" w:rsidRPr="0065612C">
        <w:rPr>
          <w:rFonts w:ascii="Times New Roman" w:hAnsi="Times New Roman" w:cs="Times New Roman"/>
          <w:sz w:val="24"/>
          <w:szCs w:val="24"/>
          <w:lang w:val="en-US"/>
        </w:rPr>
        <w:t xml:space="preserve">was defined </w:t>
      </w:r>
      <w:r w:rsidRPr="0065612C">
        <w:rPr>
          <w:rFonts w:ascii="Times New Roman" w:hAnsi="Times New Roman" w:cs="Times New Roman"/>
          <w:sz w:val="24"/>
          <w:szCs w:val="24"/>
          <w:lang w:val="en-US"/>
        </w:rPr>
        <w:t>t</w:t>
      </w:r>
      <w:r w:rsidR="00E75E9F">
        <w:rPr>
          <w:rFonts w:ascii="Times New Roman" w:hAnsi="Times New Roman" w:cs="Times New Roman"/>
          <w:sz w:val="24"/>
          <w:szCs w:val="24"/>
          <w:lang w:val="en-US"/>
        </w:rPr>
        <w:t>o allow for</w:t>
      </w:r>
      <w:r w:rsidRPr="0065612C">
        <w:rPr>
          <w:rFonts w:ascii="Times New Roman" w:hAnsi="Times New Roman" w:cs="Times New Roman"/>
          <w:sz w:val="24"/>
          <w:szCs w:val="24"/>
          <w:lang w:val="en-US"/>
        </w:rPr>
        <w:t xml:space="preserve"> the individual analysis of the students' performance and the identification of possible deficits in the tasks of fluency in reading and comprehension</w:t>
      </w:r>
      <w:r w:rsidR="00E75E9F">
        <w:rPr>
          <w:rFonts w:ascii="Times New Roman" w:hAnsi="Times New Roman" w:cs="Times New Roman"/>
          <w:sz w:val="24"/>
          <w:szCs w:val="24"/>
          <w:lang w:val="en-US"/>
        </w:rPr>
        <w:t>.</w:t>
      </w:r>
      <w:r w:rsidRPr="0065612C">
        <w:rPr>
          <w:rFonts w:ascii="Times New Roman" w:hAnsi="Times New Roman" w:cs="Times New Roman"/>
          <w:sz w:val="24"/>
          <w:szCs w:val="24"/>
          <w:lang w:val="en-US"/>
        </w:rPr>
        <w:t xml:space="preserve"> </w:t>
      </w:r>
      <w:r w:rsidR="00A91FBD">
        <w:rPr>
          <w:rFonts w:ascii="Times New Roman" w:hAnsi="Times New Roman" w:cs="Times New Roman"/>
          <w:sz w:val="24"/>
          <w:szCs w:val="24"/>
          <w:lang w:val="en-US"/>
        </w:rPr>
        <w:t>The</w:t>
      </w:r>
      <w:r w:rsidRPr="0065612C">
        <w:rPr>
          <w:rFonts w:ascii="Times New Roman" w:hAnsi="Times New Roman" w:cs="Times New Roman"/>
          <w:sz w:val="24"/>
          <w:szCs w:val="24"/>
          <w:lang w:val="en-US"/>
        </w:rPr>
        <w:t xml:space="preserve"> Student's t-test was </w:t>
      </w:r>
      <w:r w:rsidR="00E75E9F">
        <w:rPr>
          <w:rFonts w:ascii="Times New Roman" w:hAnsi="Times New Roman" w:cs="Times New Roman"/>
          <w:sz w:val="24"/>
          <w:szCs w:val="24"/>
          <w:lang w:val="en-US"/>
        </w:rPr>
        <w:t>carried out</w:t>
      </w:r>
      <w:r w:rsidRPr="0065612C">
        <w:rPr>
          <w:rFonts w:ascii="Times New Roman" w:hAnsi="Times New Roman" w:cs="Times New Roman"/>
          <w:sz w:val="24"/>
          <w:szCs w:val="24"/>
          <w:lang w:val="en-US"/>
        </w:rPr>
        <w:t xml:space="preserve"> to compare the groups. Results: There was variability in the performances presented by each subgroup of the target group of special education. When comparing the two groups, the results were superior for the CG in all variables. Conclusion: The diversity found within the subgroups of the target audience of special education showed that the assessment of individual reading fluency is essential for both research and pedagogical practice.</w:t>
      </w:r>
    </w:p>
    <w:p w14:paraId="279E6762" w14:textId="7C0CF9CE" w:rsidR="00082C62" w:rsidRDefault="0065612C" w:rsidP="00CF0556">
      <w:pPr>
        <w:spacing w:before="120"/>
        <w:jc w:val="left"/>
        <w:rPr>
          <w:rFonts w:ascii="Times New Roman" w:eastAsia="Arial" w:hAnsi="Times New Roman" w:cs="Times New Roman"/>
          <w:sz w:val="24"/>
          <w:szCs w:val="24"/>
          <w:lang w:val="en-US"/>
        </w:rPr>
      </w:pPr>
      <w:r w:rsidRPr="0065612C">
        <w:rPr>
          <w:rFonts w:ascii="Times New Roman" w:eastAsia="Arial" w:hAnsi="Times New Roman" w:cs="Times New Roman"/>
          <w:sz w:val="24"/>
          <w:szCs w:val="24"/>
          <w:lang w:val="en-US"/>
        </w:rPr>
        <w:t xml:space="preserve">Keywords: </w:t>
      </w:r>
      <w:r w:rsidR="00CF0556">
        <w:rPr>
          <w:rFonts w:ascii="Times New Roman" w:eastAsia="Arial" w:hAnsi="Times New Roman" w:cs="Times New Roman"/>
          <w:sz w:val="24"/>
          <w:szCs w:val="24"/>
          <w:lang w:val="en-US"/>
        </w:rPr>
        <w:t>r</w:t>
      </w:r>
      <w:r w:rsidRPr="0065612C">
        <w:rPr>
          <w:rFonts w:ascii="Times New Roman" w:eastAsia="Arial" w:hAnsi="Times New Roman" w:cs="Times New Roman"/>
          <w:sz w:val="24"/>
          <w:szCs w:val="24"/>
          <w:lang w:val="en-US"/>
        </w:rPr>
        <w:t>eading</w:t>
      </w:r>
      <w:r w:rsidR="00CF0556">
        <w:rPr>
          <w:rFonts w:ascii="Times New Roman" w:eastAsia="Arial" w:hAnsi="Times New Roman" w:cs="Times New Roman"/>
          <w:sz w:val="24"/>
          <w:szCs w:val="24"/>
          <w:lang w:val="en-US"/>
        </w:rPr>
        <w:t>, a</w:t>
      </w:r>
      <w:r w:rsidRPr="0065612C">
        <w:rPr>
          <w:rFonts w:ascii="Times New Roman" w:eastAsia="Arial" w:hAnsi="Times New Roman" w:cs="Times New Roman"/>
          <w:sz w:val="24"/>
          <w:szCs w:val="24"/>
          <w:lang w:val="en-US"/>
        </w:rPr>
        <w:t xml:space="preserve">cademic </w:t>
      </w:r>
      <w:r w:rsidR="00CF0556">
        <w:rPr>
          <w:rFonts w:ascii="Times New Roman" w:eastAsia="Arial" w:hAnsi="Times New Roman" w:cs="Times New Roman"/>
          <w:sz w:val="24"/>
          <w:szCs w:val="24"/>
          <w:lang w:val="en-US"/>
        </w:rPr>
        <w:t>p</w:t>
      </w:r>
      <w:r w:rsidRPr="0065612C">
        <w:rPr>
          <w:rFonts w:ascii="Times New Roman" w:eastAsia="Arial" w:hAnsi="Times New Roman" w:cs="Times New Roman"/>
          <w:sz w:val="24"/>
          <w:szCs w:val="24"/>
          <w:lang w:val="en-US"/>
        </w:rPr>
        <w:t>erformance</w:t>
      </w:r>
      <w:r w:rsidR="00CF0556">
        <w:rPr>
          <w:rFonts w:ascii="Times New Roman" w:eastAsia="Arial" w:hAnsi="Times New Roman" w:cs="Times New Roman"/>
          <w:sz w:val="24"/>
          <w:szCs w:val="24"/>
          <w:lang w:val="en-US"/>
        </w:rPr>
        <w:t>,</w:t>
      </w:r>
      <w:r w:rsidRPr="0065612C">
        <w:rPr>
          <w:rFonts w:ascii="Times New Roman" w:eastAsia="Arial" w:hAnsi="Times New Roman" w:cs="Times New Roman"/>
          <w:sz w:val="24"/>
          <w:szCs w:val="24"/>
          <w:lang w:val="en-US"/>
        </w:rPr>
        <w:t xml:space="preserve"> </w:t>
      </w:r>
      <w:r w:rsidR="00CF0556">
        <w:rPr>
          <w:rFonts w:ascii="Times New Roman" w:eastAsia="Arial" w:hAnsi="Times New Roman" w:cs="Times New Roman"/>
          <w:sz w:val="24"/>
          <w:szCs w:val="24"/>
          <w:lang w:val="en-US"/>
        </w:rPr>
        <w:t>c</w:t>
      </w:r>
      <w:r w:rsidRPr="0065612C">
        <w:rPr>
          <w:rFonts w:ascii="Times New Roman" w:eastAsia="Arial" w:hAnsi="Times New Roman" w:cs="Times New Roman"/>
          <w:sz w:val="24"/>
          <w:szCs w:val="24"/>
          <w:lang w:val="en-US"/>
        </w:rPr>
        <w:t>omprehension</w:t>
      </w:r>
      <w:r w:rsidR="00CF0556">
        <w:rPr>
          <w:rFonts w:ascii="Times New Roman" w:eastAsia="Arial" w:hAnsi="Times New Roman" w:cs="Times New Roman"/>
          <w:sz w:val="24"/>
          <w:szCs w:val="24"/>
          <w:lang w:val="en-US"/>
        </w:rPr>
        <w:t>,</w:t>
      </w:r>
      <w:r w:rsidRPr="0065612C">
        <w:rPr>
          <w:rFonts w:ascii="Times New Roman" w:eastAsia="Arial" w:hAnsi="Times New Roman" w:cs="Times New Roman"/>
          <w:sz w:val="24"/>
          <w:szCs w:val="24"/>
          <w:lang w:val="en-US"/>
        </w:rPr>
        <w:t xml:space="preserve"> </w:t>
      </w:r>
      <w:r w:rsidR="00CF0556">
        <w:rPr>
          <w:rFonts w:ascii="Times New Roman" w:eastAsia="Arial" w:hAnsi="Times New Roman" w:cs="Times New Roman"/>
          <w:sz w:val="24"/>
          <w:szCs w:val="24"/>
          <w:lang w:val="en-US"/>
        </w:rPr>
        <w:t>s</w:t>
      </w:r>
      <w:r w:rsidRPr="0065612C">
        <w:rPr>
          <w:rFonts w:ascii="Times New Roman" w:eastAsia="Arial" w:hAnsi="Times New Roman" w:cs="Times New Roman"/>
          <w:sz w:val="24"/>
          <w:szCs w:val="24"/>
          <w:lang w:val="en-US"/>
        </w:rPr>
        <w:t>pecial education</w:t>
      </w:r>
    </w:p>
    <w:p w14:paraId="18D85A43" w14:textId="77777777" w:rsidR="009C43BA" w:rsidRPr="0065612C" w:rsidRDefault="009C43BA" w:rsidP="00CF0556">
      <w:pPr>
        <w:spacing w:before="120"/>
        <w:jc w:val="left"/>
        <w:rPr>
          <w:rFonts w:ascii="Times New Roman" w:eastAsia="Arial" w:hAnsi="Times New Roman" w:cs="Times New Roman"/>
          <w:sz w:val="24"/>
          <w:szCs w:val="24"/>
          <w:lang w:val="en-US"/>
        </w:rPr>
      </w:pPr>
    </w:p>
    <w:p w14:paraId="12AAA44E" w14:textId="2DBBFC88" w:rsidR="00871AF4" w:rsidRDefault="00871AF4" w:rsidP="009C43BA">
      <w:pPr>
        <w:pStyle w:val="ListParagraph"/>
        <w:numPr>
          <w:ilvl w:val="0"/>
          <w:numId w:val="4"/>
        </w:numPr>
        <w:ind w:left="0"/>
        <w:jc w:val="left"/>
        <w:rPr>
          <w:rFonts w:ascii="Times New Roman" w:hAnsi="Times New Roman" w:cs="Times New Roman"/>
          <w:b/>
          <w:bCs/>
          <w:sz w:val="24"/>
          <w:szCs w:val="24"/>
        </w:rPr>
      </w:pPr>
      <w:r w:rsidRPr="00112327">
        <w:rPr>
          <w:rFonts w:ascii="Times New Roman" w:hAnsi="Times New Roman" w:cs="Times New Roman"/>
          <w:b/>
          <w:bCs/>
          <w:sz w:val="24"/>
          <w:szCs w:val="24"/>
        </w:rPr>
        <w:t>I</w:t>
      </w:r>
      <w:r w:rsidR="00112327" w:rsidRPr="00112327">
        <w:rPr>
          <w:rFonts w:ascii="Times New Roman" w:hAnsi="Times New Roman" w:cs="Times New Roman"/>
          <w:b/>
          <w:bCs/>
          <w:sz w:val="24"/>
          <w:szCs w:val="24"/>
        </w:rPr>
        <w:t>ntrodução</w:t>
      </w:r>
    </w:p>
    <w:p w14:paraId="1FD3AE39" w14:textId="77777777" w:rsidR="009C43BA" w:rsidRPr="009C43BA" w:rsidRDefault="009C43BA" w:rsidP="009C43BA">
      <w:pPr>
        <w:ind w:left="-360"/>
        <w:jc w:val="left"/>
        <w:rPr>
          <w:rFonts w:ascii="Times New Roman" w:hAnsi="Times New Roman" w:cs="Times New Roman"/>
          <w:b/>
          <w:bCs/>
          <w:sz w:val="24"/>
          <w:szCs w:val="24"/>
        </w:rPr>
      </w:pPr>
    </w:p>
    <w:p w14:paraId="376DFD48" w14:textId="29939B60" w:rsidR="00871AF4" w:rsidRDefault="00871AF4" w:rsidP="009C43BA">
      <w:pPr>
        <w:jc w:val="left"/>
        <w:rPr>
          <w:rFonts w:ascii="Times New Roman" w:hAnsi="Times New Roman" w:cs="Times New Roman"/>
          <w:sz w:val="24"/>
          <w:szCs w:val="24"/>
        </w:rPr>
      </w:pPr>
      <w:r w:rsidRPr="00831A7E">
        <w:rPr>
          <w:rFonts w:ascii="Times New Roman" w:hAnsi="Times New Roman" w:cs="Times New Roman"/>
          <w:sz w:val="24"/>
          <w:szCs w:val="24"/>
        </w:rPr>
        <w:t>Os métodos de ensino e avaliação de escolares do público-alvo da educação especial é um tema que desperta o interesse de profissionais e pesquisadores que buscam auxiliar tais escolares durante o percurso acadêmico. Não há consenso a respeito dos métodos de avaliação utilizados na educação inclusiva (</w:t>
      </w:r>
      <w:r w:rsidR="000E3C01" w:rsidRPr="00831A7E">
        <w:rPr>
          <w:rFonts w:ascii="Times New Roman" w:hAnsi="Times New Roman" w:cs="Times New Roman"/>
          <w:sz w:val="24"/>
          <w:szCs w:val="24"/>
        </w:rPr>
        <w:t>Campos</w:t>
      </w:r>
      <w:r w:rsidR="004601B0">
        <w:rPr>
          <w:rFonts w:ascii="Times New Roman" w:hAnsi="Times New Roman" w:cs="Times New Roman"/>
          <w:sz w:val="24"/>
          <w:szCs w:val="24"/>
        </w:rPr>
        <w:t xml:space="preserve"> </w:t>
      </w:r>
      <w:r w:rsidR="000E3C01">
        <w:rPr>
          <w:rFonts w:ascii="Times New Roman" w:hAnsi="Times New Roman" w:cs="Times New Roman"/>
          <w:sz w:val="24"/>
          <w:szCs w:val="24"/>
        </w:rPr>
        <w:t>et al.,</w:t>
      </w:r>
      <w:r w:rsidRPr="00831A7E">
        <w:rPr>
          <w:rFonts w:ascii="Times New Roman" w:hAnsi="Times New Roman" w:cs="Times New Roman"/>
          <w:sz w:val="24"/>
          <w:szCs w:val="24"/>
        </w:rPr>
        <w:t xml:space="preserve"> 2012). No entanto, pesquisas têm apontado a </w:t>
      </w:r>
      <w:r w:rsidRPr="00831A7E">
        <w:rPr>
          <w:rFonts w:ascii="Times New Roman" w:hAnsi="Times New Roman" w:cs="Times New Roman"/>
          <w:sz w:val="24"/>
          <w:szCs w:val="24"/>
        </w:rPr>
        <w:lastRenderedPageBreak/>
        <w:t xml:space="preserve">necessidade de </w:t>
      </w:r>
      <w:bookmarkStart w:id="1" w:name="_Hlk27406490"/>
      <w:r w:rsidRPr="00831A7E">
        <w:rPr>
          <w:rFonts w:ascii="Times New Roman" w:hAnsi="Times New Roman" w:cs="Times New Roman"/>
          <w:sz w:val="24"/>
          <w:szCs w:val="24"/>
        </w:rPr>
        <w:t>avaliações educacionais mais precisas</w:t>
      </w:r>
      <w:bookmarkEnd w:id="1"/>
      <w:r w:rsidRPr="00831A7E">
        <w:rPr>
          <w:rFonts w:ascii="Times New Roman" w:hAnsi="Times New Roman" w:cs="Times New Roman"/>
          <w:sz w:val="24"/>
          <w:szCs w:val="24"/>
        </w:rPr>
        <w:t>. No ensino regular a fluência de leitura tem demonstrado ser uma ferramenta importante para o acompanhamento da evolução dos escolares (</w:t>
      </w:r>
      <w:r w:rsidR="009D5C7D" w:rsidRPr="00831A7E">
        <w:rPr>
          <w:rFonts w:ascii="Times New Roman" w:hAnsi="Times New Roman" w:cs="Times New Roman"/>
          <w:sz w:val="24"/>
          <w:szCs w:val="24"/>
        </w:rPr>
        <w:t xml:space="preserve">Bouguebs, 2017; Celeste </w:t>
      </w:r>
      <w:r w:rsidR="009D5C7D">
        <w:rPr>
          <w:rFonts w:ascii="Times New Roman" w:hAnsi="Times New Roman" w:cs="Times New Roman"/>
          <w:sz w:val="24"/>
          <w:szCs w:val="24"/>
        </w:rPr>
        <w:t>e</w:t>
      </w:r>
      <w:r w:rsidR="009D5C7D" w:rsidRPr="00831A7E">
        <w:rPr>
          <w:rFonts w:ascii="Times New Roman" w:hAnsi="Times New Roman" w:cs="Times New Roman"/>
          <w:sz w:val="24"/>
          <w:szCs w:val="24"/>
        </w:rPr>
        <w:t xml:space="preserve">t </w:t>
      </w:r>
      <w:r w:rsidR="009D5C7D">
        <w:rPr>
          <w:rFonts w:ascii="Times New Roman" w:hAnsi="Times New Roman" w:cs="Times New Roman"/>
          <w:sz w:val="24"/>
          <w:szCs w:val="24"/>
        </w:rPr>
        <w:t>a</w:t>
      </w:r>
      <w:r w:rsidR="009D5C7D" w:rsidRPr="00831A7E">
        <w:rPr>
          <w:rFonts w:ascii="Times New Roman" w:hAnsi="Times New Roman" w:cs="Times New Roman"/>
          <w:sz w:val="24"/>
          <w:szCs w:val="24"/>
        </w:rPr>
        <w:t>l., 2018; Martins</w:t>
      </w:r>
      <w:r w:rsidR="004601B0">
        <w:rPr>
          <w:rFonts w:ascii="Times New Roman" w:hAnsi="Times New Roman" w:cs="Times New Roman"/>
          <w:sz w:val="24"/>
          <w:szCs w:val="24"/>
        </w:rPr>
        <w:t xml:space="preserve"> &amp;</w:t>
      </w:r>
      <w:r w:rsidR="009D5C7D" w:rsidRPr="00831A7E">
        <w:rPr>
          <w:rFonts w:ascii="Times New Roman" w:hAnsi="Times New Roman" w:cs="Times New Roman"/>
          <w:sz w:val="24"/>
          <w:szCs w:val="24"/>
        </w:rPr>
        <w:t xml:space="preserve"> Capellini, 2019</w:t>
      </w:r>
      <w:r w:rsidRPr="00831A7E">
        <w:rPr>
          <w:rFonts w:ascii="Times New Roman" w:hAnsi="Times New Roman" w:cs="Times New Roman"/>
          <w:sz w:val="24"/>
          <w:szCs w:val="24"/>
        </w:rPr>
        <w:t xml:space="preserve">). </w:t>
      </w:r>
    </w:p>
    <w:p w14:paraId="4CBA075F" w14:textId="77777777" w:rsidR="00E75E9F" w:rsidRPr="00831A7E" w:rsidRDefault="00E75E9F" w:rsidP="00E75E9F">
      <w:pPr>
        <w:jc w:val="left"/>
        <w:rPr>
          <w:rFonts w:ascii="Times New Roman" w:hAnsi="Times New Roman" w:cs="Times New Roman"/>
          <w:sz w:val="24"/>
          <w:szCs w:val="24"/>
        </w:rPr>
      </w:pPr>
    </w:p>
    <w:p w14:paraId="7164E134" w14:textId="76A9EE83" w:rsidR="00871AF4" w:rsidRDefault="00871AF4" w:rsidP="00E75E9F">
      <w:pPr>
        <w:jc w:val="left"/>
        <w:rPr>
          <w:rFonts w:ascii="Times New Roman" w:hAnsi="Times New Roman" w:cs="Times New Roman"/>
          <w:sz w:val="24"/>
          <w:szCs w:val="24"/>
        </w:rPr>
      </w:pPr>
      <w:r w:rsidRPr="00831A7E">
        <w:rPr>
          <w:rFonts w:ascii="Times New Roman" w:hAnsi="Times New Roman" w:cs="Times New Roman"/>
          <w:sz w:val="24"/>
          <w:szCs w:val="24"/>
        </w:rPr>
        <w:t>Desde os anos iniciais, há uma grande preocupação com o desenvolvimento da leitura e da escrita, por se tratarem de habilidades precursoras das demais disciplinas escolares. Durante o desenvolvimento da leitura, é possível observar mudanças qualitativas e quantitativas em relação a variáveis que podem ser extraídas da leitura de palavras, frases e textos. Essas mudanças são evidenciadas pela fluência de leitura, competência capaz de expressar aspectos de velocidade de leitura, acurácia, prosódia e automaticidade (</w:t>
      </w:r>
      <w:r w:rsidR="009D5C7D" w:rsidRPr="00831A7E">
        <w:rPr>
          <w:rFonts w:ascii="Times New Roman" w:hAnsi="Times New Roman" w:cs="Times New Roman"/>
          <w:sz w:val="24"/>
          <w:szCs w:val="24"/>
        </w:rPr>
        <w:t>Hudson</w:t>
      </w:r>
      <w:r w:rsidR="00A21C54">
        <w:rPr>
          <w:rFonts w:ascii="Times New Roman" w:hAnsi="Times New Roman" w:cs="Times New Roman"/>
          <w:sz w:val="24"/>
          <w:szCs w:val="24"/>
        </w:rPr>
        <w:t xml:space="preserve"> et al.</w:t>
      </w:r>
      <w:r w:rsidR="009D5C7D" w:rsidRPr="00831A7E">
        <w:rPr>
          <w:rFonts w:ascii="Times New Roman" w:hAnsi="Times New Roman" w:cs="Times New Roman"/>
          <w:sz w:val="24"/>
          <w:szCs w:val="24"/>
        </w:rPr>
        <w:t>, 2005; Puliezi</w:t>
      </w:r>
      <w:r w:rsidR="00A21C54">
        <w:rPr>
          <w:rFonts w:ascii="Times New Roman" w:hAnsi="Times New Roman" w:cs="Times New Roman"/>
          <w:sz w:val="24"/>
          <w:szCs w:val="24"/>
        </w:rPr>
        <w:t xml:space="preserve"> &amp; </w:t>
      </w:r>
      <w:r w:rsidR="009D5C7D" w:rsidRPr="00831A7E">
        <w:rPr>
          <w:rFonts w:ascii="Times New Roman" w:hAnsi="Times New Roman" w:cs="Times New Roman"/>
          <w:sz w:val="24"/>
          <w:szCs w:val="24"/>
        </w:rPr>
        <w:t xml:space="preserve">Maluf, 2014; Celeste </w:t>
      </w:r>
      <w:r w:rsidR="009D5C7D">
        <w:rPr>
          <w:rFonts w:ascii="Times New Roman" w:hAnsi="Times New Roman" w:cs="Times New Roman"/>
          <w:sz w:val="24"/>
          <w:szCs w:val="24"/>
        </w:rPr>
        <w:t>e</w:t>
      </w:r>
      <w:r w:rsidR="009D5C7D" w:rsidRPr="00831A7E">
        <w:rPr>
          <w:rFonts w:ascii="Times New Roman" w:hAnsi="Times New Roman" w:cs="Times New Roman"/>
          <w:sz w:val="24"/>
          <w:szCs w:val="24"/>
        </w:rPr>
        <w:t>t</w:t>
      </w:r>
      <w:r w:rsidR="009D5C7D">
        <w:rPr>
          <w:rFonts w:ascii="Times New Roman" w:hAnsi="Times New Roman" w:cs="Times New Roman"/>
          <w:sz w:val="24"/>
          <w:szCs w:val="24"/>
        </w:rPr>
        <w:t xml:space="preserve"> a</w:t>
      </w:r>
      <w:r w:rsidR="009D5C7D" w:rsidRPr="00831A7E">
        <w:rPr>
          <w:rFonts w:ascii="Times New Roman" w:hAnsi="Times New Roman" w:cs="Times New Roman"/>
          <w:sz w:val="24"/>
          <w:szCs w:val="24"/>
        </w:rPr>
        <w:t>l</w:t>
      </w:r>
      <w:r w:rsidR="009D5C7D">
        <w:rPr>
          <w:rFonts w:ascii="Times New Roman" w:hAnsi="Times New Roman" w:cs="Times New Roman"/>
          <w:sz w:val="24"/>
          <w:szCs w:val="24"/>
        </w:rPr>
        <w:t>.</w:t>
      </w:r>
      <w:r w:rsidR="009D5C7D" w:rsidRPr="00831A7E">
        <w:rPr>
          <w:rFonts w:ascii="Times New Roman" w:hAnsi="Times New Roman" w:cs="Times New Roman"/>
          <w:sz w:val="24"/>
          <w:szCs w:val="24"/>
        </w:rPr>
        <w:t>, 2018; Martins</w:t>
      </w:r>
      <w:r w:rsidR="00A21C54">
        <w:rPr>
          <w:rFonts w:ascii="Times New Roman" w:hAnsi="Times New Roman" w:cs="Times New Roman"/>
          <w:sz w:val="24"/>
          <w:szCs w:val="24"/>
        </w:rPr>
        <w:t xml:space="preserve"> &amp;</w:t>
      </w:r>
      <w:r w:rsidR="009D5C7D" w:rsidRPr="00831A7E">
        <w:rPr>
          <w:rFonts w:ascii="Times New Roman" w:hAnsi="Times New Roman" w:cs="Times New Roman"/>
          <w:sz w:val="24"/>
          <w:szCs w:val="24"/>
        </w:rPr>
        <w:t xml:space="preserve"> Capellini, 2019</w:t>
      </w:r>
      <w:r w:rsidRPr="00831A7E">
        <w:rPr>
          <w:rFonts w:ascii="Times New Roman" w:hAnsi="Times New Roman" w:cs="Times New Roman"/>
          <w:sz w:val="24"/>
          <w:szCs w:val="24"/>
        </w:rPr>
        <w:t>).</w:t>
      </w:r>
    </w:p>
    <w:p w14:paraId="45816FFF" w14:textId="77777777" w:rsidR="00E75E9F" w:rsidRPr="00831A7E" w:rsidRDefault="00E75E9F" w:rsidP="00E75E9F">
      <w:pPr>
        <w:jc w:val="left"/>
        <w:rPr>
          <w:rFonts w:ascii="Times New Roman" w:hAnsi="Times New Roman" w:cs="Times New Roman"/>
          <w:sz w:val="24"/>
          <w:szCs w:val="24"/>
        </w:rPr>
      </w:pPr>
    </w:p>
    <w:p w14:paraId="46207177" w14:textId="21106C4B" w:rsidR="00871AF4" w:rsidRPr="00595559" w:rsidRDefault="00871AF4" w:rsidP="00E75E9F">
      <w:pPr>
        <w:jc w:val="left"/>
        <w:rPr>
          <w:rFonts w:ascii="Times New Roman" w:hAnsi="Times New Roman" w:cs="Times New Roman"/>
          <w:sz w:val="24"/>
          <w:szCs w:val="24"/>
        </w:rPr>
      </w:pPr>
      <w:r w:rsidRPr="00831A7E">
        <w:rPr>
          <w:rFonts w:ascii="Times New Roman" w:hAnsi="Times New Roman" w:cs="Times New Roman"/>
          <w:sz w:val="24"/>
          <w:szCs w:val="24"/>
        </w:rPr>
        <w:t xml:space="preserve">Em revisão de literatura, Vaughn e Swanson (2015) apontam a necessidade de pesquisas que estudam as necessidades específicas de aprendizagem de alunos com deficiência. Isto porque é necessário garantir que resultados robustos continuem disponíveis para a comunidade educacional para melhorar o </w:t>
      </w:r>
      <w:r w:rsidRPr="00595559">
        <w:rPr>
          <w:rFonts w:ascii="Times New Roman" w:hAnsi="Times New Roman" w:cs="Times New Roman"/>
          <w:sz w:val="24"/>
          <w:szCs w:val="24"/>
        </w:rPr>
        <w:t xml:space="preserve">desempenho de </w:t>
      </w:r>
      <w:r w:rsidR="00B57484" w:rsidRPr="00595559">
        <w:rPr>
          <w:rFonts w:ascii="Times New Roman" w:hAnsi="Times New Roman" w:cs="Times New Roman"/>
          <w:sz w:val="24"/>
          <w:szCs w:val="24"/>
        </w:rPr>
        <w:t>tais</w:t>
      </w:r>
      <w:r w:rsidR="00F64B42" w:rsidRPr="00595559">
        <w:rPr>
          <w:rFonts w:ascii="Times New Roman" w:hAnsi="Times New Roman" w:cs="Times New Roman"/>
          <w:sz w:val="24"/>
          <w:szCs w:val="24"/>
        </w:rPr>
        <w:t>,</w:t>
      </w:r>
      <w:r w:rsidR="00B57484" w:rsidRPr="00595559">
        <w:rPr>
          <w:rFonts w:ascii="Times New Roman" w:hAnsi="Times New Roman" w:cs="Times New Roman"/>
          <w:sz w:val="24"/>
          <w:szCs w:val="24"/>
        </w:rPr>
        <w:t xml:space="preserve"> bem</w:t>
      </w:r>
      <w:r w:rsidRPr="00595559">
        <w:rPr>
          <w:rFonts w:ascii="Times New Roman" w:hAnsi="Times New Roman" w:cs="Times New Roman"/>
          <w:sz w:val="24"/>
          <w:szCs w:val="24"/>
        </w:rPr>
        <w:t xml:space="preserve"> como</w:t>
      </w:r>
      <w:r w:rsidR="005B04C3" w:rsidRPr="00595559">
        <w:rPr>
          <w:rFonts w:ascii="Times New Roman" w:hAnsi="Times New Roman" w:cs="Times New Roman"/>
          <w:sz w:val="24"/>
          <w:szCs w:val="24"/>
        </w:rPr>
        <w:t xml:space="preserve"> dos</w:t>
      </w:r>
      <w:r w:rsidRPr="00595559">
        <w:rPr>
          <w:rFonts w:ascii="Times New Roman" w:hAnsi="Times New Roman" w:cs="Times New Roman"/>
          <w:sz w:val="24"/>
          <w:szCs w:val="24"/>
        </w:rPr>
        <w:t xml:space="preserve"> alunos típicos. Contudo, ainda é necessária uma individualizada atenção às particularidades de cada</w:t>
      </w:r>
      <w:r w:rsidR="005B04C3" w:rsidRPr="00595559">
        <w:rPr>
          <w:rFonts w:ascii="Times New Roman" w:hAnsi="Times New Roman" w:cs="Times New Roman"/>
          <w:sz w:val="24"/>
          <w:szCs w:val="24"/>
        </w:rPr>
        <w:t xml:space="preserve"> escolar</w:t>
      </w:r>
      <w:r w:rsidRPr="00595559">
        <w:rPr>
          <w:rFonts w:ascii="Times New Roman" w:hAnsi="Times New Roman" w:cs="Times New Roman"/>
          <w:sz w:val="24"/>
          <w:szCs w:val="24"/>
        </w:rPr>
        <w:t xml:space="preserve">, principalmente de grupos que necessitam de intervenções mais intensivas e por um longo </w:t>
      </w:r>
      <w:proofErr w:type="gramStart"/>
      <w:r w:rsidRPr="00595559">
        <w:rPr>
          <w:rFonts w:ascii="Times New Roman" w:hAnsi="Times New Roman" w:cs="Times New Roman"/>
          <w:sz w:val="24"/>
          <w:szCs w:val="24"/>
        </w:rPr>
        <w:t>período de tempo</w:t>
      </w:r>
      <w:proofErr w:type="gramEnd"/>
      <w:r w:rsidRPr="00595559">
        <w:rPr>
          <w:rFonts w:ascii="Times New Roman" w:hAnsi="Times New Roman" w:cs="Times New Roman"/>
          <w:sz w:val="24"/>
          <w:szCs w:val="24"/>
        </w:rPr>
        <w:t>, como no caso do autismo (</w:t>
      </w:r>
      <w:r w:rsidR="000A5BFA" w:rsidRPr="00595559">
        <w:rPr>
          <w:rFonts w:ascii="Times New Roman" w:hAnsi="Times New Roman" w:cs="Times New Roman"/>
          <w:sz w:val="24"/>
          <w:szCs w:val="24"/>
        </w:rPr>
        <w:t xml:space="preserve">Fuchs </w:t>
      </w:r>
      <w:r w:rsidR="000A5BFA" w:rsidRPr="00A21C54">
        <w:rPr>
          <w:rFonts w:ascii="Times New Roman" w:hAnsi="Times New Roman" w:cs="Times New Roman"/>
          <w:sz w:val="24"/>
          <w:szCs w:val="24"/>
        </w:rPr>
        <w:t>et al</w:t>
      </w:r>
      <w:r w:rsidR="000A5BFA" w:rsidRPr="00595559">
        <w:rPr>
          <w:rFonts w:ascii="Times New Roman" w:hAnsi="Times New Roman" w:cs="Times New Roman"/>
          <w:i/>
          <w:iCs/>
          <w:sz w:val="24"/>
          <w:szCs w:val="24"/>
        </w:rPr>
        <w:t>.</w:t>
      </w:r>
      <w:r w:rsidR="000A5BFA" w:rsidRPr="00595559">
        <w:rPr>
          <w:rFonts w:ascii="Times New Roman" w:hAnsi="Times New Roman" w:cs="Times New Roman"/>
          <w:sz w:val="24"/>
          <w:szCs w:val="24"/>
        </w:rPr>
        <w:t>, 2014; Pyle</w:t>
      </w:r>
      <w:r w:rsidR="00A21C54">
        <w:rPr>
          <w:rFonts w:ascii="Times New Roman" w:hAnsi="Times New Roman" w:cs="Times New Roman"/>
          <w:sz w:val="24"/>
          <w:szCs w:val="24"/>
        </w:rPr>
        <w:t xml:space="preserve"> &amp;</w:t>
      </w:r>
      <w:r w:rsidR="000A5BFA" w:rsidRPr="00595559">
        <w:rPr>
          <w:rFonts w:ascii="Times New Roman" w:hAnsi="Times New Roman" w:cs="Times New Roman"/>
          <w:sz w:val="24"/>
          <w:szCs w:val="24"/>
        </w:rPr>
        <w:t xml:space="preserve"> Vaughn, 2012</w:t>
      </w:r>
      <w:r w:rsidRPr="00595559">
        <w:rPr>
          <w:rFonts w:ascii="Times New Roman" w:hAnsi="Times New Roman" w:cs="Times New Roman"/>
          <w:sz w:val="24"/>
          <w:szCs w:val="24"/>
        </w:rPr>
        <w:t>).</w:t>
      </w:r>
    </w:p>
    <w:p w14:paraId="65ADB985" w14:textId="4AE1654F" w:rsidR="00871AF4" w:rsidRDefault="00871AF4" w:rsidP="00E75E9F">
      <w:pPr>
        <w:jc w:val="left"/>
        <w:rPr>
          <w:rFonts w:ascii="Times New Roman" w:hAnsi="Times New Roman" w:cs="Times New Roman"/>
          <w:sz w:val="24"/>
          <w:szCs w:val="24"/>
        </w:rPr>
      </w:pPr>
      <w:r w:rsidRPr="00595559">
        <w:rPr>
          <w:rFonts w:ascii="Times New Roman" w:hAnsi="Times New Roman" w:cs="Times New Roman"/>
          <w:sz w:val="24"/>
          <w:szCs w:val="24"/>
        </w:rPr>
        <w:t xml:space="preserve">Estudos demonstram a utilização da fluência de leitura em grupos de alunos sem queixas, </w:t>
      </w:r>
      <w:r w:rsidR="00781E5A" w:rsidRPr="00595559">
        <w:rPr>
          <w:rFonts w:ascii="Times New Roman" w:hAnsi="Times New Roman" w:cs="Times New Roman"/>
          <w:sz w:val="24"/>
          <w:szCs w:val="24"/>
        </w:rPr>
        <w:t>comparou</w:t>
      </w:r>
      <w:r w:rsidRPr="00595559">
        <w:rPr>
          <w:rFonts w:ascii="Times New Roman" w:hAnsi="Times New Roman" w:cs="Times New Roman"/>
          <w:sz w:val="24"/>
          <w:szCs w:val="24"/>
        </w:rPr>
        <w:t xml:space="preserve"> o desempenho de séries diferentes nas tarefas que avaliam a fluência de leitura (</w:t>
      </w:r>
      <w:r w:rsidR="000A5BFA" w:rsidRPr="00595559">
        <w:rPr>
          <w:rFonts w:ascii="Times New Roman" w:hAnsi="Times New Roman" w:cs="Times New Roman"/>
          <w:sz w:val="24"/>
          <w:szCs w:val="24"/>
        </w:rPr>
        <w:t xml:space="preserve">Ávila </w:t>
      </w:r>
      <w:r w:rsidR="00F64B42" w:rsidRPr="00A21C54">
        <w:rPr>
          <w:rFonts w:ascii="Times New Roman" w:hAnsi="Times New Roman" w:cs="Times New Roman"/>
          <w:sz w:val="24"/>
          <w:szCs w:val="24"/>
        </w:rPr>
        <w:t>et al</w:t>
      </w:r>
      <w:r w:rsidR="00F64B42" w:rsidRPr="00595559">
        <w:rPr>
          <w:rFonts w:ascii="Times New Roman" w:hAnsi="Times New Roman" w:cs="Times New Roman"/>
          <w:i/>
          <w:iCs/>
          <w:sz w:val="24"/>
          <w:szCs w:val="24"/>
        </w:rPr>
        <w:t>.</w:t>
      </w:r>
      <w:r w:rsidR="000A5BFA" w:rsidRPr="00595559">
        <w:rPr>
          <w:rFonts w:ascii="Times New Roman" w:hAnsi="Times New Roman" w:cs="Times New Roman"/>
          <w:sz w:val="24"/>
          <w:szCs w:val="24"/>
        </w:rPr>
        <w:t xml:space="preserve">, </w:t>
      </w:r>
      <w:r w:rsidRPr="00595559">
        <w:rPr>
          <w:rFonts w:ascii="Times New Roman" w:hAnsi="Times New Roman" w:cs="Times New Roman"/>
          <w:sz w:val="24"/>
          <w:szCs w:val="24"/>
        </w:rPr>
        <w:t>2009</w:t>
      </w:r>
      <w:r w:rsidR="000A5BFA" w:rsidRPr="00595559">
        <w:rPr>
          <w:rFonts w:ascii="Times New Roman" w:hAnsi="Times New Roman" w:cs="Times New Roman"/>
          <w:sz w:val="24"/>
          <w:szCs w:val="24"/>
        </w:rPr>
        <w:t>; Martins</w:t>
      </w:r>
      <w:r w:rsidR="004601B0">
        <w:rPr>
          <w:rFonts w:ascii="Times New Roman" w:hAnsi="Times New Roman" w:cs="Times New Roman"/>
          <w:sz w:val="24"/>
          <w:szCs w:val="24"/>
        </w:rPr>
        <w:t xml:space="preserve"> &amp;</w:t>
      </w:r>
      <w:r w:rsidR="00F64B42" w:rsidRPr="00595559">
        <w:rPr>
          <w:rFonts w:ascii="Times New Roman" w:hAnsi="Times New Roman" w:cs="Times New Roman"/>
          <w:sz w:val="24"/>
          <w:szCs w:val="24"/>
        </w:rPr>
        <w:t xml:space="preserve"> </w:t>
      </w:r>
      <w:r w:rsidR="000A5BFA" w:rsidRPr="00595559">
        <w:rPr>
          <w:rFonts w:ascii="Times New Roman" w:hAnsi="Times New Roman" w:cs="Times New Roman"/>
          <w:sz w:val="24"/>
          <w:szCs w:val="24"/>
        </w:rPr>
        <w:t>Capellini</w:t>
      </w:r>
      <w:r w:rsidRPr="00595559">
        <w:rPr>
          <w:rFonts w:ascii="Times New Roman" w:hAnsi="Times New Roman" w:cs="Times New Roman"/>
          <w:sz w:val="24"/>
          <w:szCs w:val="24"/>
        </w:rPr>
        <w:t xml:space="preserve">, 2014; </w:t>
      </w:r>
      <w:r w:rsidR="000A5BFA" w:rsidRPr="00595559">
        <w:rPr>
          <w:rFonts w:ascii="Times New Roman" w:hAnsi="Times New Roman" w:cs="Times New Roman"/>
          <w:sz w:val="24"/>
          <w:szCs w:val="24"/>
        </w:rPr>
        <w:t xml:space="preserve">Celeste </w:t>
      </w:r>
      <w:r w:rsidR="00F64B42" w:rsidRPr="00A21C54">
        <w:rPr>
          <w:rFonts w:ascii="Times New Roman" w:hAnsi="Times New Roman" w:cs="Times New Roman"/>
          <w:sz w:val="24"/>
          <w:szCs w:val="24"/>
        </w:rPr>
        <w:t>et al</w:t>
      </w:r>
      <w:r w:rsidR="00F64B42" w:rsidRPr="00595559">
        <w:rPr>
          <w:rFonts w:ascii="Times New Roman" w:hAnsi="Times New Roman" w:cs="Times New Roman"/>
          <w:i/>
          <w:iCs/>
          <w:sz w:val="24"/>
          <w:szCs w:val="24"/>
        </w:rPr>
        <w:t>.</w:t>
      </w:r>
      <w:r w:rsidRPr="00595559">
        <w:rPr>
          <w:rFonts w:ascii="Times New Roman" w:hAnsi="Times New Roman" w:cs="Times New Roman"/>
          <w:sz w:val="24"/>
          <w:szCs w:val="24"/>
        </w:rPr>
        <w:t>, 2018).</w:t>
      </w:r>
    </w:p>
    <w:p w14:paraId="05933A7E" w14:textId="77777777" w:rsidR="00E75E9F" w:rsidRPr="00595559" w:rsidRDefault="00E75E9F" w:rsidP="00E75E9F">
      <w:pPr>
        <w:jc w:val="left"/>
        <w:rPr>
          <w:rFonts w:ascii="Times New Roman" w:hAnsi="Times New Roman" w:cs="Times New Roman"/>
          <w:sz w:val="24"/>
          <w:szCs w:val="24"/>
        </w:rPr>
      </w:pPr>
    </w:p>
    <w:p w14:paraId="54B3149B" w14:textId="7C37B2A3" w:rsidR="00871AF4" w:rsidRDefault="00871AF4" w:rsidP="00E75E9F">
      <w:pPr>
        <w:jc w:val="left"/>
        <w:rPr>
          <w:rFonts w:ascii="Times New Roman" w:hAnsi="Times New Roman" w:cs="Times New Roman"/>
          <w:sz w:val="24"/>
          <w:szCs w:val="24"/>
        </w:rPr>
      </w:pPr>
      <w:r w:rsidRPr="00595559">
        <w:rPr>
          <w:rFonts w:ascii="Times New Roman" w:hAnsi="Times New Roman" w:cs="Times New Roman"/>
          <w:sz w:val="24"/>
          <w:szCs w:val="24"/>
        </w:rPr>
        <w:t>Atualmente</w:t>
      </w:r>
      <w:r w:rsidR="00F64B42" w:rsidRPr="00595559">
        <w:rPr>
          <w:rFonts w:ascii="Times New Roman" w:hAnsi="Times New Roman" w:cs="Times New Roman"/>
          <w:sz w:val="24"/>
          <w:szCs w:val="24"/>
        </w:rPr>
        <w:t>,</w:t>
      </w:r>
      <w:r w:rsidRPr="00595559">
        <w:rPr>
          <w:rFonts w:ascii="Times New Roman" w:hAnsi="Times New Roman" w:cs="Times New Roman"/>
          <w:sz w:val="24"/>
          <w:szCs w:val="24"/>
        </w:rPr>
        <w:t xml:space="preserve"> a avaliação de escolares da educação inclusiva, baseia-se em análises subjetivas e não sistematizadas. Estudos (C</w:t>
      </w:r>
      <w:r w:rsidR="000A5BFA" w:rsidRPr="00595559">
        <w:rPr>
          <w:rFonts w:ascii="Times New Roman" w:hAnsi="Times New Roman" w:cs="Times New Roman"/>
          <w:sz w:val="24"/>
          <w:szCs w:val="24"/>
        </w:rPr>
        <w:t>astro</w:t>
      </w:r>
      <w:r w:rsidRPr="00595559">
        <w:rPr>
          <w:rFonts w:ascii="Times New Roman" w:hAnsi="Times New Roman" w:cs="Times New Roman"/>
          <w:sz w:val="24"/>
          <w:szCs w:val="24"/>
        </w:rPr>
        <w:t>, 2007; C</w:t>
      </w:r>
      <w:r w:rsidR="000A5BFA" w:rsidRPr="00595559">
        <w:rPr>
          <w:rFonts w:ascii="Times New Roman" w:hAnsi="Times New Roman" w:cs="Times New Roman"/>
          <w:sz w:val="24"/>
          <w:szCs w:val="24"/>
        </w:rPr>
        <w:t xml:space="preserve">ampos </w:t>
      </w:r>
      <w:r w:rsidR="00F64B42" w:rsidRPr="00A21C54">
        <w:rPr>
          <w:rFonts w:ascii="Times New Roman" w:hAnsi="Times New Roman" w:cs="Times New Roman"/>
          <w:sz w:val="24"/>
          <w:szCs w:val="24"/>
        </w:rPr>
        <w:t>et al</w:t>
      </w:r>
      <w:r w:rsidR="00F64B42" w:rsidRPr="00595559">
        <w:rPr>
          <w:rFonts w:ascii="Times New Roman" w:hAnsi="Times New Roman" w:cs="Times New Roman"/>
          <w:i/>
          <w:iCs/>
          <w:sz w:val="24"/>
          <w:szCs w:val="24"/>
        </w:rPr>
        <w:t>.</w:t>
      </w:r>
      <w:r w:rsidR="000A5BFA" w:rsidRPr="00595559">
        <w:rPr>
          <w:rFonts w:ascii="Times New Roman" w:hAnsi="Times New Roman" w:cs="Times New Roman"/>
          <w:sz w:val="24"/>
          <w:szCs w:val="24"/>
        </w:rPr>
        <w:t>,</w:t>
      </w:r>
      <w:r w:rsidRPr="00595559">
        <w:rPr>
          <w:rFonts w:ascii="Times New Roman" w:hAnsi="Times New Roman" w:cs="Times New Roman"/>
          <w:sz w:val="24"/>
          <w:szCs w:val="24"/>
        </w:rPr>
        <w:t xml:space="preserve"> 2012) revelam a carência do conhecimento de professores com relação aos métodos avaliativos que possibilitem estratégias que melhor se adequem as necessidades especiais dos alunos.</w:t>
      </w:r>
    </w:p>
    <w:p w14:paraId="7FCD0043" w14:textId="77777777" w:rsidR="00E75E9F" w:rsidRPr="00595559" w:rsidRDefault="00E75E9F" w:rsidP="00E75E9F">
      <w:pPr>
        <w:jc w:val="left"/>
        <w:rPr>
          <w:rFonts w:ascii="Times New Roman" w:hAnsi="Times New Roman" w:cs="Times New Roman"/>
          <w:sz w:val="24"/>
          <w:szCs w:val="24"/>
        </w:rPr>
      </w:pPr>
    </w:p>
    <w:p w14:paraId="752A70B9" w14:textId="02BFCFBA" w:rsidR="00871AF4" w:rsidRDefault="00871AF4" w:rsidP="00E75E9F">
      <w:pPr>
        <w:jc w:val="left"/>
        <w:rPr>
          <w:rFonts w:ascii="Times New Roman" w:hAnsi="Times New Roman" w:cs="Times New Roman"/>
          <w:sz w:val="24"/>
          <w:szCs w:val="24"/>
        </w:rPr>
      </w:pPr>
      <w:r w:rsidRPr="00595559">
        <w:rPr>
          <w:rFonts w:ascii="Times New Roman" w:hAnsi="Times New Roman" w:cs="Times New Roman"/>
          <w:sz w:val="24"/>
          <w:szCs w:val="24"/>
        </w:rPr>
        <w:t>Em revisão de literatura foram encontrados estudos relaciona</w:t>
      </w:r>
      <w:r w:rsidR="00781E5A" w:rsidRPr="00595559">
        <w:rPr>
          <w:rFonts w:ascii="Times New Roman" w:hAnsi="Times New Roman" w:cs="Times New Roman"/>
          <w:sz w:val="24"/>
          <w:szCs w:val="24"/>
        </w:rPr>
        <w:t>ram</w:t>
      </w:r>
      <w:r w:rsidRPr="00595559">
        <w:rPr>
          <w:rFonts w:ascii="Times New Roman" w:hAnsi="Times New Roman" w:cs="Times New Roman"/>
          <w:sz w:val="24"/>
          <w:szCs w:val="24"/>
        </w:rPr>
        <w:t xml:space="preserve"> os diagnósticos dos alunos do </w:t>
      </w:r>
      <w:r w:rsidR="00F64B42" w:rsidRPr="00595559">
        <w:rPr>
          <w:rFonts w:ascii="Times New Roman" w:hAnsi="Times New Roman" w:cs="Times New Roman"/>
          <w:sz w:val="24"/>
          <w:szCs w:val="24"/>
        </w:rPr>
        <w:t>p</w:t>
      </w:r>
      <w:r w:rsidRPr="00595559">
        <w:rPr>
          <w:rFonts w:ascii="Times New Roman" w:hAnsi="Times New Roman" w:cs="Times New Roman"/>
          <w:sz w:val="24"/>
          <w:szCs w:val="24"/>
        </w:rPr>
        <w:t>úblico-</w:t>
      </w:r>
      <w:r w:rsidR="00B57484" w:rsidRPr="00595559">
        <w:rPr>
          <w:rFonts w:ascii="Times New Roman" w:hAnsi="Times New Roman" w:cs="Times New Roman"/>
          <w:sz w:val="24"/>
          <w:szCs w:val="24"/>
        </w:rPr>
        <w:t xml:space="preserve">alvo da educação especial </w:t>
      </w:r>
      <w:r w:rsidRPr="00831A7E">
        <w:rPr>
          <w:rFonts w:ascii="Times New Roman" w:hAnsi="Times New Roman" w:cs="Times New Roman"/>
          <w:sz w:val="24"/>
          <w:szCs w:val="24"/>
        </w:rPr>
        <w:t>(PAEE) e a avaliação da fluência de leitura.</w:t>
      </w:r>
      <w:r w:rsidR="002757D4" w:rsidRPr="00831A7E">
        <w:rPr>
          <w:rFonts w:ascii="Times New Roman" w:hAnsi="Times New Roman" w:cs="Times New Roman"/>
          <w:sz w:val="24"/>
          <w:szCs w:val="24"/>
        </w:rPr>
        <w:t xml:space="preserve"> </w:t>
      </w:r>
      <w:r w:rsidRPr="00831A7E">
        <w:rPr>
          <w:rFonts w:ascii="Times New Roman" w:hAnsi="Times New Roman" w:cs="Times New Roman"/>
          <w:sz w:val="24"/>
          <w:szCs w:val="24"/>
        </w:rPr>
        <w:t xml:space="preserve">Esses serão descritos abaixo. </w:t>
      </w:r>
    </w:p>
    <w:p w14:paraId="1390BFE8" w14:textId="77777777" w:rsidR="00E75E9F" w:rsidRPr="00831A7E" w:rsidRDefault="00E75E9F" w:rsidP="00E75E9F">
      <w:pPr>
        <w:jc w:val="left"/>
        <w:rPr>
          <w:rFonts w:ascii="Times New Roman" w:hAnsi="Times New Roman" w:cs="Times New Roman"/>
          <w:sz w:val="24"/>
          <w:szCs w:val="24"/>
        </w:rPr>
      </w:pPr>
    </w:p>
    <w:p w14:paraId="7833510E" w14:textId="0E174B72" w:rsidR="00871AF4" w:rsidRDefault="00871AF4" w:rsidP="00E75E9F">
      <w:pPr>
        <w:jc w:val="left"/>
        <w:rPr>
          <w:rFonts w:ascii="Times New Roman" w:hAnsi="Times New Roman" w:cs="Times New Roman"/>
          <w:sz w:val="24"/>
          <w:szCs w:val="24"/>
          <w:shd w:val="clear" w:color="auto" w:fill="FFFFFF"/>
        </w:rPr>
      </w:pPr>
      <w:r w:rsidRPr="00831A7E">
        <w:rPr>
          <w:rFonts w:ascii="Times New Roman" w:hAnsi="Times New Roman" w:cs="Times New Roman"/>
          <w:sz w:val="24"/>
          <w:szCs w:val="24"/>
        </w:rPr>
        <w:t>Estudo realizado com um grupo de crianças com diagnóstico de Transtorno de Déficit da Atenção e Hiperatividade (TDAH</w:t>
      </w:r>
      <w:r w:rsidR="00595559">
        <w:rPr>
          <w:rFonts w:ascii="Times New Roman" w:hAnsi="Times New Roman" w:cs="Times New Roman"/>
          <w:sz w:val="24"/>
          <w:szCs w:val="24"/>
        </w:rPr>
        <w:t>, 41 participantes</w:t>
      </w:r>
      <w:r w:rsidRPr="00831A7E">
        <w:rPr>
          <w:rFonts w:ascii="Times New Roman" w:hAnsi="Times New Roman" w:cs="Times New Roman"/>
          <w:sz w:val="24"/>
          <w:szCs w:val="24"/>
        </w:rPr>
        <w:t>) e Grupo Controle (GC</w:t>
      </w:r>
      <w:r w:rsidR="00595559">
        <w:rPr>
          <w:rFonts w:ascii="Times New Roman" w:hAnsi="Times New Roman" w:cs="Times New Roman"/>
          <w:sz w:val="24"/>
          <w:szCs w:val="24"/>
        </w:rPr>
        <w:t>, 21 participantes</w:t>
      </w:r>
      <w:r w:rsidRPr="00831A7E">
        <w:rPr>
          <w:rFonts w:ascii="Times New Roman" w:hAnsi="Times New Roman" w:cs="Times New Roman"/>
          <w:sz w:val="24"/>
          <w:szCs w:val="24"/>
        </w:rPr>
        <w:t xml:space="preserve">) </w:t>
      </w:r>
      <w:r w:rsidRPr="00831A7E">
        <w:rPr>
          <w:rFonts w:ascii="Times New Roman" w:hAnsi="Times New Roman" w:cs="Times New Roman"/>
          <w:sz w:val="24"/>
          <w:szCs w:val="24"/>
        </w:rPr>
        <w:lastRenderedPageBreak/>
        <w:t>examinou o desempenho dos participantes nas tarefas de velocidade do processamento cerebral e fluência de leitura</w:t>
      </w:r>
      <w:r w:rsidR="009103E9" w:rsidRPr="00831A7E">
        <w:rPr>
          <w:rFonts w:ascii="Times New Roman" w:hAnsi="Times New Roman" w:cs="Times New Roman"/>
          <w:sz w:val="24"/>
          <w:szCs w:val="24"/>
        </w:rPr>
        <w:t>.</w:t>
      </w:r>
      <w:r w:rsidRPr="00831A7E">
        <w:rPr>
          <w:rFonts w:ascii="Times New Roman" w:hAnsi="Times New Roman" w:cs="Times New Roman"/>
          <w:sz w:val="24"/>
          <w:szCs w:val="24"/>
        </w:rPr>
        <w:t xml:space="preserve"> Para tanto, os alunos com diagnóstico de TDAH, quando utilizado, não realizaram o uso de medicação no dia da avaliação. A avaliação da fluência de leitura oral foi realizada </w:t>
      </w:r>
      <w:r w:rsidR="00781E5A" w:rsidRPr="00831A7E">
        <w:rPr>
          <w:rFonts w:ascii="Times New Roman" w:hAnsi="Times New Roman" w:cs="Times New Roman"/>
          <w:sz w:val="24"/>
          <w:szCs w:val="24"/>
        </w:rPr>
        <w:t xml:space="preserve">com </w:t>
      </w:r>
      <w:r w:rsidRPr="00831A7E">
        <w:rPr>
          <w:rFonts w:ascii="Times New Roman" w:hAnsi="Times New Roman" w:cs="Times New Roman"/>
          <w:sz w:val="24"/>
          <w:szCs w:val="24"/>
        </w:rPr>
        <w:t xml:space="preserve">as provas de leitura de palavras e pseudopalavras isoladas, leitura de frases e texto. Na comparação entre grupos os desempenhos nas tarefas de fluência de leitura foram significativamente </w:t>
      </w:r>
      <w:r w:rsidR="001A5AD3" w:rsidRPr="00831A7E">
        <w:rPr>
          <w:rFonts w:ascii="Times New Roman" w:hAnsi="Times New Roman" w:cs="Times New Roman"/>
          <w:sz w:val="24"/>
          <w:szCs w:val="24"/>
        </w:rPr>
        <w:t>superiores</w:t>
      </w:r>
      <w:r w:rsidRPr="00831A7E">
        <w:rPr>
          <w:rFonts w:ascii="Times New Roman" w:hAnsi="Times New Roman" w:cs="Times New Roman"/>
          <w:sz w:val="24"/>
          <w:szCs w:val="24"/>
        </w:rPr>
        <w:t xml:space="preserve"> para o grupo controle, sendo o processamento de informações mais lento</w:t>
      </w:r>
      <w:r w:rsidR="00562808" w:rsidRPr="00831A7E">
        <w:rPr>
          <w:rFonts w:ascii="Times New Roman" w:hAnsi="Times New Roman" w:cs="Times New Roman"/>
          <w:sz w:val="24"/>
          <w:szCs w:val="24"/>
        </w:rPr>
        <w:t xml:space="preserve"> no grupo de escolares com TDAH</w:t>
      </w:r>
      <w:r w:rsidRPr="00831A7E">
        <w:rPr>
          <w:rFonts w:ascii="Times New Roman" w:hAnsi="Times New Roman" w:cs="Times New Roman"/>
          <w:sz w:val="24"/>
          <w:szCs w:val="24"/>
        </w:rPr>
        <w:t xml:space="preserve">, apontado como </w:t>
      </w:r>
      <w:r w:rsidRPr="006E6FA7">
        <w:rPr>
          <w:rFonts w:ascii="Times New Roman" w:hAnsi="Times New Roman" w:cs="Times New Roman"/>
          <w:sz w:val="24"/>
          <w:szCs w:val="24"/>
        </w:rPr>
        <w:t>a principal causa para esta diferença. O estudo em questão sugeriu analisar a associação do processamento mais lento das crianças com TDAH nas tarefas de compreensão de leitura (</w:t>
      </w:r>
      <w:r w:rsidRPr="006E6FA7">
        <w:rPr>
          <w:rFonts w:ascii="Times New Roman" w:hAnsi="Times New Roman" w:cs="Times New Roman"/>
          <w:sz w:val="24"/>
          <w:szCs w:val="24"/>
          <w:shd w:val="clear" w:color="auto" w:fill="FFFFFF"/>
        </w:rPr>
        <w:t>J</w:t>
      </w:r>
      <w:r w:rsidR="000A5BFA" w:rsidRPr="006E6FA7">
        <w:rPr>
          <w:rFonts w:ascii="Times New Roman" w:hAnsi="Times New Roman" w:cs="Times New Roman"/>
          <w:sz w:val="24"/>
          <w:szCs w:val="24"/>
          <w:shd w:val="clear" w:color="auto" w:fill="FFFFFF"/>
        </w:rPr>
        <w:t>acobson</w:t>
      </w:r>
      <w:r w:rsidR="00F37958" w:rsidRPr="006E6FA7">
        <w:rPr>
          <w:rFonts w:ascii="Times New Roman" w:hAnsi="Times New Roman" w:cs="Times New Roman"/>
          <w:sz w:val="24"/>
          <w:szCs w:val="24"/>
          <w:shd w:val="clear" w:color="auto" w:fill="FFFFFF"/>
        </w:rPr>
        <w:t xml:space="preserve"> </w:t>
      </w:r>
      <w:r w:rsidR="00F37958" w:rsidRPr="00A21C54">
        <w:rPr>
          <w:rFonts w:ascii="Times New Roman" w:hAnsi="Times New Roman" w:cs="Times New Roman"/>
          <w:sz w:val="24"/>
          <w:szCs w:val="24"/>
          <w:shd w:val="clear" w:color="auto" w:fill="FFFFFF"/>
        </w:rPr>
        <w:t>et al</w:t>
      </w:r>
      <w:r w:rsidR="00F37958" w:rsidRPr="00112327">
        <w:rPr>
          <w:rFonts w:ascii="Times New Roman" w:hAnsi="Times New Roman" w:cs="Times New Roman"/>
          <w:i/>
          <w:iCs/>
          <w:sz w:val="24"/>
          <w:szCs w:val="24"/>
          <w:shd w:val="clear" w:color="auto" w:fill="FFFFFF"/>
        </w:rPr>
        <w:t>.</w:t>
      </w:r>
      <w:r w:rsidRPr="00112327">
        <w:rPr>
          <w:rFonts w:ascii="Times New Roman" w:hAnsi="Times New Roman" w:cs="Times New Roman"/>
          <w:sz w:val="24"/>
          <w:szCs w:val="24"/>
          <w:shd w:val="clear" w:color="auto" w:fill="FFFFFF"/>
        </w:rPr>
        <w:t>,</w:t>
      </w:r>
      <w:r w:rsidRPr="006E6FA7">
        <w:rPr>
          <w:rFonts w:ascii="Times New Roman" w:hAnsi="Times New Roman" w:cs="Times New Roman"/>
          <w:sz w:val="24"/>
          <w:szCs w:val="24"/>
          <w:shd w:val="clear" w:color="auto" w:fill="FFFFFF"/>
        </w:rPr>
        <w:t xml:space="preserve"> 2011</w:t>
      </w:r>
      <w:r w:rsidRPr="00831A7E">
        <w:rPr>
          <w:rFonts w:ascii="Times New Roman" w:hAnsi="Times New Roman" w:cs="Times New Roman"/>
          <w:sz w:val="24"/>
          <w:szCs w:val="24"/>
          <w:shd w:val="clear" w:color="auto" w:fill="FFFFFF"/>
        </w:rPr>
        <w:t>).</w:t>
      </w:r>
    </w:p>
    <w:p w14:paraId="0D02DE7E" w14:textId="77777777" w:rsidR="00E75E9F" w:rsidRPr="00831A7E" w:rsidRDefault="00E75E9F" w:rsidP="00E75E9F">
      <w:pPr>
        <w:jc w:val="left"/>
        <w:rPr>
          <w:rFonts w:ascii="Times New Roman" w:hAnsi="Times New Roman" w:cs="Times New Roman"/>
          <w:sz w:val="24"/>
          <w:szCs w:val="24"/>
        </w:rPr>
      </w:pPr>
    </w:p>
    <w:p w14:paraId="63B97CFF" w14:textId="421E2DC3" w:rsidR="00871AF4" w:rsidRDefault="00871AF4" w:rsidP="00E75E9F">
      <w:pPr>
        <w:jc w:val="left"/>
        <w:rPr>
          <w:rFonts w:ascii="Times New Roman" w:hAnsi="Times New Roman" w:cs="Times New Roman"/>
          <w:sz w:val="24"/>
          <w:szCs w:val="24"/>
        </w:rPr>
      </w:pPr>
      <w:r w:rsidRPr="00831A7E">
        <w:rPr>
          <w:rFonts w:ascii="Times New Roman" w:hAnsi="Times New Roman" w:cs="Times New Roman"/>
          <w:sz w:val="24"/>
          <w:szCs w:val="24"/>
        </w:rPr>
        <w:t>Apesar da relevância da pesquisa descrita acima, o foco dos pesquisadores não foi a utilização da fluência de leitura no contexto escolar. Isso porque, a ausência do uso de medicamentos prescritos pelo médico pode ter influenciado negativamente</w:t>
      </w:r>
      <w:r w:rsidR="00562808" w:rsidRPr="00831A7E">
        <w:rPr>
          <w:rFonts w:ascii="Times New Roman" w:hAnsi="Times New Roman" w:cs="Times New Roman"/>
          <w:sz w:val="24"/>
          <w:szCs w:val="24"/>
        </w:rPr>
        <w:t xml:space="preserve"> n</w:t>
      </w:r>
      <w:r w:rsidRPr="00831A7E">
        <w:rPr>
          <w:rFonts w:ascii="Times New Roman" w:hAnsi="Times New Roman" w:cs="Times New Roman"/>
          <w:sz w:val="24"/>
          <w:szCs w:val="24"/>
        </w:rPr>
        <w:t xml:space="preserve">o </w:t>
      </w:r>
      <w:r w:rsidRPr="006E6FA7">
        <w:rPr>
          <w:rFonts w:ascii="Times New Roman" w:hAnsi="Times New Roman" w:cs="Times New Roman"/>
          <w:sz w:val="24"/>
          <w:szCs w:val="24"/>
        </w:rPr>
        <w:t xml:space="preserve">desempenho dos alunos, </w:t>
      </w:r>
      <w:r w:rsidR="00562808" w:rsidRPr="006E6FA7">
        <w:rPr>
          <w:rFonts w:ascii="Times New Roman" w:hAnsi="Times New Roman" w:cs="Times New Roman"/>
          <w:sz w:val="24"/>
          <w:szCs w:val="24"/>
        </w:rPr>
        <w:t xml:space="preserve">o que não é </w:t>
      </w:r>
      <w:r w:rsidRPr="006E6FA7">
        <w:rPr>
          <w:rFonts w:ascii="Times New Roman" w:hAnsi="Times New Roman" w:cs="Times New Roman"/>
          <w:sz w:val="24"/>
          <w:szCs w:val="24"/>
        </w:rPr>
        <w:t>condizente com a realidade diária das crianças.</w:t>
      </w:r>
    </w:p>
    <w:p w14:paraId="1ACE6F34" w14:textId="77777777" w:rsidR="00E75E9F" w:rsidRPr="006E6FA7" w:rsidRDefault="00E75E9F" w:rsidP="00E75E9F">
      <w:pPr>
        <w:jc w:val="left"/>
        <w:rPr>
          <w:rFonts w:ascii="Times New Roman" w:hAnsi="Times New Roman" w:cs="Times New Roman"/>
          <w:sz w:val="24"/>
          <w:szCs w:val="24"/>
        </w:rPr>
      </w:pPr>
    </w:p>
    <w:p w14:paraId="5DFD26AA" w14:textId="7C8CDDCD" w:rsidR="00871AF4" w:rsidRDefault="00871AF4" w:rsidP="00E75E9F">
      <w:pPr>
        <w:jc w:val="left"/>
        <w:rPr>
          <w:rFonts w:ascii="Times New Roman" w:hAnsi="Times New Roman" w:cs="Times New Roman"/>
          <w:sz w:val="24"/>
          <w:szCs w:val="24"/>
        </w:rPr>
      </w:pPr>
      <w:r w:rsidRPr="006E6FA7">
        <w:rPr>
          <w:rFonts w:ascii="Times New Roman" w:hAnsi="Times New Roman" w:cs="Times New Roman"/>
          <w:sz w:val="24"/>
          <w:szCs w:val="24"/>
        </w:rPr>
        <w:t xml:space="preserve">Estudo similar, realizado pelos mesmos autores citados anteriormente, </w:t>
      </w:r>
      <w:r w:rsidR="009103E9" w:rsidRPr="006E6FA7">
        <w:rPr>
          <w:rFonts w:ascii="Times New Roman" w:hAnsi="Times New Roman" w:cs="Times New Roman"/>
          <w:sz w:val="24"/>
          <w:szCs w:val="24"/>
        </w:rPr>
        <w:t>tendo por objetivo</w:t>
      </w:r>
      <w:r w:rsidRPr="006E6FA7">
        <w:rPr>
          <w:rFonts w:ascii="Times New Roman" w:hAnsi="Times New Roman" w:cs="Times New Roman"/>
          <w:sz w:val="24"/>
          <w:szCs w:val="24"/>
        </w:rPr>
        <w:t xml:space="preserve"> avaliar a velocidade de resposta e variabilidade das crianças com TDAH, comparou o desempenho de um grupo de alunos com TDAH e grupo controle</w:t>
      </w:r>
      <w:r w:rsidR="006E6FA7" w:rsidRPr="006E6FA7">
        <w:rPr>
          <w:rFonts w:ascii="Times New Roman" w:hAnsi="Times New Roman" w:cs="Times New Roman"/>
          <w:sz w:val="24"/>
          <w:szCs w:val="24"/>
        </w:rPr>
        <w:t xml:space="preserve"> (total de 67participantes, sendo 39 do GI e 28 do GC)</w:t>
      </w:r>
      <w:r w:rsidRPr="006E6FA7">
        <w:rPr>
          <w:rFonts w:ascii="Times New Roman" w:hAnsi="Times New Roman" w:cs="Times New Roman"/>
          <w:sz w:val="24"/>
          <w:szCs w:val="24"/>
        </w:rPr>
        <w:t xml:space="preserve"> em tarefas de fluência de leitura e tarefas de reação computadorizada simples. Como resultado, não foram encontradas diferenças estatisticamente significantes no teste de leitura de palavras, no entanto, diferenças foram evidenciadas nas provas de leitura de frases, pseudopalavras e textos.  O estudo concluiu que a variabilidade no tempo de reação associado a respostas mais lentas, podem estar implicadas em um pior desempenho acadêmico de alunos com diagnóstico de TDAH (J</w:t>
      </w:r>
      <w:r w:rsidR="000A5BFA" w:rsidRPr="006E6FA7">
        <w:rPr>
          <w:rFonts w:ascii="Times New Roman" w:hAnsi="Times New Roman" w:cs="Times New Roman"/>
          <w:sz w:val="24"/>
          <w:szCs w:val="24"/>
        </w:rPr>
        <w:t>acobson</w:t>
      </w:r>
      <w:r w:rsidR="00F37958" w:rsidRPr="006E6FA7">
        <w:rPr>
          <w:rFonts w:ascii="Times New Roman" w:hAnsi="Times New Roman" w:cs="Times New Roman"/>
          <w:sz w:val="24"/>
          <w:szCs w:val="24"/>
        </w:rPr>
        <w:t xml:space="preserve"> </w:t>
      </w:r>
      <w:r w:rsidR="00F37958" w:rsidRPr="00A21C54">
        <w:rPr>
          <w:rFonts w:ascii="Times New Roman" w:hAnsi="Times New Roman" w:cs="Times New Roman"/>
          <w:sz w:val="24"/>
          <w:szCs w:val="24"/>
          <w:shd w:val="clear" w:color="auto" w:fill="FFFFFF"/>
        </w:rPr>
        <w:t>et al</w:t>
      </w:r>
      <w:r w:rsidR="00F37958" w:rsidRPr="006E6FA7">
        <w:rPr>
          <w:rFonts w:ascii="Times New Roman" w:hAnsi="Times New Roman" w:cs="Times New Roman"/>
          <w:i/>
          <w:iCs/>
          <w:sz w:val="24"/>
          <w:szCs w:val="24"/>
          <w:shd w:val="clear" w:color="auto" w:fill="FFFFFF"/>
        </w:rPr>
        <w:t>.</w:t>
      </w:r>
      <w:r w:rsidRPr="006E6FA7">
        <w:rPr>
          <w:rFonts w:ascii="Times New Roman" w:hAnsi="Times New Roman" w:cs="Times New Roman"/>
          <w:sz w:val="24"/>
          <w:szCs w:val="24"/>
        </w:rPr>
        <w:t>, 2013).</w:t>
      </w:r>
    </w:p>
    <w:p w14:paraId="4325FF5A" w14:textId="77777777" w:rsidR="00E75E9F" w:rsidRPr="006E6FA7" w:rsidRDefault="00E75E9F" w:rsidP="00E75E9F">
      <w:pPr>
        <w:jc w:val="left"/>
        <w:rPr>
          <w:rFonts w:ascii="Times New Roman" w:hAnsi="Times New Roman" w:cs="Times New Roman"/>
          <w:sz w:val="24"/>
          <w:szCs w:val="24"/>
        </w:rPr>
      </w:pPr>
    </w:p>
    <w:p w14:paraId="53C13467" w14:textId="13ADDCBE" w:rsidR="00871AF4" w:rsidRDefault="00562808" w:rsidP="00E75E9F">
      <w:pPr>
        <w:jc w:val="left"/>
        <w:rPr>
          <w:rFonts w:ascii="Times New Roman" w:hAnsi="Times New Roman" w:cs="Times New Roman"/>
          <w:sz w:val="24"/>
          <w:szCs w:val="24"/>
        </w:rPr>
      </w:pPr>
      <w:r w:rsidRPr="00831A7E">
        <w:rPr>
          <w:rFonts w:ascii="Times New Roman" w:hAnsi="Times New Roman" w:cs="Times New Roman"/>
          <w:sz w:val="24"/>
          <w:szCs w:val="24"/>
        </w:rPr>
        <w:t>Com o objetivo de</w:t>
      </w:r>
      <w:r w:rsidR="00871AF4" w:rsidRPr="00831A7E">
        <w:rPr>
          <w:rFonts w:ascii="Times New Roman" w:hAnsi="Times New Roman" w:cs="Times New Roman"/>
          <w:sz w:val="24"/>
          <w:szCs w:val="24"/>
        </w:rPr>
        <w:t xml:space="preserve"> avaliar a decodificação na leitura e a compreensão, uma pesquisa env</w:t>
      </w:r>
      <w:r w:rsidR="001A5AD3" w:rsidRPr="00831A7E">
        <w:rPr>
          <w:rFonts w:ascii="Times New Roman" w:hAnsi="Times New Roman" w:cs="Times New Roman"/>
          <w:sz w:val="24"/>
          <w:szCs w:val="24"/>
        </w:rPr>
        <w:t>o</w:t>
      </w:r>
      <w:r w:rsidR="00871AF4" w:rsidRPr="00831A7E">
        <w:rPr>
          <w:rFonts w:ascii="Times New Roman" w:hAnsi="Times New Roman" w:cs="Times New Roman"/>
          <w:sz w:val="24"/>
          <w:szCs w:val="24"/>
        </w:rPr>
        <w:t>lv</w:t>
      </w:r>
      <w:r w:rsidR="001A5AD3" w:rsidRPr="00831A7E">
        <w:rPr>
          <w:rFonts w:ascii="Times New Roman" w:hAnsi="Times New Roman" w:cs="Times New Roman"/>
          <w:sz w:val="24"/>
          <w:szCs w:val="24"/>
        </w:rPr>
        <w:t>e</w:t>
      </w:r>
      <w:r w:rsidR="00781E5A" w:rsidRPr="00831A7E">
        <w:rPr>
          <w:rFonts w:ascii="Times New Roman" w:hAnsi="Times New Roman" w:cs="Times New Roman"/>
          <w:sz w:val="24"/>
          <w:szCs w:val="24"/>
        </w:rPr>
        <w:t xml:space="preserve">u </w:t>
      </w:r>
      <w:r w:rsidR="00871AF4" w:rsidRPr="00831A7E">
        <w:rPr>
          <w:rFonts w:ascii="Times New Roman" w:hAnsi="Times New Roman" w:cs="Times New Roman"/>
          <w:sz w:val="24"/>
          <w:szCs w:val="24"/>
        </w:rPr>
        <w:t xml:space="preserve">384 crianças com diagnósticos </w:t>
      </w:r>
      <w:r w:rsidR="006E6FA7">
        <w:rPr>
          <w:rFonts w:ascii="Times New Roman" w:hAnsi="Times New Roman" w:cs="Times New Roman"/>
          <w:sz w:val="24"/>
          <w:szCs w:val="24"/>
        </w:rPr>
        <w:t>de Transtorno Global do Desenvolvimento (</w:t>
      </w:r>
      <w:r w:rsidR="00871AF4" w:rsidRPr="00831A7E">
        <w:rPr>
          <w:rFonts w:ascii="Times New Roman" w:hAnsi="Times New Roman" w:cs="Times New Roman"/>
          <w:sz w:val="24"/>
          <w:szCs w:val="24"/>
        </w:rPr>
        <w:t>TGD</w:t>
      </w:r>
      <w:r w:rsidR="006E6FA7">
        <w:rPr>
          <w:rFonts w:ascii="Times New Roman" w:hAnsi="Times New Roman" w:cs="Times New Roman"/>
          <w:sz w:val="24"/>
          <w:szCs w:val="24"/>
        </w:rPr>
        <w:t>)</w:t>
      </w:r>
      <w:r w:rsidR="00871AF4" w:rsidRPr="00831A7E">
        <w:rPr>
          <w:rFonts w:ascii="Times New Roman" w:hAnsi="Times New Roman" w:cs="Times New Roman"/>
          <w:sz w:val="24"/>
          <w:szCs w:val="24"/>
        </w:rPr>
        <w:t xml:space="preserve"> e um grupo de comparação com 100 crianças com diagnóstico de dislexia, utilizou nove medidas padronizadas na avaliação da compreensão e decodificação. Os resultados demonstraram que especificamente no grupo de participantes com TGD</w:t>
      </w:r>
      <w:r w:rsidRPr="00831A7E">
        <w:rPr>
          <w:rFonts w:ascii="Times New Roman" w:hAnsi="Times New Roman" w:cs="Times New Roman"/>
          <w:sz w:val="24"/>
          <w:szCs w:val="24"/>
        </w:rPr>
        <w:t xml:space="preserve"> os resultados de decodificação</w:t>
      </w:r>
      <w:r w:rsidR="00871AF4" w:rsidRPr="00831A7E">
        <w:rPr>
          <w:rFonts w:ascii="Times New Roman" w:hAnsi="Times New Roman" w:cs="Times New Roman"/>
          <w:sz w:val="24"/>
          <w:szCs w:val="24"/>
        </w:rPr>
        <w:t xml:space="preserve"> não tiveram relação com a comp</w:t>
      </w:r>
      <w:r w:rsidRPr="00831A7E">
        <w:rPr>
          <w:rFonts w:ascii="Times New Roman" w:hAnsi="Times New Roman" w:cs="Times New Roman"/>
          <w:sz w:val="24"/>
          <w:szCs w:val="24"/>
        </w:rPr>
        <w:t>reensão de leitura. Isso porque</w:t>
      </w:r>
      <w:r w:rsidR="00871AF4" w:rsidRPr="00831A7E">
        <w:rPr>
          <w:rFonts w:ascii="Times New Roman" w:hAnsi="Times New Roman" w:cs="Times New Roman"/>
          <w:sz w:val="24"/>
          <w:szCs w:val="24"/>
        </w:rPr>
        <w:t xml:space="preserve"> esses alunos apresentam desempenho bem inferiores nas tarefas de compreensão. No grupo de participantes com dislexia, ocorreu o oposto, no qual o desempenho foi superior nas tarefas de compreensão, </w:t>
      </w:r>
      <w:r w:rsidR="00871AF4" w:rsidRPr="00831A7E">
        <w:rPr>
          <w:rFonts w:ascii="Times New Roman" w:hAnsi="Times New Roman" w:cs="Times New Roman"/>
          <w:sz w:val="24"/>
          <w:szCs w:val="24"/>
        </w:rPr>
        <w:lastRenderedPageBreak/>
        <w:t>comparado ao grupo de alunos com TGD (</w:t>
      </w:r>
      <w:r w:rsidR="00871AF4" w:rsidRPr="006E6FA7">
        <w:rPr>
          <w:rFonts w:ascii="Times New Roman" w:hAnsi="Times New Roman" w:cs="Times New Roman"/>
          <w:sz w:val="24"/>
          <w:szCs w:val="24"/>
          <w:shd w:val="clear" w:color="auto" w:fill="FFFFFF"/>
        </w:rPr>
        <w:t>H</w:t>
      </w:r>
      <w:r w:rsidR="000A5BFA" w:rsidRPr="006E6FA7">
        <w:rPr>
          <w:rFonts w:ascii="Times New Roman" w:hAnsi="Times New Roman" w:cs="Times New Roman"/>
          <w:sz w:val="24"/>
          <w:szCs w:val="24"/>
          <w:shd w:val="clear" w:color="auto" w:fill="FFFFFF"/>
        </w:rPr>
        <w:t>uemer</w:t>
      </w:r>
      <w:r w:rsidR="004601B0">
        <w:rPr>
          <w:rFonts w:ascii="Times New Roman" w:hAnsi="Times New Roman" w:cs="Times New Roman"/>
          <w:sz w:val="24"/>
          <w:szCs w:val="24"/>
          <w:shd w:val="clear" w:color="auto" w:fill="FFFFFF"/>
        </w:rPr>
        <w:t xml:space="preserve"> &amp;</w:t>
      </w:r>
      <w:r w:rsidR="00F37958" w:rsidRPr="006E6FA7">
        <w:rPr>
          <w:rFonts w:ascii="Times New Roman" w:hAnsi="Times New Roman" w:cs="Times New Roman"/>
          <w:sz w:val="24"/>
          <w:szCs w:val="24"/>
          <w:shd w:val="clear" w:color="auto" w:fill="FFFFFF"/>
        </w:rPr>
        <w:t xml:space="preserve"> </w:t>
      </w:r>
      <w:r w:rsidR="00F37958" w:rsidRPr="006E6FA7">
        <w:rPr>
          <w:rFonts w:ascii="Times New Roman" w:hAnsi="Times New Roman" w:cs="Times New Roman"/>
          <w:bCs/>
          <w:sz w:val="24"/>
          <w:szCs w:val="24"/>
        </w:rPr>
        <w:t>Mann</w:t>
      </w:r>
      <w:r w:rsidR="00871AF4" w:rsidRPr="006E6FA7">
        <w:rPr>
          <w:rFonts w:ascii="Times New Roman" w:hAnsi="Times New Roman" w:cs="Times New Roman"/>
          <w:sz w:val="24"/>
          <w:szCs w:val="24"/>
          <w:shd w:val="clear" w:color="auto" w:fill="FFFFFF"/>
        </w:rPr>
        <w:t xml:space="preserve">, 2010). </w:t>
      </w:r>
      <w:r w:rsidR="00871AF4" w:rsidRPr="006E6FA7">
        <w:rPr>
          <w:rFonts w:ascii="Times New Roman" w:hAnsi="Times New Roman" w:cs="Times New Roman"/>
          <w:sz w:val="24"/>
          <w:szCs w:val="24"/>
        </w:rPr>
        <w:t xml:space="preserve">Desse modo, seria necessária a avaliação de quão defasada está a compreensão dos alunos com diagnóstico de TGD. Isto poderia ser realizado por meio da análise de compressão de questões literais e inferenciais, que permitem verificar o nível de abstração que demanda o texto. </w:t>
      </w:r>
    </w:p>
    <w:p w14:paraId="6474C418" w14:textId="77777777" w:rsidR="00E75E9F" w:rsidRPr="006E6FA7" w:rsidRDefault="00E75E9F" w:rsidP="00E75E9F">
      <w:pPr>
        <w:jc w:val="left"/>
        <w:rPr>
          <w:rFonts w:ascii="Times New Roman" w:hAnsi="Times New Roman" w:cs="Times New Roman"/>
          <w:sz w:val="24"/>
          <w:szCs w:val="24"/>
        </w:rPr>
      </w:pPr>
    </w:p>
    <w:p w14:paraId="36043BCB" w14:textId="6E93B5B1" w:rsidR="00871AF4" w:rsidRDefault="00871AF4" w:rsidP="009C43BA">
      <w:pPr>
        <w:jc w:val="left"/>
        <w:rPr>
          <w:rFonts w:ascii="Times New Roman" w:hAnsi="Times New Roman" w:cs="Times New Roman"/>
          <w:sz w:val="24"/>
          <w:szCs w:val="24"/>
          <w:shd w:val="clear" w:color="auto" w:fill="FFFFFF"/>
        </w:rPr>
      </w:pPr>
      <w:r w:rsidRPr="006E6FA7">
        <w:rPr>
          <w:rFonts w:ascii="Times New Roman" w:hAnsi="Times New Roman" w:cs="Times New Roman"/>
          <w:sz w:val="24"/>
          <w:szCs w:val="24"/>
        </w:rPr>
        <w:t>O desempenho em fluência de leitura em alunos com Transtorno do Processamento Auditivo (TPA) não é um assunto que tem sido muito estudado. Contudo, um estudo realizado por S</w:t>
      </w:r>
      <w:r w:rsidR="000A5BFA" w:rsidRPr="006E6FA7">
        <w:rPr>
          <w:rFonts w:ascii="Times New Roman" w:hAnsi="Times New Roman" w:cs="Times New Roman"/>
          <w:sz w:val="24"/>
          <w:szCs w:val="24"/>
        </w:rPr>
        <w:t>harma</w:t>
      </w:r>
      <w:r w:rsidR="00500460" w:rsidRPr="006E6FA7">
        <w:rPr>
          <w:rFonts w:ascii="Times New Roman" w:hAnsi="Times New Roman" w:cs="Times New Roman"/>
          <w:sz w:val="24"/>
          <w:szCs w:val="24"/>
        </w:rPr>
        <w:t xml:space="preserve"> </w:t>
      </w:r>
      <w:r w:rsidR="00500460" w:rsidRPr="006E6FA7">
        <w:rPr>
          <w:rFonts w:ascii="Times New Roman" w:hAnsi="Times New Roman" w:cs="Times New Roman"/>
          <w:i/>
          <w:iCs/>
          <w:sz w:val="24"/>
          <w:szCs w:val="24"/>
        </w:rPr>
        <w:t>et al.</w:t>
      </w:r>
      <w:r w:rsidRPr="006E6FA7">
        <w:rPr>
          <w:rFonts w:ascii="Times New Roman" w:hAnsi="Times New Roman" w:cs="Times New Roman"/>
          <w:sz w:val="24"/>
          <w:szCs w:val="24"/>
        </w:rPr>
        <w:t xml:space="preserve"> (2006) objetivou analisar as diferenças comportamentais e eletrofisiológicas nos escolares com distúrbios de leitura e grupo, assim como identificar a presença do TPA em crianças com transtorno de leitura. Para tanto, o estudo envolveu 23 crianças com a faixa etária entre 8 e 12 anos com dificuldades de leitura e GC</w:t>
      </w:r>
      <w:r w:rsidR="009103E9" w:rsidRPr="006E6FA7">
        <w:rPr>
          <w:rFonts w:ascii="Times New Roman" w:hAnsi="Times New Roman" w:cs="Times New Roman"/>
          <w:sz w:val="24"/>
          <w:szCs w:val="24"/>
        </w:rPr>
        <w:t>.</w:t>
      </w:r>
      <w:r w:rsidRPr="006E6FA7">
        <w:rPr>
          <w:rFonts w:ascii="Times New Roman" w:hAnsi="Times New Roman" w:cs="Times New Roman"/>
          <w:sz w:val="24"/>
          <w:szCs w:val="24"/>
        </w:rPr>
        <w:t xml:space="preserve"> </w:t>
      </w:r>
      <w:r w:rsidR="009103E9" w:rsidRPr="006E6FA7">
        <w:rPr>
          <w:rFonts w:ascii="Times New Roman" w:hAnsi="Times New Roman" w:cs="Times New Roman"/>
          <w:sz w:val="24"/>
          <w:szCs w:val="24"/>
        </w:rPr>
        <w:t>F</w:t>
      </w:r>
      <w:r w:rsidRPr="006E6FA7">
        <w:rPr>
          <w:rFonts w:ascii="Times New Roman" w:hAnsi="Times New Roman" w:cs="Times New Roman"/>
          <w:sz w:val="24"/>
          <w:szCs w:val="24"/>
        </w:rPr>
        <w:t xml:space="preserve">oram </w:t>
      </w:r>
      <w:r w:rsidRPr="00831A7E">
        <w:rPr>
          <w:rFonts w:ascii="Times New Roman" w:hAnsi="Times New Roman" w:cs="Times New Roman"/>
          <w:sz w:val="24"/>
          <w:szCs w:val="24"/>
        </w:rPr>
        <w:t xml:space="preserve">realizadas provas relacionadas a habilidades do processamento auditivo central. Houve correlação na leitura de palavras, pseudopalavras e medidas do processamento auditivo, </w:t>
      </w:r>
      <w:r w:rsidR="00781E5A" w:rsidRPr="00831A7E">
        <w:rPr>
          <w:rFonts w:ascii="Times New Roman" w:hAnsi="Times New Roman" w:cs="Times New Roman"/>
          <w:sz w:val="24"/>
          <w:szCs w:val="24"/>
        </w:rPr>
        <w:t>que evidenciou</w:t>
      </w:r>
      <w:r w:rsidRPr="00831A7E">
        <w:rPr>
          <w:rFonts w:ascii="Times New Roman" w:hAnsi="Times New Roman" w:cs="Times New Roman"/>
          <w:sz w:val="24"/>
          <w:szCs w:val="24"/>
        </w:rPr>
        <w:t xml:space="preserve"> uma associação entre a fluência de leitura e o processamento auditivo</w:t>
      </w:r>
      <w:r w:rsidR="00063438" w:rsidRPr="00831A7E">
        <w:rPr>
          <w:rFonts w:ascii="Times New Roman" w:hAnsi="Times New Roman" w:cs="Times New Roman"/>
          <w:sz w:val="24"/>
          <w:szCs w:val="24"/>
        </w:rPr>
        <w:t xml:space="preserve">, visto que crianças com </w:t>
      </w:r>
      <w:r w:rsidR="003943F7" w:rsidRPr="00831A7E">
        <w:rPr>
          <w:rFonts w:ascii="Times New Roman" w:hAnsi="Times New Roman" w:cs="Times New Roman"/>
          <w:sz w:val="24"/>
          <w:szCs w:val="24"/>
        </w:rPr>
        <w:t>um processamento mais lento demonstraram piores resultados nas tarefas de leitura</w:t>
      </w:r>
      <w:r w:rsidRPr="00831A7E">
        <w:rPr>
          <w:rFonts w:ascii="Times New Roman" w:hAnsi="Times New Roman" w:cs="Times New Roman"/>
          <w:sz w:val="24"/>
          <w:szCs w:val="24"/>
          <w:shd w:val="clear" w:color="auto" w:fill="FFFFFF"/>
        </w:rPr>
        <w:t xml:space="preserve">. O estudo em questão poderia ter avaliado a leitura de textos e compreensão para resultados mais abrangentes com relação a fluência de leitura. </w:t>
      </w:r>
    </w:p>
    <w:p w14:paraId="33AE3380" w14:textId="77777777" w:rsidR="00E75E9F" w:rsidRPr="00831A7E" w:rsidRDefault="00E75E9F" w:rsidP="009C43BA">
      <w:pPr>
        <w:jc w:val="left"/>
        <w:rPr>
          <w:rFonts w:ascii="Times New Roman" w:hAnsi="Times New Roman" w:cs="Times New Roman"/>
          <w:color w:val="4472C4" w:themeColor="accent1"/>
          <w:sz w:val="24"/>
          <w:szCs w:val="24"/>
        </w:rPr>
      </w:pPr>
    </w:p>
    <w:p w14:paraId="5B76B58F" w14:textId="3CFA7411" w:rsidR="00871AF4" w:rsidRDefault="00871AF4" w:rsidP="009C43BA">
      <w:pPr>
        <w:jc w:val="left"/>
        <w:rPr>
          <w:rFonts w:ascii="Times New Roman" w:hAnsi="Times New Roman" w:cs="Times New Roman"/>
          <w:sz w:val="24"/>
          <w:szCs w:val="24"/>
          <w:shd w:val="clear" w:color="auto" w:fill="FFFFFF"/>
        </w:rPr>
      </w:pPr>
      <w:r w:rsidRPr="00831A7E">
        <w:rPr>
          <w:rFonts w:ascii="Times New Roman" w:hAnsi="Times New Roman" w:cs="Times New Roman"/>
          <w:sz w:val="24"/>
          <w:szCs w:val="24"/>
          <w:shd w:val="clear" w:color="auto" w:fill="FFFFFF"/>
        </w:rPr>
        <w:t xml:space="preserve">Na busca literária não foram encontrados estudos </w:t>
      </w:r>
      <w:r w:rsidR="00562808" w:rsidRPr="00831A7E">
        <w:rPr>
          <w:rFonts w:ascii="Times New Roman" w:hAnsi="Times New Roman" w:cs="Times New Roman"/>
          <w:sz w:val="24"/>
          <w:szCs w:val="24"/>
          <w:shd w:val="clear" w:color="auto" w:fill="FFFFFF"/>
        </w:rPr>
        <w:t>que relacionem</w:t>
      </w:r>
      <w:r w:rsidRPr="00831A7E">
        <w:rPr>
          <w:rFonts w:ascii="Times New Roman" w:hAnsi="Times New Roman" w:cs="Times New Roman"/>
          <w:sz w:val="24"/>
          <w:szCs w:val="24"/>
          <w:shd w:val="clear" w:color="auto" w:fill="FFFFFF"/>
        </w:rPr>
        <w:t xml:space="preserve"> a fluência de leitura com o Transtorno Opositor Desafiador (TOD), Baixa Visão (BV), Altas Habilidades (AH), Deficiência Física (DF) e Deficiência Intelectual (DI).</w:t>
      </w:r>
    </w:p>
    <w:p w14:paraId="6F437D59" w14:textId="77777777" w:rsidR="00E75E9F" w:rsidRPr="00831A7E" w:rsidRDefault="00E75E9F" w:rsidP="009C43BA">
      <w:pPr>
        <w:jc w:val="left"/>
        <w:rPr>
          <w:rFonts w:ascii="Times New Roman" w:hAnsi="Times New Roman" w:cs="Times New Roman"/>
          <w:sz w:val="24"/>
          <w:szCs w:val="24"/>
          <w:highlight w:val="white"/>
        </w:rPr>
      </w:pPr>
    </w:p>
    <w:p w14:paraId="74200E7B" w14:textId="5D0EF06B" w:rsidR="00871AF4" w:rsidRDefault="00871AF4" w:rsidP="009C43BA">
      <w:pPr>
        <w:jc w:val="left"/>
        <w:rPr>
          <w:rFonts w:ascii="Times New Roman" w:hAnsi="Times New Roman" w:cs="Times New Roman"/>
          <w:sz w:val="24"/>
          <w:szCs w:val="24"/>
          <w:shd w:val="clear" w:color="auto" w:fill="FFFFFF"/>
        </w:rPr>
      </w:pPr>
      <w:r w:rsidRPr="00831A7E">
        <w:rPr>
          <w:rFonts w:ascii="Times New Roman" w:hAnsi="Times New Roman" w:cs="Times New Roman"/>
          <w:sz w:val="24"/>
          <w:szCs w:val="24"/>
          <w:shd w:val="clear" w:color="auto" w:fill="FFFFFF"/>
        </w:rPr>
        <w:t xml:space="preserve">Tomando como base a importância da avaliação do público-alvo da educação especial e a necessidade da definição de indicadores objetivos que permitam acompanhar o desempenho dos escolares, </w:t>
      </w:r>
      <w:bookmarkStart w:id="2" w:name="_Hlk28545862"/>
      <w:r w:rsidRPr="00831A7E">
        <w:rPr>
          <w:rFonts w:ascii="Times New Roman" w:hAnsi="Times New Roman" w:cs="Times New Roman"/>
          <w:sz w:val="24"/>
          <w:szCs w:val="24"/>
          <w:shd w:val="clear" w:color="auto" w:fill="FFFFFF"/>
        </w:rPr>
        <w:t xml:space="preserve">este estudo se propôs a avaliar a utilização da fluência de leitura como um indicador </w:t>
      </w:r>
      <w:r w:rsidR="00B57484" w:rsidRPr="00831A7E">
        <w:rPr>
          <w:rFonts w:ascii="Times New Roman" w:hAnsi="Times New Roman" w:cs="Times New Roman"/>
          <w:sz w:val="24"/>
          <w:szCs w:val="24"/>
          <w:shd w:val="clear" w:color="auto" w:fill="FFFFFF"/>
        </w:rPr>
        <w:t xml:space="preserve">da evolução da competência leitora na </w:t>
      </w:r>
      <w:r w:rsidR="006A3D65" w:rsidRPr="00831A7E">
        <w:rPr>
          <w:rFonts w:ascii="Times New Roman" w:hAnsi="Times New Roman" w:cs="Times New Roman"/>
          <w:sz w:val="24"/>
          <w:szCs w:val="24"/>
          <w:shd w:val="clear" w:color="auto" w:fill="FFFFFF"/>
        </w:rPr>
        <w:t>educação especial</w:t>
      </w:r>
      <w:r w:rsidRPr="00831A7E">
        <w:rPr>
          <w:rFonts w:ascii="Times New Roman" w:hAnsi="Times New Roman" w:cs="Times New Roman"/>
          <w:sz w:val="24"/>
          <w:szCs w:val="24"/>
          <w:shd w:val="clear" w:color="auto" w:fill="FFFFFF"/>
        </w:rPr>
        <w:t xml:space="preserve">, avaliando de forma coletiva e individual o desempenho dos alunos do público-alvo da </w:t>
      </w:r>
      <w:r w:rsidR="00562808" w:rsidRPr="00831A7E">
        <w:rPr>
          <w:rFonts w:ascii="Times New Roman" w:hAnsi="Times New Roman" w:cs="Times New Roman"/>
          <w:sz w:val="24"/>
          <w:szCs w:val="24"/>
          <w:shd w:val="clear" w:color="auto" w:fill="FFFFFF"/>
        </w:rPr>
        <w:t>e</w:t>
      </w:r>
      <w:r w:rsidRPr="00831A7E">
        <w:rPr>
          <w:rFonts w:ascii="Times New Roman" w:hAnsi="Times New Roman" w:cs="Times New Roman"/>
          <w:sz w:val="24"/>
          <w:szCs w:val="24"/>
          <w:shd w:val="clear" w:color="auto" w:fill="FFFFFF"/>
        </w:rPr>
        <w:t xml:space="preserve">ducação </w:t>
      </w:r>
      <w:r w:rsidR="00562808" w:rsidRPr="00831A7E">
        <w:rPr>
          <w:rFonts w:ascii="Times New Roman" w:hAnsi="Times New Roman" w:cs="Times New Roman"/>
          <w:sz w:val="24"/>
          <w:szCs w:val="24"/>
          <w:shd w:val="clear" w:color="auto" w:fill="FFFFFF"/>
        </w:rPr>
        <w:t>e</w:t>
      </w:r>
      <w:r w:rsidRPr="00831A7E">
        <w:rPr>
          <w:rFonts w:ascii="Times New Roman" w:hAnsi="Times New Roman" w:cs="Times New Roman"/>
          <w:sz w:val="24"/>
          <w:szCs w:val="24"/>
          <w:shd w:val="clear" w:color="auto" w:fill="FFFFFF"/>
        </w:rPr>
        <w:t>special.</w:t>
      </w:r>
    </w:p>
    <w:p w14:paraId="212A33C1" w14:textId="77777777" w:rsidR="00112327" w:rsidRDefault="00112327" w:rsidP="009C43BA">
      <w:pPr>
        <w:jc w:val="left"/>
        <w:rPr>
          <w:rFonts w:ascii="Times New Roman" w:hAnsi="Times New Roman" w:cs="Times New Roman"/>
          <w:sz w:val="24"/>
          <w:szCs w:val="24"/>
          <w:shd w:val="clear" w:color="auto" w:fill="FFFFFF"/>
        </w:rPr>
      </w:pPr>
    </w:p>
    <w:p w14:paraId="55C0E136" w14:textId="661B2E69" w:rsidR="00112327" w:rsidRDefault="009C43BA" w:rsidP="009C43BA">
      <w:pPr>
        <w:pStyle w:val="ListParagraph"/>
        <w:ind w:left="0"/>
        <w:jc w:val="left"/>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xml:space="preserve">2. </w:t>
      </w:r>
      <w:r w:rsidR="00112327" w:rsidRPr="00112327">
        <w:rPr>
          <w:rFonts w:ascii="Times New Roman" w:hAnsi="Times New Roman" w:cs="Times New Roman"/>
          <w:b/>
          <w:bCs/>
          <w:sz w:val="24"/>
          <w:szCs w:val="24"/>
          <w:highlight w:val="white"/>
        </w:rPr>
        <w:t>Métodos</w:t>
      </w:r>
    </w:p>
    <w:p w14:paraId="1FF886AA" w14:textId="77777777" w:rsidR="00112327" w:rsidRPr="00112327" w:rsidRDefault="00112327" w:rsidP="009C43BA">
      <w:pPr>
        <w:pStyle w:val="ListParagraph"/>
        <w:ind w:left="0"/>
        <w:jc w:val="left"/>
        <w:rPr>
          <w:rFonts w:ascii="Times New Roman" w:hAnsi="Times New Roman" w:cs="Times New Roman"/>
          <w:b/>
          <w:bCs/>
          <w:sz w:val="24"/>
          <w:szCs w:val="24"/>
          <w:highlight w:val="white"/>
        </w:rPr>
      </w:pPr>
    </w:p>
    <w:bookmarkEnd w:id="2"/>
    <w:p w14:paraId="67160550" w14:textId="3F0B6AB9"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A presente pesquisa, faz parte de um projeto guarda-chuva intitulado como “</w:t>
      </w:r>
      <w:r w:rsidR="006A3D65" w:rsidRPr="00831A7E">
        <w:rPr>
          <w:rFonts w:ascii="Times New Roman" w:eastAsia="Arial" w:hAnsi="Times New Roman" w:cs="Times New Roman"/>
          <w:sz w:val="24"/>
          <w:szCs w:val="24"/>
        </w:rPr>
        <w:t xml:space="preserve">Perfil educacional e funcional de estudantes da educação especial da região administrativa </w:t>
      </w:r>
      <w:r w:rsidR="006A3D65" w:rsidRPr="006E6FA7">
        <w:rPr>
          <w:rFonts w:ascii="Times New Roman" w:eastAsia="Arial" w:hAnsi="Times New Roman" w:cs="Times New Roman"/>
          <w:sz w:val="24"/>
          <w:szCs w:val="24"/>
        </w:rPr>
        <w:t xml:space="preserve">de </w:t>
      </w:r>
      <w:r w:rsidR="00C96A7C" w:rsidRPr="006E6FA7">
        <w:rPr>
          <w:rFonts w:ascii="Times New Roman" w:eastAsia="Arial" w:hAnsi="Times New Roman" w:cs="Times New Roman"/>
          <w:sz w:val="24"/>
          <w:szCs w:val="24"/>
        </w:rPr>
        <w:t>S</w:t>
      </w:r>
      <w:r w:rsidR="006A3D65" w:rsidRPr="006E6FA7">
        <w:rPr>
          <w:rFonts w:ascii="Times New Roman" w:eastAsia="Arial" w:hAnsi="Times New Roman" w:cs="Times New Roman"/>
          <w:sz w:val="24"/>
          <w:szCs w:val="24"/>
        </w:rPr>
        <w:t>amambaia e construção de indicadores para o monitoramento da aprendizagem</w:t>
      </w:r>
      <w:r w:rsidRPr="006E6FA7">
        <w:rPr>
          <w:rFonts w:ascii="Times New Roman" w:eastAsia="Arial" w:hAnsi="Times New Roman" w:cs="Times New Roman"/>
          <w:sz w:val="24"/>
          <w:szCs w:val="24"/>
        </w:rPr>
        <w:t xml:space="preserve">”, a pesquisa foi aprovada </w:t>
      </w:r>
      <w:r w:rsidRPr="00831A7E">
        <w:rPr>
          <w:rFonts w:ascii="Times New Roman" w:eastAsia="Arial" w:hAnsi="Times New Roman" w:cs="Times New Roman"/>
          <w:sz w:val="24"/>
          <w:szCs w:val="24"/>
        </w:rPr>
        <w:t>pelo Comitê de Ética e Pesquisa da Instituição sob parecer</w:t>
      </w:r>
      <w:r w:rsidR="001A5AD3" w:rsidRPr="00831A7E">
        <w:rPr>
          <w:rFonts w:ascii="Times New Roman" w:eastAsia="Arial" w:hAnsi="Times New Roman" w:cs="Times New Roman"/>
          <w:sz w:val="24"/>
          <w:szCs w:val="24"/>
        </w:rPr>
        <w:t xml:space="preserve"> </w:t>
      </w:r>
      <w:r w:rsidRPr="00831A7E">
        <w:rPr>
          <w:rFonts w:ascii="Times New Roman" w:eastAsia="Arial" w:hAnsi="Times New Roman" w:cs="Times New Roman"/>
          <w:sz w:val="24"/>
          <w:szCs w:val="24"/>
        </w:rPr>
        <w:t>2.499.005</w:t>
      </w:r>
      <w:r w:rsidRPr="00831A7E" w:rsidDel="002F06F9">
        <w:rPr>
          <w:rFonts w:ascii="Times New Roman" w:eastAsia="Arial" w:hAnsi="Times New Roman" w:cs="Times New Roman"/>
          <w:sz w:val="24"/>
          <w:szCs w:val="24"/>
        </w:rPr>
        <w:t xml:space="preserve"> </w:t>
      </w:r>
      <w:r w:rsidRPr="00831A7E">
        <w:rPr>
          <w:rFonts w:ascii="Times New Roman" w:eastAsia="Arial" w:hAnsi="Times New Roman" w:cs="Times New Roman"/>
          <w:sz w:val="24"/>
          <w:szCs w:val="24"/>
        </w:rPr>
        <w:t xml:space="preserve">e CAAE: </w:t>
      </w:r>
      <w:r w:rsidRPr="00831A7E">
        <w:rPr>
          <w:rFonts w:ascii="Times New Roman" w:eastAsia="Arial" w:hAnsi="Times New Roman" w:cs="Times New Roman"/>
          <w:sz w:val="24"/>
          <w:szCs w:val="24"/>
        </w:rPr>
        <w:lastRenderedPageBreak/>
        <w:t>79929517.5.0000.8093. Os participantes do estudo, bem como seus pais ou responsáveis assinaram um Termo de Assentimento Livre e Esclarecido (TALE) e o Termo de Consentimento Livre e Esclarecido (TCLE), respectivamente.</w:t>
      </w:r>
    </w:p>
    <w:p w14:paraId="3409FF65" w14:textId="77777777" w:rsidR="009C43BA" w:rsidRPr="00831A7E" w:rsidRDefault="009C43BA" w:rsidP="009C43BA">
      <w:pPr>
        <w:jc w:val="left"/>
        <w:rPr>
          <w:rFonts w:ascii="Times New Roman" w:hAnsi="Times New Roman" w:cs="Times New Roman"/>
          <w:sz w:val="24"/>
          <w:szCs w:val="24"/>
        </w:rPr>
      </w:pPr>
    </w:p>
    <w:p w14:paraId="52D6C6B2" w14:textId="7E978467"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Trata-se de um estudo de delineamento transversal analítico e ecológico, ou seja, o grupo interesse não foi pré-definido: as escolas foram convidadas a participar e todos os alunos com necessidades educacionais especiais cujos pais assinaram o TCLE e as crianças com TALE foram incluídos.</w:t>
      </w:r>
      <w:r w:rsidR="00C96A7C">
        <w:rPr>
          <w:rFonts w:ascii="Times New Roman" w:eastAsia="Arial" w:hAnsi="Times New Roman" w:cs="Times New Roman"/>
          <w:sz w:val="24"/>
          <w:szCs w:val="24"/>
        </w:rPr>
        <w:t xml:space="preserve"> </w:t>
      </w:r>
    </w:p>
    <w:p w14:paraId="15BF64E6" w14:textId="77777777" w:rsidR="009C43BA" w:rsidRDefault="009C43BA" w:rsidP="009C43BA">
      <w:pPr>
        <w:jc w:val="left"/>
        <w:rPr>
          <w:rFonts w:ascii="Times New Roman" w:eastAsia="Arial" w:hAnsi="Times New Roman" w:cs="Times New Roman"/>
          <w:sz w:val="24"/>
          <w:szCs w:val="24"/>
        </w:rPr>
      </w:pPr>
    </w:p>
    <w:p w14:paraId="63CA180D" w14:textId="6A8E7A3C" w:rsidR="00EF3543" w:rsidRDefault="00EF3543" w:rsidP="009C43BA">
      <w:pPr>
        <w:jc w:val="left"/>
        <w:rPr>
          <w:rFonts w:ascii="Times New Roman" w:eastAsia="Arial" w:hAnsi="Times New Roman" w:cs="Times New Roman"/>
          <w:sz w:val="24"/>
          <w:szCs w:val="24"/>
        </w:rPr>
      </w:pPr>
      <w:r w:rsidRPr="00831A7E">
        <w:rPr>
          <w:rFonts w:ascii="Times New Roman" w:eastAsia="Arial" w:hAnsi="Times New Roman" w:cs="Times New Roman"/>
          <w:bCs/>
          <w:sz w:val="24"/>
          <w:szCs w:val="24"/>
        </w:rPr>
        <w:t>Foram critérios de inclusão para participação da pesquisa:</w:t>
      </w:r>
      <w:r w:rsidRPr="00831A7E">
        <w:rPr>
          <w:rFonts w:ascii="Times New Roman" w:eastAsia="Arial" w:hAnsi="Times New Roman" w:cs="Times New Roman"/>
          <w:sz w:val="24"/>
          <w:szCs w:val="24"/>
        </w:rPr>
        <w:t xml:space="preserve"> estar regularmente matriculado nas escolas no momento da seleção dos participantes</w:t>
      </w:r>
      <w:r w:rsidRPr="00831A7E">
        <w:rPr>
          <w:rFonts w:ascii="Times New Roman" w:eastAsia="Arial" w:hAnsi="Times New Roman" w:cs="Times New Roman"/>
          <w:b/>
          <w:sz w:val="24"/>
          <w:szCs w:val="24"/>
        </w:rPr>
        <w:t xml:space="preserve">; </w:t>
      </w:r>
      <w:r w:rsidRPr="00831A7E">
        <w:rPr>
          <w:rFonts w:ascii="Times New Roman" w:eastAsia="Arial" w:hAnsi="Times New Roman" w:cs="Times New Roman"/>
          <w:sz w:val="24"/>
          <w:szCs w:val="24"/>
        </w:rPr>
        <w:t xml:space="preserve">ser considerado alfabetizado pelo professor alfabetizador ou de língua portuguesa. </w:t>
      </w:r>
      <w:r w:rsidRPr="00831A7E">
        <w:rPr>
          <w:rFonts w:ascii="Times New Roman" w:eastAsia="Arial" w:hAnsi="Times New Roman" w:cs="Times New Roman"/>
          <w:bCs/>
          <w:sz w:val="24"/>
          <w:szCs w:val="24"/>
        </w:rPr>
        <w:t xml:space="preserve"> Foram critérios de inclusão especificamente para o GI: possuir um laudo que comprove a necessidade educacional especial. Foram critérios de exclusão para o GC: c</w:t>
      </w:r>
      <w:r w:rsidRPr="00831A7E">
        <w:rPr>
          <w:rFonts w:ascii="Times New Roman" w:eastAsia="Arial" w:hAnsi="Times New Roman" w:cs="Times New Roman"/>
          <w:sz w:val="24"/>
          <w:szCs w:val="24"/>
        </w:rPr>
        <w:t>rianças com queixas de distúrbios da comunicação, cognição, neurológico ou psiquiátricos, sejam elas escolares, familiares ou pessoais</w:t>
      </w:r>
      <w:r>
        <w:rPr>
          <w:rFonts w:ascii="Times New Roman" w:eastAsia="Arial" w:hAnsi="Times New Roman" w:cs="Times New Roman"/>
          <w:sz w:val="24"/>
          <w:szCs w:val="24"/>
        </w:rPr>
        <w:t xml:space="preserve">. </w:t>
      </w:r>
    </w:p>
    <w:p w14:paraId="76F42FDA" w14:textId="77777777" w:rsidR="009C43BA" w:rsidRPr="00831A7E" w:rsidRDefault="009C43BA" w:rsidP="009C43BA">
      <w:pPr>
        <w:jc w:val="left"/>
        <w:rPr>
          <w:rFonts w:ascii="Times New Roman" w:eastAsia="Arial" w:hAnsi="Times New Roman" w:cs="Times New Roman"/>
          <w:sz w:val="24"/>
          <w:szCs w:val="24"/>
        </w:rPr>
      </w:pPr>
    </w:p>
    <w:p w14:paraId="14918571" w14:textId="10DCB928" w:rsidR="00871AF4" w:rsidRDefault="00871AF4" w:rsidP="009C43BA">
      <w:pPr>
        <w:jc w:val="left"/>
        <w:rPr>
          <w:rFonts w:ascii="Times New Roman" w:eastAsia="Arial" w:hAnsi="Times New Roman" w:cs="Times New Roman"/>
          <w:bCs/>
          <w:i/>
          <w:sz w:val="24"/>
          <w:szCs w:val="24"/>
        </w:rPr>
      </w:pPr>
      <w:r w:rsidRPr="00880FAE">
        <w:rPr>
          <w:rFonts w:ascii="Times New Roman" w:eastAsia="Arial" w:hAnsi="Times New Roman" w:cs="Times New Roman"/>
          <w:bCs/>
          <w:i/>
          <w:sz w:val="24"/>
          <w:szCs w:val="24"/>
        </w:rPr>
        <w:t xml:space="preserve">Participantes </w:t>
      </w:r>
    </w:p>
    <w:p w14:paraId="7EB7E9DA" w14:textId="77777777" w:rsidR="009C43BA" w:rsidRPr="00880FAE" w:rsidRDefault="009C43BA" w:rsidP="009C43BA">
      <w:pPr>
        <w:jc w:val="left"/>
        <w:rPr>
          <w:rFonts w:ascii="Times New Roman" w:eastAsia="Arial" w:hAnsi="Times New Roman" w:cs="Times New Roman"/>
          <w:bCs/>
          <w:i/>
          <w:sz w:val="24"/>
          <w:szCs w:val="24"/>
        </w:rPr>
      </w:pPr>
    </w:p>
    <w:p w14:paraId="2DB8ED4F" w14:textId="7093447B"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Participaram deste estudo 121 escolares do 3° ao 5° ano do ensino fundamental, sendo 52 do sexo feminino e 69 do sexo masculino, oriundos de 4 escolas de Ensino Fundamental (EF) - (anos iniciais – 1° ao 5° ano), da rede pública de ensino da região de Samambaia do Distrito Federal. Destes, 31 estudantes com necessidades educacionais especiais constituíram o grupo de interesse e 90 alunos regulares o grupo controle. </w:t>
      </w:r>
    </w:p>
    <w:p w14:paraId="5CB71F4A" w14:textId="77777777" w:rsidR="009C43BA" w:rsidRPr="00831A7E" w:rsidRDefault="009C43BA" w:rsidP="009C43BA">
      <w:pPr>
        <w:jc w:val="left"/>
        <w:rPr>
          <w:rFonts w:ascii="Times New Roman" w:hAnsi="Times New Roman" w:cs="Times New Roman"/>
          <w:sz w:val="24"/>
          <w:szCs w:val="24"/>
        </w:rPr>
      </w:pPr>
    </w:p>
    <w:p w14:paraId="2A74BE73" w14:textId="4FF11FA5"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Compuseram o GI os seguintes público-alvo da educação especial:  Baixa Visão (BV); Deficiência Física (DF); Deficiência Intelectual (DI); Transtorno Global do Desenvolvimento (TGD); Transtorno do Déficit de Atenção e Hiperatividade (TDAH); Transtorno do processamento auditivo (TPA); Transtorno Opositor Desafiador (TOD); Altas Habilidades.  Apesar do TPA não ser descrito na PNE de Educação Especial na Perspectiva da Educação Inclusiva como </w:t>
      </w:r>
      <w:r w:rsidR="004601B0" w:rsidRPr="00831A7E">
        <w:rPr>
          <w:rFonts w:ascii="Times New Roman" w:eastAsia="Arial" w:hAnsi="Times New Roman" w:cs="Times New Roman"/>
          <w:sz w:val="24"/>
          <w:szCs w:val="24"/>
        </w:rPr>
        <w:t>público-alvo</w:t>
      </w:r>
      <w:r w:rsidRPr="00831A7E">
        <w:rPr>
          <w:rFonts w:ascii="Times New Roman" w:eastAsia="Arial" w:hAnsi="Times New Roman" w:cs="Times New Roman"/>
          <w:sz w:val="24"/>
          <w:szCs w:val="24"/>
        </w:rPr>
        <w:t xml:space="preserve"> da educação especial (</w:t>
      </w:r>
      <w:r w:rsidR="000A5BFA" w:rsidRPr="00831A7E">
        <w:rPr>
          <w:rFonts w:ascii="Times New Roman" w:hAnsi="Times New Roman" w:cs="Times New Roman"/>
          <w:sz w:val="24"/>
          <w:szCs w:val="24"/>
        </w:rPr>
        <w:t xml:space="preserve">Ministério </w:t>
      </w:r>
      <w:r w:rsidR="000A5BFA">
        <w:rPr>
          <w:rFonts w:ascii="Times New Roman" w:hAnsi="Times New Roman" w:cs="Times New Roman"/>
          <w:sz w:val="24"/>
          <w:szCs w:val="24"/>
        </w:rPr>
        <w:t>d</w:t>
      </w:r>
      <w:r w:rsidR="000A5BFA" w:rsidRPr="00831A7E">
        <w:rPr>
          <w:rFonts w:ascii="Times New Roman" w:hAnsi="Times New Roman" w:cs="Times New Roman"/>
          <w:sz w:val="24"/>
          <w:szCs w:val="24"/>
        </w:rPr>
        <w:t xml:space="preserve">a </w:t>
      </w:r>
      <w:r w:rsidR="000A5BFA">
        <w:rPr>
          <w:rFonts w:ascii="Times New Roman" w:hAnsi="Times New Roman" w:cs="Times New Roman"/>
          <w:sz w:val="24"/>
          <w:szCs w:val="24"/>
        </w:rPr>
        <w:t>E</w:t>
      </w:r>
      <w:r w:rsidR="000A5BFA" w:rsidRPr="00831A7E">
        <w:rPr>
          <w:rFonts w:ascii="Times New Roman" w:hAnsi="Times New Roman" w:cs="Times New Roman"/>
          <w:sz w:val="24"/>
          <w:szCs w:val="24"/>
        </w:rPr>
        <w:t xml:space="preserve">ducação </w:t>
      </w:r>
      <w:r w:rsidR="000A5BFA">
        <w:rPr>
          <w:rFonts w:ascii="Times New Roman" w:hAnsi="Times New Roman" w:cs="Times New Roman"/>
          <w:sz w:val="24"/>
          <w:szCs w:val="24"/>
        </w:rPr>
        <w:t>e</w:t>
      </w:r>
      <w:r w:rsidR="000A5BFA" w:rsidRPr="00831A7E">
        <w:rPr>
          <w:rFonts w:ascii="Times New Roman" w:hAnsi="Times New Roman" w:cs="Times New Roman"/>
          <w:sz w:val="24"/>
          <w:szCs w:val="24"/>
        </w:rPr>
        <w:t xml:space="preserve"> </w:t>
      </w:r>
      <w:r w:rsidR="000A5BFA">
        <w:rPr>
          <w:rFonts w:ascii="Times New Roman" w:hAnsi="Times New Roman" w:cs="Times New Roman"/>
          <w:sz w:val="24"/>
          <w:szCs w:val="24"/>
        </w:rPr>
        <w:t>C</w:t>
      </w:r>
      <w:r w:rsidR="000A5BFA" w:rsidRPr="00831A7E">
        <w:rPr>
          <w:rFonts w:ascii="Times New Roman" w:hAnsi="Times New Roman" w:cs="Times New Roman"/>
          <w:sz w:val="24"/>
          <w:szCs w:val="24"/>
        </w:rPr>
        <w:t>ultura</w:t>
      </w:r>
      <w:r w:rsidRPr="00831A7E">
        <w:rPr>
          <w:rFonts w:ascii="Times New Roman" w:hAnsi="Times New Roman" w:cs="Times New Roman"/>
          <w:sz w:val="24"/>
          <w:szCs w:val="24"/>
        </w:rPr>
        <w:t xml:space="preserve">, 2008) </w:t>
      </w:r>
      <w:r w:rsidRPr="00831A7E">
        <w:rPr>
          <w:rFonts w:ascii="Times New Roman" w:eastAsia="Arial" w:hAnsi="Times New Roman" w:cs="Times New Roman"/>
          <w:sz w:val="24"/>
          <w:szCs w:val="24"/>
        </w:rPr>
        <w:t>os estudantes com esse diagnóstico foram inclusos na pesquisa, pois, no Distrito Federal tal público é tratado como os diagnósticos de transtornos funcionais específicos.</w:t>
      </w:r>
    </w:p>
    <w:p w14:paraId="1F8C8D3A" w14:textId="77777777" w:rsidR="009C43BA" w:rsidRPr="00831A7E" w:rsidRDefault="009C43BA" w:rsidP="009C43BA">
      <w:pPr>
        <w:jc w:val="left"/>
        <w:rPr>
          <w:rFonts w:ascii="Times New Roman" w:hAnsi="Times New Roman" w:cs="Times New Roman"/>
          <w:sz w:val="24"/>
          <w:szCs w:val="24"/>
        </w:rPr>
      </w:pPr>
    </w:p>
    <w:p w14:paraId="33927469" w14:textId="6E12A257" w:rsidR="00871AF4" w:rsidRDefault="00871AF4" w:rsidP="009C43BA">
      <w:pPr>
        <w:jc w:val="left"/>
        <w:rPr>
          <w:rFonts w:ascii="Times New Roman" w:eastAsia="Arial" w:hAnsi="Times New Roman" w:cs="Times New Roman"/>
          <w:bCs/>
          <w:i/>
          <w:sz w:val="24"/>
          <w:szCs w:val="24"/>
        </w:rPr>
      </w:pPr>
      <w:r w:rsidRPr="00880FAE">
        <w:rPr>
          <w:rFonts w:ascii="Times New Roman" w:eastAsia="Arial" w:hAnsi="Times New Roman" w:cs="Times New Roman"/>
          <w:bCs/>
          <w:i/>
          <w:sz w:val="24"/>
          <w:szCs w:val="24"/>
        </w:rPr>
        <w:t>Materiais</w:t>
      </w:r>
    </w:p>
    <w:p w14:paraId="5BEACD41" w14:textId="77777777" w:rsidR="009C43BA" w:rsidRPr="00880FAE" w:rsidRDefault="009C43BA" w:rsidP="009C43BA">
      <w:pPr>
        <w:jc w:val="left"/>
        <w:rPr>
          <w:rFonts w:ascii="Times New Roman" w:eastAsia="Arial" w:hAnsi="Times New Roman" w:cs="Times New Roman"/>
          <w:bCs/>
          <w:i/>
          <w:sz w:val="24"/>
          <w:szCs w:val="24"/>
        </w:rPr>
      </w:pPr>
    </w:p>
    <w:p w14:paraId="14889D4A" w14:textId="59D114F2"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A avaliação foi realizada pela pesquisadora e graduandos do curso de </w:t>
      </w:r>
      <w:r w:rsidR="0051017B" w:rsidRPr="00831A7E">
        <w:rPr>
          <w:rFonts w:ascii="Times New Roman" w:eastAsia="Arial" w:hAnsi="Times New Roman" w:cs="Times New Roman"/>
          <w:sz w:val="24"/>
          <w:szCs w:val="24"/>
        </w:rPr>
        <w:t>F</w:t>
      </w:r>
      <w:r w:rsidRPr="00831A7E">
        <w:rPr>
          <w:rFonts w:ascii="Times New Roman" w:eastAsia="Arial" w:hAnsi="Times New Roman" w:cs="Times New Roman"/>
          <w:sz w:val="24"/>
          <w:szCs w:val="24"/>
        </w:rPr>
        <w:t>onoaudiologia previamente treinados e consistiu na gravação da leitura em voz alta com auxílio de um notebook – Lenovo B330 com um microfone embutido e na resposta de um questionário sobre o texto.</w:t>
      </w:r>
    </w:p>
    <w:p w14:paraId="451D7C0E" w14:textId="77777777" w:rsidR="009C43BA" w:rsidRPr="00831A7E" w:rsidRDefault="009C43BA" w:rsidP="009C43BA">
      <w:pPr>
        <w:jc w:val="left"/>
        <w:rPr>
          <w:rFonts w:ascii="Times New Roman" w:eastAsia="Arial" w:hAnsi="Times New Roman" w:cs="Times New Roman"/>
          <w:sz w:val="24"/>
          <w:szCs w:val="24"/>
        </w:rPr>
      </w:pPr>
    </w:p>
    <w:p w14:paraId="5806DBC0" w14:textId="172CED65"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 </w:t>
      </w:r>
      <w:r w:rsidRPr="00831A7E">
        <w:rPr>
          <w:rFonts w:ascii="Times New Roman" w:eastAsia="Arial" w:hAnsi="Times New Roman" w:cs="Times New Roman"/>
          <w:b/>
          <w:bCs/>
          <w:sz w:val="24"/>
          <w:szCs w:val="24"/>
        </w:rPr>
        <w:t xml:space="preserve"> </w:t>
      </w:r>
      <w:r w:rsidRPr="00831A7E">
        <w:rPr>
          <w:rFonts w:ascii="Times New Roman" w:eastAsia="Arial" w:hAnsi="Times New Roman" w:cs="Times New Roman"/>
          <w:sz w:val="24"/>
          <w:szCs w:val="24"/>
        </w:rPr>
        <w:t>Para avaliação da fluência de leitura foi utilizado o texto “A coisa” (</w:t>
      </w:r>
      <w:r w:rsidRPr="00831A7E">
        <w:rPr>
          <w:rFonts w:ascii="Times New Roman" w:hAnsi="Times New Roman" w:cs="Times New Roman"/>
          <w:sz w:val="24"/>
          <w:szCs w:val="24"/>
          <w:shd w:val="clear" w:color="auto" w:fill="FFFFFF"/>
        </w:rPr>
        <w:t>S</w:t>
      </w:r>
      <w:r w:rsidR="000A5BFA" w:rsidRPr="00831A7E">
        <w:rPr>
          <w:rFonts w:ascii="Times New Roman" w:hAnsi="Times New Roman" w:cs="Times New Roman"/>
          <w:sz w:val="24"/>
          <w:szCs w:val="24"/>
          <w:shd w:val="clear" w:color="auto" w:fill="FFFFFF"/>
        </w:rPr>
        <w:t>alles</w:t>
      </w:r>
      <w:r w:rsidRPr="00831A7E">
        <w:rPr>
          <w:rFonts w:ascii="Times New Roman" w:hAnsi="Times New Roman" w:cs="Times New Roman"/>
          <w:sz w:val="24"/>
          <w:szCs w:val="24"/>
          <w:shd w:val="clear" w:color="auto" w:fill="FFFFFF"/>
        </w:rPr>
        <w:t>, 2001</w:t>
      </w:r>
      <w:r w:rsidRPr="00831A7E">
        <w:rPr>
          <w:rFonts w:ascii="Times New Roman" w:eastAsia="Arial" w:hAnsi="Times New Roman" w:cs="Times New Roman"/>
          <w:sz w:val="24"/>
          <w:szCs w:val="24"/>
        </w:rPr>
        <w:t>)</w:t>
      </w:r>
      <w:r w:rsidRPr="00831A7E">
        <w:rPr>
          <w:rFonts w:ascii="Times New Roman" w:eastAsia="Arial" w:hAnsi="Times New Roman" w:cs="Times New Roman"/>
          <w:bCs/>
          <w:sz w:val="24"/>
          <w:szCs w:val="24"/>
        </w:rPr>
        <w:t xml:space="preserve">. </w:t>
      </w:r>
      <w:r w:rsidRPr="00831A7E">
        <w:rPr>
          <w:rFonts w:ascii="Times New Roman" w:eastAsia="Arial" w:hAnsi="Times New Roman" w:cs="Times New Roman"/>
          <w:sz w:val="24"/>
          <w:szCs w:val="24"/>
        </w:rPr>
        <w:t xml:space="preserve">Trata-se de um material validado e consiste em um texto simples, com possibilidades de modulações prosódicas e de fácil decodificação, composto por 210 palavras. O tempo médio da leitura do texto foi de aproximadamente 5 minutos. Além disso, foi utilizada a avaliação da compreensão da leitura com um questionário </w:t>
      </w:r>
      <w:r w:rsidR="0051017B" w:rsidRPr="00831A7E">
        <w:rPr>
          <w:rFonts w:ascii="Times New Roman" w:eastAsia="Arial" w:hAnsi="Times New Roman" w:cs="Times New Roman"/>
          <w:sz w:val="24"/>
          <w:szCs w:val="24"/>
        </w:rPr>
        <w:t xml:space="preserve">objetivo </w:t>
      </w:r>
      <w:r w:rsidRPr="00831A7E">
        <w:rPr>
          <w:rFonts w:ascii="Times New Roman" w:eastAsia="Arial" w:hAnsi="Times New Roman" w:cs="Times New Roman"/>
          <w:sz w:val="24"/>
          <w:szCs w:val="24"/>
        </w:rPr>
        <w:t>relacionado ao texto “A coisa” proposto por Salles (2001).</w:t>
      </w:r>
    </w:p>
    <w:p w14:paraId="319BFA08" w14:textId="77777777" w:rsidR="009C43BA" w:rsidRPr="00831A7E" w:rsidRDefault="009C43BA" w:rsidP="009C43BA">
      <w:pPr>
        <w:jc w:val="left"/>
        <w:rPr>
          <w:rFonts w:ascii="Times New Roman" w:eastAsia="Arial" w:hAnsi="Times New Roman" w:cs="Times New Roman"/>
          <w:sz w:val="24"/>
          <w:szCs w:val="24"/>
        </w:rPr>
      </w:pPr>
    </w:p>
    <w:p w14:paraId="1A29339D" w14:textId="47D3E38A"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Por fim, foi utilizada uma lista de palavras e pseudopalavras composta por 88 itens cada, variadas quanto a extensão, regularidade e lexicalidade, as quais os estudantes realizaram a leitura em voz alta (P</w:t>
      </w:r>
      <w:r w:rsidR="000A5BFA" w:rsidRPr="00831A7E">
        <w:rPr>
          <w:rFonts w:ascii="Times New Roman" w:eastAsia="Arial" w:hAnsi="Times New Roman" w:cs="Times New Roman"/>
          <w:sz w:val="24"/>
          <w:szCs w:val="24"/>
        </w:rPr>
        <w:t>inheiro</w:t>
      </w:r>
      <w:r w:rsidRPr="00831A7E">
        <w:rPr>
          <w:rFonts w:ascii="Times New Roman" w:eastAsia="Arial" w:hAnsi="Times New Roman" w:cs="Times New Roman"/>
          <w:sz w:val="24"/>
          <w:szCs w:val="24"/>
        </w:rPr>
        <w:t xml:space="preserve">, 2012). </w:t>
      </w:r>
    </w:p>
    <w:p w14:paraId="26CD0EC9" w14:textId="77777777" w:rsidR="009C43BA" w:rsidRPr="00831A7E" w:rsidRDefault="009C43BA" w:rsidP="009C43BA">
      <w:pPr>
        <w:jc w:val="left"/>
        <w:rPr>
          <w:rFonts w:ascii="Times New Roman" w:eastAsia="Arial" w:hAnsi="Times New Roman" w:cs="Times New Roman"/>
          <w:sz w:val="24"/>
          <w:szCs w:val="24"/>
        </w:rPr>
      </w:pPr>
    </w:p>
    <w:p w14:paraId="39ADBFDD" w14:textId="23BCECD8" w:rsidR="00871AF4" w:rsidRDefault="00871AF4" w:rsidP="009C43BA">
      <w:pPr>
        <w:jc w:val="left"/>
        <w:rPr>
          <w:rFonts w:ascii="Times New Roman" w:eastAsia="Arial" w:hAnsi="Times New Roman" w:cs="Times New Roman"/>
          <w:bCs/>
          <w:i/>
          <w:sz w:val="24"/>
          <w:szCs w:val="24"/>
        </w:rPr>
      </w:pPr>
      <w:r w:rsidRPr="00880FAE">
        <w:rPr>
          <w:rFonts w:ascii="Times New Roman" w:eastAsia="Arial" w:hAnsi="Times New Roman" w:cs="Times New Roman"/>
          <w:bCs/>
          <w:i/>
          <w:sz w:val="24"/>
          <w:szCs w:val="24"/>
        </w:rPr>
        <w:t>Procedimentos</w:t>
      </w:r>
    </w:p>
    <w:p w14:paraId="21D6DA4F" w14:textId="77777777" w:rsidR="009C43BA" w:rsidRPr="00880FAE" w:rsidRDefault="009C43BA" w:rsidP="009C43BA">
      <w:pPr>
        <w:jc w:val="left"/>
        <w:rPr>
          <w:rFonts w:ascii="Times New Roman" w:eastAsia="Arial" w:hAnsi="Times New Roman" w:cs="Times New Roman"/>
          <w:bCs/>
          <w:i/>
          <w:sz w:val="24"/>
          <w:szCs w:val="24"/>
        </w:rPr>
      </w:pPr>
    </w:p>
    <w:p w14:paraId="59A6531B" w14:textId="4A81D93F" w:rsidR="00871AF4" w:rsidRPr="00ED5700" w:rsidRDefault="00871AF4" w:rsidP="009C43BA">
      <w:pPr>
        <w:jc w:val="left"/>
        <w:rPr>
          <w:rFonts w:ascii="Times New Roman" w:eastAsia="Arial" w:hAnsi="Times New Roman" w:cs="Times New Roman"/>
          <w:i/>
          <w:iCs/>
          <w:sz w:val="24"/>
          <w:szCs w:val="24"/>
        </w:rPr>
      </w:pPr>
      <w:r w:rsidRPr="00ED5700">
        <w:rPr>
          <w:rFonts w:ascii="Times New Roman" w:eastAsia="Arial" w:hAnsi="Times New Roman" w:cs="Times New Roman"/>
          <w:i/>
          <w:iCs/>
          <w:sz w:val="24"/>
          <w:szCs w:val="24"/>
        </w:rPr>
        <w:t>Seleção da escola e apresentação da pesquisa</w:t>
      </w:r>
    </w:p>
    <w:p w14:paraId="727829D7" w14:textId="77777777" w:rsidR="009C43BA" w:rsidRPr="00112327" w:rsidRDefault="009C43BA" w:rsidP="009C43BA">
      <w:pPr>
        <w:jc w:val="left"/>
        <w:rPr>
          <w:rFonts w:ascii="Times New Roman" w:eastAsia="Arial" w:hAnsi="Times New Roman" w:cs="Times New Roman"/>
          <w:sz w:val="24"/>
          <w:szCs w:val="24"/>
        </w:rPr>
      </w:pPr>
    </w:p>
    <w:p w14:paraId="5CCF1A22" w14:textId="06EA02C9"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De acordo com o Censo Escolar de 2017 a região de Samambaia possui 22 escolas classes que atendem a Educação Infantil (pré-escola) e EF (</w:t>
      </w:r>
      <w:r w:rsidRPr="00831A7E">
        <w:rPr>
          <w:rFonts w:ascii="Times New Roman" w:hAnsi="Times New Roman" w:cs="Times New Roman"/>
          <w:sz w:val="24"/>
          <w:szCs w:val="24"/>
        </w:rPr>
        <w:t>Instituto Nacional de Estudos e Pesquisas Educacionais Anísio Teixeira, 2017)</w:t>
      </w:r>
      <w:r w:rsidRPr="00831A7E">
        <w:rPr>
          <w:rFonts w:ascii="Times New Roman" w:eastAsia="Arial" w:hAnsi="Times New Roman" w:cs="Times New Roman"/>
          <w:sz w:val="24"/>
          <w:szCs w:val="24"/>
        </w:rPr>
        <w:t xml:space="preserve">. Deste modo, dentre as 22 escolas, foram selecionadas aleatoriamente 5 escolas classes que foram contatadas inicialmente por ligação telefônica e posteriormente por meio de visitas e apresentação do projeto para a direção e equipe pedagógica. A técnica de amostragem foi não probabilística por conveniência. Após as visitas às escolas houve o recrutamento dos alunos considerados elegíveis para a pesquisa, conforme os critérios de inclusão e exclusão. Uma das escolas foi excluída da pesquisa por não contemplar em seu corpo discente os alunos elegíveis para compor a amostra do grupo de interesse. </w:t>
      </w:r>
    </w:p>
    <w:p w14:paraId="5A799F3A" w14:textId="77777777" w:rsidR="009C43BA" w:rsidRPr="00831A7E" w:rsidRDefault="009C43BA" w:rsidP="009C43BA">
      <w:pPr>
        <w:jc w:val="left"/>
        <w:rPr>
          <w:rFonts w:ascii="Times New Roman" w:eastAsia="Arial" w:hAnsi="Times New Roman" w:cs="Times New Roman"/>
          <w:i/>
          <w:iCs/>
          <w:sz w:val="24"/>
          <w:szCs w:val="24"/>
        </w:rPr>
      </w:pPr>
    </w:p>
    <w:p w14:paraId="48187D87" w14:textId="13B640E0"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Inicialmente, as escolas foram contatadas e visitadas conforme a disponibilidade de cada uma. O projeto foi apresentado em roda de conversa com os professores e foi apresentado um vídeo </w:t>
      </w:r>
      <w:r w:rsidRPr="00831A7E">
        <w:rPr>
          <w:rFonts w:ascii="Times New Roman" w:eastAsia="Arial" w:hAnsi="Times New Roman" w:cs="Times New Roman"/>
          <w:sz w:val="24"/>
          <w:szCs w:val="24"/>
        </w:rPr>
        <w:lastRenderedPageBreak/>
        <w:t xml:space="preserve">explicativo, criado pelas pesquisadoras, </w:t>
      </w:r>
      <w:r w:rsidR="0051017B" w:rsidRPr="00831A7E">
        <w:rPr>
          <w:rFonts w:ascii="Times New Roman" w:eastAsia="Arial" w:hAnsi="Times New Roman" w:cs="Times New Roman"/>
          <w:sz w:val="24"/>
          <w:szCs w:val="24"/>
        </w:rPr>
        <w:t>a</w:t>
      </w:r>
      <w:r w:rsidRPr="00831A7E">
        <w:rPr>
          <w:rFonts w:ascii="Times New Roman" w:eastAsia="Arial" w:hAnsi="Times New Roman" w:cs="Times New Roman"/>
          <w:sz w:val="24"/>
          <w:szCs w:val="24"/>
        </w:rPr>
        <w:t xml:space="preserve"> respeito dos procedimentos que seriam aplicados durante a coleta de dados. Trata-se de um vídeo curto de 2:22 minutos que apresenta o projeto “Perfil </w:t>
      </w:r>
      <w:r w:rsidR="006A3D65" w:rsidRPr="00831A7E">
        <w:rPr>
          <w:rFonts w:ascii="Times New Roman" w:eastAsia="Arial" w:hAnsi="Times New Roman" w:cs="Times New Roman"/>
          <w:sz w:val="24"/>
          <w:szCs w:val="24"/>
        </w:rPr>
        <w:t>educacional e funcional de estudantes da educação especial da região administrativa de samambaia e construção de indicadores para o monitoramento da aprendizagem</w:t>
      </w:r>
      <w:r w:rsidRPr="00831A7E">
        <w:rPr>
          <w:rFonts w:ascii="Times New Roman" w:eastAsia="Arial" w:hAnsi="Times New Roman" w:cs="Times New Roman"/>
          <w:sz w:val="24"/>
          <w:szCs w:val="24"/>
        </w:rPr>
        <w:t>” no qual está incluso a presente pesquisa.</w:t>
      </w:r>
      <w:r w:rsidRPr="00831A7E">
        <w:rPr>
          <w:rStyle w:val="FootnoteReference"/>
          <w:rFonts w:ascii="Times New Roman" w:eastAsia="Arial" w:hAnsi="Times New Roman" w:cs="Times New Roman"/>
          <w:sz w:val="24"/>
          <w:szCs w:val="24"/>
        </w:rPr>
        <w:footnoteReference w:id="1"/>
      </w:r>
      <w:r w:rsidRPr="00831A7E">
        <w:rPr>
          <w:rFonts w:ascii="Times New Roman" w:eastAsia="Arial" w:hAnsi="Times New Roman" w:cs="Times New Roman"/>
          <w:sz w:val="24"/>
          <w:szCs w:val="24"/>
        </w:rPr>
        <w:t xml:space="preserve"> Neste momento foram indicados os escolares do público alvo da educação especial, considerados alfabetizados pelo professor de língua portuguesa. Quanto ao GC, os termos foram enviados de forma aleatória, sendo sorteados três escolares controles, para cada aluno do GI.</w:t>
      </w:r>
      <w:r w:rsidR="009C43BA">
        <w:rPr>
          <w:rFonts w:ascii="Times New Roman" w:eastAsia="Arial" w:hAnsi="Times New Roman" w:cs="Times New Roman"/>
          <w:sz w:val="24"/>
          <w:szCs w:val="24"/>
        </w:rPr>
        <w:t xml:space="preserve"> </w:t>
      </w:r>
      <w:r w:rsidRPr="00831A7E">
        <w:rPr>
          <w:rFonts w:ascii="Times New Roman" w:eastAsia="Arial" w:hAnsi="Times New Roman" w:cs="Times New Roman"/>
          <w:sz w:val="24"/>
          <w:szCs w:val="24"/>
        </w:rPr>
        <w:t>A avaliação dos escolares ocorreu em meses diferentes do ano letivo, conforme disponibilidade dos colégios participante da pesquisa.</w:t>
      </w:r>
    </w:p>
    <w:p w14:paraId="51E3946F" w14:textId="77777777" w:rsidR="009C43BA" w:rsidRPr="009C43BA" w:rsidRDefault="009C43BA" w:rsidP="009C43BA">
      <w:pPr>
        <w:jc w:val="left"/>
        <w:rPr>
          <w:rFonts w:ascii="Times New Roman" w:eastAsia="Arial" w:hAnsi="Times New Roman" w:cs="Times New Roman"/>
          <w:sz w:val="24"/>
          <w:szCs w:val="24"/>
        </w:rPr>
      </w:pPr>
    </w:p>
    <w:p w14:paraId="6E948F56" w14:textId="22C255F8" w:rsidR="00871AF4" w:rsidRDefault="00871AF4" w:rsidP="009C43BA">
      <w:pPr>
        <w:jc w:val="left"/>
        <w:rPr>
          <w:rFonts w:ascii="Times New Roman" w:eastAsia="Arial" w:hAnsi="Times New Roman" w:cs="Times New Roman"/>
          <w:i/>
          <w:sz w:val="24"/>
          <w:szCs w:val="24"/>
        </w:rPr>
      </w:pPr>
      <w:r w:rsidRPr="009C43BA">
        <w:rPr>
          <w:rFonts w:ascii="Times New Roman" w:eastAsia="Arial" w:hAnsi="Times New Roman" w:cs="Times New Roman"/>
          <w:i/>
          <w:sz w:val="24"/>
          <w:szCs w:val="24"/>
        </w:rPr>
        <w:t>Recrutamento dos participantes e entrega dos termos TCLE e TALE</w:t>
      </w:r>
    </w:p>
    <w:p w14:paraId="1468D74C" w14:textId="77777777" w:rsidR="009C43BA" w:rsidRPr="009C43BA" w:rsidRDefault="009C43BA" w:rsidP="009C43BA">
      <w:pPr>
        <w:jc w:val="left"/>
        <w:rPr>
          <w:rFonts w:ascii="Times New Roman" w:eastAsia="Arial" w:hAnsi="Times New Roman" w:cs="Times New Roman"/>
          <w:i/>
          <w:sz w:val="24"/>
          <w:szCs w:val="24"/>
        </w:rPr>
      </w:pPr>
    </w:p>
    <w:p w14:paraId="544BDAA4" w14:textId="15184E09"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Foram entregues 60 TCLEs e TALEs a todos os alunos do </w:t>
      </w:r>
      <w:proofErr w:type="gramStart"/>
      <w:r w:rsidRPr="00831A7E">
        <w:rPr>
          <w:rFonts w:ascii="Times New Roman" w:eastAsia="Arial" w:hAnsi="Times New Roman" w:cs="Times New Roman"/>
          <w:sz w:val="24"/>
          <w:szCs w:val="24"/>
        </w:rPr>
        <w:t>público alvo</w:t>
      </w:r>
      <w:proofErr w:type="gramEnd"/>
      <w:r w:rsidRPr="00831A7E">
        <w:rPr>
          <w:rFonts w:ascii="Times New Roman" w:eastAsia="Arial" w:hAnsi="Times New Roman" w:cs="Times New Roman"/>
          <w:sz w:val="24"/>
          <w:szCs w:val="24"/>
        </w:rPr>
        <w:t xml:space="preserve"> da educação especial, considerados alfabetizados pelo professor de língua portuguesa, dos quais 31 termos foram devolvidos assinados pelos responsáveis. Para compor o grupo controle, foram entregues 260 termos, destes, 90 termos foram entregues assinados. </w:t>
      </w:r>
    </w:p>
    <w:p w14:paraId="6076776C" w14:textId="77777777" w:rsidR="009C43BA" w:rsidRPr="00831A7E" w:rsidRDefault="009C43BA" w:rsidP="009C43BA">
      <w:pPr>
        <w:jc w:val="left"/>
        <w:rPr>
          <w:rFonts w:ascii="Times New Roman" w:eastAsia="Arial" w:hAnsi="Times New Roman" w:cs="Times New Roman"/>
          <w:sz w:val="24"/>
          <w:szCs w:val="24"/>
        </w:rPr>
      </w:pPr>
    </w:p>
    <w:p w14:paraId="7D0F9DEA" w14:textId="3BD0675D" w:rsidR="00871AF4" w:rsidRDefault="00871AF4" w:rsidP="009C43BA">
      <w:pPr>
        <w:jc w:val="left"/>
        <w:rPr>
          <w:rFonts w:ascii="Times New Roman" w:eastAsia="Arial" w:hAnsi="Times New Roman" w:cs="Times New Roman"/>
          <w:i/>
          <w:sz w:val="24"/>
          <w:szCs w:val="24"/>
        </w:rPr>
      </w:pPr>
      <w:r w:rsidRPr="00112327">
        <w:rPr>
          <w:rFonts w:ascii="Times New Roman" w:eastAsia="Arial" w:hAnsi="Times New Roman" w:cs="Times New Roman"/>
          <w:i/>
          <w:sz w:val="24"/>
          <w:szCs w:val="24"/>
        </w:rPr>
        <w:t xml:space="preserve"> Avaliação</w:t>
      </w:r>
    </w:p>
    <w:p w14:paraId="451A41A9" w14:textId="77777777" w:rsidR="009C43BA" w:rsidRPr="00112327" w:rsidRDefault="009C43BA" w:rsidP="009C43BA">
      <w:pPr>
        <w:jc w:val="left"/>
        <w:rPr>
          <w:rFonts w:ascii="Times New Roman" w:eastAsia="Arial" w:hAnsi="Times New Roman" w:cs="Times New Roman"/>
          <w:i/>
          <w:sz w:val="24"/>
          <w:szCs w:val="24"/>
        </w:rPr>
      </w:pPr>
    </w:p>
    <w:p w14:paraId="5B2A2021" w14:textId="1B55D94C"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Após a entrega dos termos assinados, as avaliações foram realizadas na própria escola e no mesmo turno em que os alunos estavam matriculados. A avaliação da fluência de leitura ocorreu de forma individual: os participantes foram conduzidos a um ambiente </w:t>
      </w:r>
      <w:r w:rsidRPr="006E6FA7">
        <w:rPr>
          <w:rFonts w:ascii="Times New Roman" w:eastAsia="Arial" w:hAnsi="Times New Roman" w:cs="Times New Roman"/>
          <w:sz w:val="24"/>
          <w:szCs w:val="24"/>
        </w:rPr>
        <w:t>preparado para a coleta de dados, de forma que os sujeitos tivessem o mínimo de distrações possíveis</w:t>
      </w:r>
      <w:r w:rsidR="00710E34" w:rsidRPr="006E6FA7">
        <w:rPr>
          <w:rFonts w:ascii="Times New Roman" w:eastAsia="Arial" w:hAnsi="Times New Roman" w:cs="Times New Roman"/>
          <w:sz w:val="24"/>
          <w:szCs w:val="24"/>
        </w:rPr>
        <w:t>.</w:t>
      </w:r>
      <w:r w:rsidRPr="006E6FA7">
        <w:rPr>
          <w:rFonts w:ascii="Times New Roman" w:eastAsia="Arial" w:hAnsi="Times New Roman" w:cs="Times New Roman"/>
          <w:sz w:val="24"/>
          <w:szCs w:val="24"/>
        </w:rPr>
        <w:t xml:space="preserve"> </w:t>
      </w:r>
      <w:r w:rsidR="00710E34" w:rsidRPr="006E6FA7">
        <w:rPr>
          <w:rFonts w:ascii="Times New Roman" w:eastAsia="Arial" w:hAnsi="Times New Roman" w:cs="Times New Roman"/>
          <w:sz w:val="24"/>
          <w:szCs w:val="24"/>
        </w:rPr>
        <w:t>E</w:t>
      </w:r>
      <w:r w:rsidRPr="006E6FA7">
        <w:rPr>
          <w:rFonts w:ascii="Times New Roman" w:eastAsia="Arial" w:hAnsi="Times New Roman" w:cs="Times New Roman"/>
          <w:sz w:val="24"/>
          <w:szCs w:val="24"/>
        </w:rPr>
        <w:t xml:space="preserve">stavam presentes na sala de avaliação a pesquisadora principal e dois graduandos do curso de </w:t>
      </w:r>
      <w:r w:rsidR="008C7225" w:rsidRPr="006E6FA7">
        <w:rPr>
          <w:rFonts w:ascii="Times New Roman" w:eastAsia="Arial" w:hAnsi="Times New Roman" w:cs="Times New Roman"/>
          <w:sz w:val="24"/>
          <w:szCs w:val="24"/>
        </w:rPr>
        <w:t>F</w:t>
      </w:r>
      <w:r w:rsidRPr="006E6FA7">
        <w:rPr>
          <w:rFonts w:ascii="Times New Roman" w:eastAsia="Arial" w:hAnsi="Times New Roman" w:cs="Times New Roman"/>
          <w:sz w:val="24"/>
          <w:szCs w:val="24"/>
        </w:rPr>
        <w:t>onoaudiologia. Inicialmente</w:t>
      </w:r>
      <w:r w:rsidR="00710E34" w:rsidRPr="006E6FA7">
        <w:rPr>
          <w:rFonts w:ascii="Times New Roman" w:eastAsia="Arial" w:hAnsi="Times New Roman" w:cs="Times New Roman"/>
          <w:sz w:val="24"/>
          <w:szCs w:val="24"/>
        </w:rPr>
        <w:t>,</w:t>
      </w:r>
      <w:r w:rsidRPr="006E6FA7">
        <w:rPr>
          <w:rFonts w:ascii="Times New Roman" w:eastAsia="Arial" w:hAnsi="Times New Roman" w:cs="Times New Roman"/>
          <w:sz w:val="24"/>
          <w:szCs w:val="24"/>
        </w:rPr>
        <w:t xml:space="preserve"> os participantes foram orientados a ler o texto “A coisa” (S</w:t>
      </w:r>
      <w:r w:rsidR="000A5BFA" w:rsidRPr="006E6FA7">
        <w:rPr>
          <w:rFonts w:ascii="Times New Roman" w:eastAsia="Arial" w:hAnsi="Times New Roman" w:cs="Times New Roman"/>
          <w:sz w:val="24"/>
          <w:szCs w:val="24"/>
        </w:rPr>
        <w:t>alles</w:t>
      </w:r>
      <w:r w:rsidRPr="006E6FA7">
        <w:rPr>
          <w:rFonts w:ascii="Times New Roman" w:eastAsia="Arial" w:hAnsi="Times New Roman" w:cs="Times New Roman"/>
          <w:sz w:val="24"/>
          <w:szCs w:val="24"/>
        </w:rPr>
        <w:t>, 2001)</w:t>
      </w:r>
      <w:r w:rsidR="00710E34" w:rsidRPr="006E6FA7">
        <w:rPr>
          <w:rFonts w:ascii="Times New Roman" w:eastAsia="Arial" w:hAnsi="Times New Roman" w:cs="Times New Roman"/>
          <w:sz w:val="24"/>
          <w:szCs w:val="24"/>
        </w:rPr>
        <w:t>.</w:t>
      </w:r>
      <w:r w:rsidRPr="006E6FA7">
        <w:rPr>
          <w:rFonts w:ascii="Times New Roman" w:eastAsia="Arial" w:hAnsi="Times New Roman" w:cs="Times New Roman"/>
          <w:sz w:val="24"/>
          <w:szCs w:val="24"/>
        </w:rPr>
        <w:t xml:space="preserve"> </w:t>
      </w:r>
      <w:r w:rsidR="00710E34" w:rsidRPr="006E6FA7">
        <w:rPr>
          <w:rFonts w:ascii="Times New Roman" w:eastAsia="Arial" w:hAnsi="Times New Roman" w:cs="Times New Roman"/>
          <w:sz w:val="24"/>
          <w:szCs w:val="24"/>
        </w:rPr>
        <w:t xml:space="preserve">A </w:t>
      </w:r>
      <w:r w:rsidRPr="006E6FA7">
        <w:rPr>
          <w:rFonts w:ascii="Times New Roman" w:eastAsia="Arial" w:hAnsi="Times New Roman" w:cs="Times New Roman"/>
          <w:sz w:val="24"/>
          <w:szCs w:val="24"/>
        </w:rPr>
        <w:t>leitura foi realizada silenciosamente e</w:t>
      </w:r>
      <w:r w:rsidR="00710E34" w:rsidRPr="006E6FA7">
        <w:rPr>
          <w:rFonts w:ascii="Times New Roman" w:eastAsia="Arial" w:hAnsi="Times New Roman" w:cs="Times New Roman"/>
          <w:sz w:val="24"/>
          <w:szCs w:val="24"/>
        </w:rPr>
        <w:t>,</w:t>
      </w:r>
      <w:r w:rsidRPr="006E6FA7">
        <w:rPr>
          <w:rFonts w:ascii="Times New Roman" w:eastAsia="Arial" w:hAnsi="Times New Roman" w:cs="Times New Roman"/>
          <w:sz w:val="24"/>
          <w:szCs w:val="24"/>
        </w:rPr>
        <w:t xml:space="preserve"> posteriormente</w:t>
      </w:r>
      <w:r w:rsidR="00710E34" w:rsidRPr="006E6FA7">
        <w:rPr>
          <w:rFonts w:ascii="Times New Roman" w:eastAsia="Arial" w:hAnsi="Times New Roman" w:cs="Times New Roman"/>
          <w:sz w:val="24"/>
          <w:szCs w:val="24"/>
        </w:rPr>
        <w:t>,</w:t>
      </w:r>
      <w:r w:rsidRPr="006E6FA7">
        <w:rPr>
          <w:rFonts w:ascii="Times New Roman" w:eastAsia="Arial" w:hAnsi="Times New Roman" w:cs="Times New Roman"/>
          <w:sz w:val="24"/>
          <w:szCs w:val="24"/>
        </w:rPr>
        <w:t xml:space="preserve"> ocorreu a gravação da leitura em voz alta. Tanto a leitura quanto a gravação foram realizadas no computador da pesquisadora com microfone embutido</w:t>
      </w:r>
      <w:r w:rsidRPr="00831A7E">
        <w:rPr>
          <w:rFonts w:ascii="Times New Roman" w:eastAsia="Arial" w:hAnsi="Times New Roman" w:cs="Times New Roman"/>
          <w:sz w:val="24"/>
          <w:szCs w:val="24"/>
        </w:rPr>
        <w:t xml:space="preserve">. </w:t>
      </w:r>
    </w:p>
    <w:p w14:paraId="477DF779" w14:textId="77777777" w:rsidR="009C43BA" w:rsidRPr="00831A7E" w:rsidRDefault="009C43BA" w:rsidP="009C43BA">
      <w:pPr>
        <w:jc w:val="left"/>
        <w:rPr>
          <w:rFonts w:ascii="Times New Roman" w:hAnsi="Times New Roman" w:cs="Times New Roman"/>
          <w:sz w:val="24"/>
          <w:szCs w:val="24"/>
        </w:rPr>
      </w:pPr>
    </w:p>
    <w:p w14:paraId="7A1F7138" w14:textId="468BC602"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 xml:space="preserve">Para avaliar a compreensão do texto lido, foi aplicado um questionário relacionado ao texto, composto por 10 questões objetivas (5 questões literais e 5 inferenciais) com 4 possíveis </w:t>
      </w:r>
      <w:r w:rsidRPr="00831A7E">
        <w:rPr>
          <w:rFonts w:ascii="Times New Roman" w:eastAsia="Arial" w:hAnsi="Times New Roman" w:cs="Times New Roman"/>
          <w:sz w:val="24"/>
          <w:szCs w:val="24"/>
        </w:rPr>
        <w:lastRenderedPageBreak/>
        <w:t xml:space="preserve">respostas cada. As pesquisadoras realizaram a leitura dos enunciados e itens correspondentes a cada questão, no qual o escolar deveria indicar apenas uma questão correta dentre os itens lidos. O questionário foi inserido no </w:t>
      </w:r>
      <w:r w:rsidRPr="00831A7E">
        <w:rPr>
          <w:rFonts w:ascii="Times New Roman" w:eastAsia="Arial" w:hAnsi="Times New Roman" w:cs="Times New Roman"/>
          <w:i/>
          <w:iCs/>
          <w:sz w:val="24"/>
          <w:szCs w:val="24"/>
        </w:rPr>
        <w:t>software</w:t>
      </w:r>
      <w:r w:rsidRPr="00831A7E">
        <w:rPr>
          <w:rFonts w:ascii="Times New Roman" w:hAnsi="Times New Roman" w:cs="Times New Roman"/>
          <w:i/>
          <w:iCs/>
          <w:sz w:val="24"/>
          <w:szCs w:val="24"/>
        </w:rPr>
        <w:t xml:space="preserve"> LEPIC</w:t>
      </w:r>
      <w:r w:rsidR="000A5BFA">
        <w:rPr>
          <w:rFonts w:ascii="Times New Roman" w:hAnsi="Times New Roman" w:cs="Times New Roman"/>
          <w:i/>
          <w:iCs/>
          <w:sz w:val="24"/>
          <w:szCs w:val="24"/>
        </w:rPr>
        <w:t xml:space="preserve"> </w:t>
      </w:r>
      <w:r w:rsidRPr="00831A7E">
        <w:rPr>
          <w:rFonts w:ascii="Times New Roman" w:hAnsi="Times New Roman" w:cs="Times New Roman"/>
          <w:i/>
          <w:sz w:val="24"/>
          <w:szCs w:val="24"/>
        </w:rPr>
        <w:t xml:space="preserve">® </w:t>
      </w:r>
      <w:r w:rsidRPr="00831A7E">
        <w:rPr>
          <w:rFonts w:ascii="Times New Roman" w:eastAsia="Arial" w:hAnsi="Times New Roman" w:cs="Times New Roman"/>
          <w:sz w:val="24"/>
          <w:szCs w:val="24"/>
        </w:rPr>
        <w:t>o qual possibilitou a marcação das respostas indicadas pelos escolares.</w:t>
      </w:r>
    </w:p>
    <w:p w14:paraId="7B380786" w14:textId="77777777" w:rsidR="009C43BA" w:rsidRPr="00831A7E" w:rsidRDefault="009C43BA" w:rsidP="009C43BA">
      <w:pPr>
        <w:jc w:val="left"/>
        <w:rPr>
          <w:rFonts w:ascii="Times New Roman" w:eastAsia="Arial" w:hAnsi="Times New Roman" w:cs="Times New Roman"/>
          <w:i/>
          <w:iCs/>
          <w:sz w:val="24"/>
          <w:szCs w:val="24"/>
        </w:rPr>
      </w:pPr>
    </w:p>
    <w:p w14:paraId="23476C61" w14:textId="2F85A6DA" w:rsidR="00871AF4" w:rsidRDefault="00871AF4" w:rsidP="009C43BA">
      <w:pPr>
        <w:jc w:val="left"/>
        <w:rPr>
          <w:rFonts w:ascii="Times New Roman" w:eastAsia="Arial" w:hAnsi="Times New Roman" w:cs="Times New Roman"/>
          <w:sz w:val="24"/>
          <w:szCs w:val="24"/>
        </w:rPr>
      </w:pPr>
      <w:r w:rsidRPr="00831A7E">
        <w:rPr>
          <w:rFonts w:ascii="Times New Roman" w:eastAsia="Arial" w:hAnsi="Times New Roman" w:cs="Times New Roman"/>
          <w:sz w:val="24"/>
          <w:szCs w:val="24"/>
        </w:rPr>
        <w:t>Para avaliar o desempenho da leitura oral de palavras (e pseudopalavras) isoladas, as crianças foram instruídas a realizar a leitura em voz alta de uma lista de 88 palavras variadas (estímulos regulares e irregulares). A mesma instrução foi dada para a leitura da lista de pseudopalavras, também composta por 88 itens. Prévia a leitura das listas, os estudantes realizaram a leitura de 5 itens de treinamento e somente após a leitura, foi iniciada a gravação da leitura de palavras e pseudopalavras.</w:t>
      </w:r>
    </w:p>
    <w:p w14:paraId="355EC6BF" w14:textId="77777777" w:rsidR="009C43BA" w:rsidRPr="00831A7E" w:rsidRDefault="009C43BA" w:rsidP="009C43BA">
      <w:pPr>
        <w:jc w:val="left"/>
        <w:rPr>
          <w:rFonts w:ascii="Times New Roman" w:hAnsi="Times New Roman" w:cs="Times New Roman"/>
          <w:sz w:val="24"/>
          <w:szCs w:val="24"/>
        </w:rPr>
      </w:pPr>
    </w:p>
    <w:p w14:paraId="0615829C" w14:textId="0FFB6727" w:rsidR="00871AF4" w:rsidRDefault="00871AF4" w:rsidP="009C43BA">
      <w:pPr>
        <w:jc w:val="left"/>
        <w:rPr>
          <w:rFonts w:ascii="Times New Roman" w:eastAsia="Arial" w:hAnsi="Times New Roman" w:cs="Times New Roman"/>
          <w:i/>
          <w:sz w:val="24"/>
          <w:szCs w:val="24"/>
        </w:rPr>
      </w:pPr>
      <w:r w:rsidRPr="00880FAE">
        <w:rPr>
          <w:rFonts w:ascii="Times New Roman" w:eastAsia="Arial" w:hAnsi="Times New Roman" w:cs="Times New Roman"/>
          <w:i/>
          <w:sz w:val="24"/>
          <w:szCs w:val="24"/>
        </w:rPr>
        <w:t>Análise de dados</w:t>
      </w:r>
    </w:p>
    <w:p w14:paraId="3AB10DDF" w14:textId="77777777" w:rsidR="009C43BA" w:rsidRPr="00880FAE" w:rsidRDefault="009C43BA" w:rsidP="009C43BA">
      <w:pPr>
        <w:jc w:val="left"/>
        <w:rPr>
          <w:rFonts w:ascii="Times New Roman" w:eastAsia="Arial" w:hAnsi="Times New Roman" w:cs="Times New Roman"/>
          <w:i/>
          <w:sz w:val="24"/>
          <w:szCs w:val="24"/>
        </w:rPr>
      </w:pPr>
    </w:p>
    <w:p w14:paraId="02404516" w14:textId="356E0186" w:rsidR="00871AF4" w:rsidRDefault="00871AF4" w:rsidP="009C43BA">
      <w:pPr>
        <w:jc w:val="left"/>
        <w:rPr>
          <w:rFonts w:ascii="Times New Roman" w:hAnsi="Times New Roman" w:cs="Times New Roman"/>
          <w:sz w:val="24"/>
          <w:szCs w:val="24"/>
        </w:rPr>
      </w:pPr>
      <w:r w:rsidRPr="00831A7E">
        <w:rPr>
          <w:rFonts w:ascii="Times New Roman" w:hAnsi="Times New Roman" w:cs="Times New Roman"/>
          <w:sz w:val="24"/>
          <w:szCs w:val="24"/>
        </w:rPr>
        <w:t xml:space="preserve">Foi realizada a obtenção das variáveis relacionadas a fluência de leitura do texto, palavras e pseudopalavras: taxa de leitura, obtida pela mensuração das palavras/pseudopalavras lidas por minuto (PPM) e acurácia obtida pela mensuração de palavras/pseudopalavras corretas por minuto.  </w:t>
      </w:r>
    </w:p>
    <w:p w14:paraId="583D3F87" w14:textId="77777777" w:rsidR="009C43BA" w:rsidRPr="00831A7E" w:rsidRDefault="009C43BA" w:rsidP="009C43BA">
      <w:pPr>
        <w:jc w:val="left"/>
        <w:rPr>
          <w:rFonts w:ascii="Times New Roman" w:hAnsi="Times New Roman" w:cs="Times New Roman"/>
          <w:sz w:val="24"/>
          <w:szCs w:val="24"/>
        </w:rPr>
      </w:pPr>
    </w:p>
    <w:p w14:paraId="76A7091F" w14:textId="40BB13AE" w:rsidR="00871AF4" w:rsidRDefault="00871AF4" w:rsidP="009C43BA">
      <w:pPr>
        <w:jc w:val="left"/>
        <w:rPr>
          <w:rFonts w:ascii="Times New Roman" w:hAnsi="Times New Roman" w:cs="Times New Roman"/>
          <w:iCs/>
          <w:sz w:val="24"/>
          <w:szCs w:val="24"/>
        </w:rPr>
      </w:pPr>
      <w:r w:rsidRPr="00831A7E">
        <w:rPr>
          <w:rFonts w:ascii="Times New Roman" w:hAnsi="Times New Roman" w:cs="Times New Roman"/>
          <w:sz w:val="24"/>
          <w:szCs w:val="24"/>
        </w:rPr>
        <w:t>Na avaliação da compreensão da leitura, foram considerados o total de questões respondidas corretamente e a quantidade de questões literais e inferências acertadas. Para a análise, o</w:t>
      </w:r>
      <w:r w:rsidRPr="00831A7E">
        <w:rPr>
          <w:rFonts w:ascii="Times New Roman" w:hAnsi="Times New Roman" w:cs="Times New Roman"/>
          <w:i/>
          <w:iCs/>
          <w:sz w:val="24"/>
          <w:szCs w:val="24"/>
        </w:rPr>
        <w:t xml:space="preserve"> software</w:t>
      </w:r>
      <w:r w:rsidRPr="00831A7E">
        <w:rPr>
          <w:rFonts w:ascii="Times New Roman" w:hAnsi="Times New Roman" w:cs="Times New Roman"/>
          <w:sz w:val="24"/>
          <w:szCs w:val="24"/>
        </w:rPr>
        <w:t xml:space="preserve"> </w:t>
      </w:r>
      <w:r w:rsidRPr="00831A7E">
        <w:rPr>
          <w:rFonts w:ascii="Times New Roman" w:hAnsi="Times New Roman" w:cs="Times New Roman"/>
          <w:i/>
          <w:iCs/>
          <w:sz w:val="24"/>
          <w:szCs w:val="24"/>
        </w:rPr>
        <w:t xml:space="preserve">LEPIC </w:t>
      </w:r>
      <w:r w:rsidRPr="00831A7E">
        <w:rPr>
          <w:rFonts w:ascii="Times New Roman" w:hAnsi="Times New Roman" w:cs="Times New Roman"/>
          <w:i/>
          <w:sz w:val="24"/>
          <w:szCs w:val="24"/>
        </w:rPr>
        <w:t xml:space="preserve">® </w:t>
      </w:r>
      <w:r w:rsidRPr="00831A7E">
        <w:rPr>
          <w:rFonts w:ascii="Times New Roman" w:hAnsi="Times New Roman" w:cs="Times New Roman"/>
          <w:iCs/>
          <w:sz w:val="24"/>
          <w:szCs w:val="24"/>
        </w:rPr>
        <w:t>gerou de forma semiautomática o total de questões respondidas de forma correta. A análise qualitativa, relacionada ao desempenho nos diferentes tipos de questão (literal e inferencial) foi realizada pela pesquisadora que realizou a correção das questões com base no gabarito indicado pela autora que desenvolveu o questionário (S</w:t>
      </w:r>
      <w:r w:rsidR="000A5BFA" w:rsidRPr="00831A7E">
        <w:rPr>
          <w:rFonts w:ascii="Times New Roman" w:hAnsi="Times New Roman" w:cs="Times New Roman"/>
          <w:iCs/>
          <w:sz w:val="24"/>
          <w:szCs w:val="24"/>
        </w:rPr>
        <w:t>alles</w:t>
      </w:r>
      <w:r w:rsidRPr="00831A7E">
        <w:rPr>
          <w:rFonts w:ascii="Times New Roman" w:hAnsi="Times New Roman" w:cs="Times New Roman"/>
          <w:iCs/>
          <w:sz w:val="24"/>
          <w:szCs w:val="24"/>
        </w:rPr>
        <w:t>, 2001).</w:t>
      </w:r>
    </w:p>
    <w:p w14:paraId="63EEDACB" w14:textId="77777777" w:rsidR="009C43BA" w:rsidRPr="00831A7E" w:rsidRDefault="009C43BA" w:rsidP="009C43BA">
      <w:pPr>
        <w:jc w:val="left"/>
        <w:rPr>
          <w:rFonts w:ascii="Times New Roman" w:hAnsi="Times New Roman" w:cs="Times New Roman"/>
          <w:iCs/>
          <w:sz w:val="24"/>
          <w:szCs w:val="24"/>
        </w:rPr>
      </w:pPr>
    </w:p>
    <w:p w14:paraId="6AE1E978" w14:textId="5D4C7CC1" w:rsidR="00112327" w:rsidRDefault="00871AF4" w:rsidP="009C43BA">
      <w:pPr>
        <w:jc w:val="left"/>
        <w:rPr>
          <w:rFonts w:ascii="Times New Roman" w:hAnsi="Times New Roman" w:cs="Times New Roman"/>
          <w:sz w:val="24"/>
          <w:szCs w:val="24"/>
        </w:rPr>
      </w:pPr>
      <w:r w:rsidRPr="00831A7E">
        <w:rPr>
          <w:rFonts w:ascii="Times New Roman" w:hAnsi="Times New Roman" w:cs="Times New Roman"/>
          <w:sz w:val="24"/>
          <w:szCs w:val="24"/>
        </w:rPr>
        <w:t xml:space="preserve">No caso da presente pesquisa, o cálculo da taxa e da acurácia foi realizada de forma semiautomática pelo </w:t>
      </w:r>
      <w:r w:rsidRPr="00831A7E">
        <w:rPr>
          <w:rFonts w:ascii="Times New Roman" w:hAnsi="Times New Roman" w:cs="Times New Roman"/>
          <w:i/>
          <w:sz w:val="24"/>
          <w:szCs w:val="24"/>
        </w:rPr>
        <w:t xml:space="preserve">software </w:t>
      </w:r>
      <w:r w:rsidRPr="00831A7E">
        <w:rPr>
          <w:rFonts w:ascii="Times New Roman" w:hAnsi="Times New Roman" w:cs="Times New Roman"/>
          <w:i/>
          <w:iCs/>
          <w:sz w:val="24"/>
          <w:szCs w:val="24"/>
        </w:rPr>
        <w:t>LEPIC</w:t>
      </w:r>
      <w:r w:rsidRPr="00831A7E">
        <w:rPr>
          <w:rFonts w:ascii="Times New Roman" w:hAnsi="Times New Roman" w:cs="Times New Roman"/>
          <w:i/>
          <w:sz w:val="24"/>
          <w:szCs w:val="24"/>
        </w:rPr>
        <w:t xml:space="preserve">® </w:t>
      </w:r>
      <w:r w:rsidRPr="00831A7E">
        <w:rPr>
          <w:rFonts w:ascii="Times New Roman" w:hAnsi="Times New Roman" w:cs="Times New Roman"/>
          <w:iCs/>
          <w:sz w:val="24"/>
          <w:szCs w:val="24"/>
        </w:rPr>
        <w:t>(</w:t>
      </w:r>
      <w:r w:rsidRPr="00520B42">
        <w:rPr>
          <w:rFonts w:ascii="Times New Roman" w:hAnsi="Times New Roman" w:cs="Times New Roman"/>
          <w:sz w:val="24"/>
          <w:szCs w:val="24"/>
        </w:rPr>
        <w:t>A</w:t>
      </w:r>
      <w:r w:rsidR="000A5BFA" w:rsidRPr="00520B42">
        <w:rPr>
          <w:rFonts w:ascii="Times New Roman" w:hAnsi="Times New Roman" w:cs="Times New Roman"/>
          <w:sz w:val="24"/>
          <w:szCs w:val="24"/>
        </w:rPr>
        <w:t xml:space="preserve">lves </w:t>
      </w:r>
      <w:r w:rsidR="000A5BFA" w:rsidRPr="00520B42">
        <w:rPr>
          <w:rFonts w:ascii="Times New Roman" w:hAnsi="Times New Roman" w:cs="Times New Roman"/>
          <w:i/>
          <w:iCs/>
          <w:sz w:val="24"/>
          <w:szCs w:val="24"/>
        </w:rPr>
        <w:t>et al.,</w:t>
      </w:r>
      <w:r w:rsidRPr="00520B42">
        <w:rPr>
          <w:rFonts w:ascii="Times New Roman" w:hAnsi="Times New Roman" w:cs="Times New Roman"/>
          <w:sz w:val="24"/>
          <w:szCs w:val="24"/>
        </w:rPr>
        <w:t xml:space="preserve"> 2018)</w:t>
      </w:r>
      <w:r w:rsidR="002D1F23" w:rsidRPr="00520B42">
        <w:rPr>
          <w:rFonts w:ascii="Times New Roman" w:hAnsi="Times New Roman" w:cs="Times New Roman"/>
          <w:sz w:val="24"/>
          <w:szCs w:val="24"/>
        </w:rPr>
        <w:t xml:space="preserve"> </w:t>
      </w:r>
      <w:r w:rsidRPr="00831A7E">
        <w:rPr>
          <w:rFonts w:ascii="Times New Roman" w:hAnsi="Times New Roman" w:cs="Times New Roman"/>
          <w:sz w:val="24"/>
          <w:szCs w:val="24"/>
        </w:rPr>
        <w:t xml:space="preserve">no qual as pesquisadoras identificaram e marcaram as palavras lidas incorretamente no próprio </w:t>
      </w:r>
      <w:r w:rsidRPr="00831A7E">
        <w:rPr>
          <w:rFonts w:ascii="Times New Roman" w:hAnsi="Times New Roman" w:cs="Times New Roman"/>
          <w:i/>
          <w:sz w:val="24"/>
          <w:szCs w:val="24"/>
        </w:rPr>
        <w:t>software.</w:t>
      </w:r>
      <w:r w:rsidRPr="00831A7E">
        <w:rPr>
          <w:rFonts w:ascii="Times New Roman" w:hAnsi="Times New Roman" w:cs="Times New Roman"/>
          <w:sz w:val="24"/>
          <w:szCs w:val="24"/>
        </w:rPr>
        <w:t xml:space="preserve"> Após essa etapa foi possível gerar os dados relacionados a taxa de leitura e acurácia de forma automática e instantânea. Os dados foram armazenados em banco de dados.</w:t>
      </w:r>
      <w:bookmarkStart w:id="3" w:name="_Hlk33927350"/>
    </w:p>
    <w:p w14:paraId="5A5ADE3D" w14:textId="77777777" w:rsidR="009C43BA" w:rsidRDefault="009C43BA" w:rsidP="009C43BA">
      <w:pPr>
        <w:jc w:val="left"/>
        <w:rPr>
          <w:rFonts w:ascii="Times New Roman" w:hAnsi="Times New Roman" w:cs="Times New Roman"/>
          <w:sz w:val="24"/>
          <w:szCs w:val="24"/>
        </w:rPr>
      </w:pPr>
    </w:p>
    <w:p w14:paraId="40BCA0E3" w14:textId="467FBB49" w:rsidR="00871AF4"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Com o intuito de avaliar o desempenho das crianças e defini-los em possíveis déficits, foi utilizado o escore Z, padronizado e individual. Para tanto foi utilizada a fórmula:</w:t>
      </w:r>
    </w:p>
    <w:p w14:paraId="2D40CA72" w14:textId="77777777" w:rsidR="009C43BA" w:rsidRPr="00112327" w:rsidRDefault="009C43BA" w:rsidP="009C43BA">
      <w:pPr>
        <w:jc w:val="left"/>
        <w:rPr>
          <w:rFonts w:ascii="Times New Roman" w:hAnsi="Times New Roman" w:cs="Times New Roman"/>
          <w:sz w:val="24"/>
          <w:szCs w:val="24"/>
        </w:rPr>
      </w:pPr>
    </w:p>
    <w:p w14:paraId="1F74F23E" w14:textId="500C28A1" w:rsidR="00871AF4" w:rsidRPr="00ED5700" w:rsidRDefault="00AF4FEE" w:rsidP="009C43BA">
      <w:pPr>
        <w:jc w:val="left"/>
        <w:rPr>
          <w:rFonts w:ascii="Times New Roman" w:eastAsia="Arial" w:hAnsi="Times New Roman" w:cs="Times New Roman"/>
          <w:sz w:val="24"/>
          <w:szCs w:val="24"/>
        </w:rPr>
      </w:pPr>
      <m:oMathPara>
        <m:oMathParaPr>
          <m:jc m:val="center"/>
        </m:oMathParaPr>
        <m:oMath>
          <m:f>
            <m:fPr>
              <m:ctrlPr>
                <w:rPr>
                  <w:rFonts w:ascii="Cambria Math" w:hAnsi="Cambria Math" w:cs="Times New Roman"/>
                  <w:sz w:val="24"/>
                  <w:szCs w:val="24"/>
                </w:rPr>
              </m:ctrlPr>
            </m:fPr>
            <m:num>
              <m:r>
                <w:rPr>
                  <w:rFonts w:ascii="Cambria Math" w:hAnsi="Cambria Math" w:cs="Times New Roman"/>
                  <w:sz w:val="24"/>
                  <w:szCs w:val="24"/>
                </w:rPr>
                <m:t>Z=X-</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dp</m:t>
              </m:r>
            </m:den>
          </m:f>
        </m:oMath>
      </m:oMathPara>
    </w:p>
    <w:p w14:paraId="7D7F76EF" w14:textId="77777777" w:rsidR="009C43BA" w:rsidRPr="00831A7E" w:rsidRDefault="009C43BA" w:rsidP="009C43BA">
      <w:pPr>
        <w:jc w:val="left"/>
        <w:rPr>
          <w:rFonts w:ascii="Times New Roman" w:eastAsia="Arial" w:hAnsi="Times New Roman" w:cs="Times New Roman"/>
          <w:iCs/>
          <w:sz w:val="24"/>
          <w:szCs w:val="24"/>
        </w:rPr>
      </w:pPr>
    </w:p>
    <w:p w14:paraId="647E084B" w14:textId="77777777" w:rsidR="00871AF4" w:rsidRPr="00831A7E"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 xml:space="preserve">No qual, </w:t>
      </w:r>
    </w:p>
    <w:p w14:paraId="521101EE" w14:textId="77777777" w:rsidR="00871AF4" w:rsidRPr="00831A7E" w:rsidRDefault="00871AF4" w:rsidP="009C43BA">
      <w:pPr>
        <w:jc w:val="left"/>
        <w:rPr>
          <w:rFonts w:ascii="Times New Roman" w:eastAsia="Arial" w:hAnsi="Times New Roman" w:cs="Times New Roman"/>
          <w:iCs/>
          <w:sz w:val="24"/>
          <w:szCs w:val="24"/>
        </w:rPr>
      </w:pPr>
      <m:oMath>
        <m:r>
          <w:rPr>
            <w:rFonts w:ascii="Cambria Math" w:hAnsi="Cambria Math" w:cs="Times New Roman"/>
            <w:sz w:val="24"/>
            <w:szCs w:val="24"/>
          </w:rPr>
          <m:t>X</m:t>
        </m:r>
      </m:oMath>
      <w:r w:rsidRPr="00831A7E">
        <w:rPr>
          <w:rFonts w:ascii="Times New Roman" w:eastAsia="Arial" w:hAnsi="Times New Roman" w:cs="Times New Roman"/>
          <w:iCs/>
          <w:sz w:val="24"/>
          <w:szCs w:val="24"/>
        </w:rPr>
        <w:t xml:space="preserve"> = escore bruto.</w:t>
      </w:r>
    </w:p>
    <w:p w14:paraId="7183FBBF" w14:textId="77777777" w:rsidR="00871AF4" w:rsidRPr="00831A7E" w:rsidRDefault="00AF4FEE" w:rsidP="009C43BA">
      <w:pPr>
        <w:jc w:val="left"/>
        <w:rPr>
          <w:rFonts w:ascii="Times New Roman" w:eastAsia="Arial" w:hAnsi="Times New Roman" w:cs="Times New Roman"/>
          <w:iCs/>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871AF4" w:rsidRPr="00831A7E">
        <w:rPr>
          <w:rFonts w:ascii="Times New Roman" w:eastAsia="Arial" w:hAnsi="Times New Roman" w:cs="Times New Roman"/>
          <w:iCs/>
          <w:sz w:val="24"/>
          <w:szCs w:val="24"/>
        </w:rPr>
        <w:t>= média do grupo no teste.</w:t>
      </w:r>
    </w:p>
    <w:p w14:paraId="6F5DCAFD" w14:textId="1E02B5D9" w:rsidR="00871AF4" w:rsidRDefault="00871AF4" w:rsidP="009C43BA">
      <w:pPr>
        <w:jc w:val="left"/>
        <w:rPr>
          <w:rFonts w:ascii="Times New Roman" w:eastAsia="Arial" w:hAnsi="Times New Roman" w:cs="Times New Roman"/>
          <w:iCs/>
          <w:sz w:val="24"/>
          <w:szCs w:val="24"/>
        </w:rPr>
      </w:pPr>
      <m:oMath>
        <m:r>
          <w:rPr>
            <w:rFonts w:ascii="Cambria Math" w:hAnsi="Cambria Math" w:cs="Times New Roman"/>
            <w:sz w:val="24"/>
            <w:szCs w:val="24"/>
          </w:rPr>
          <m:t>dp</m:t>
        </m:r>
      </m:oMath>
      <w:r w:rsidRPr="00831A7E">
        <w:rPr>
          <w:rFonts w:ascii="Times New Roman" w:eastAsia="Arial" w:hAnsi="Times New Roman" w:cs="Times New Roman"/>
          <w:iCs/>
          <w:sz w:val="24"/>
          <w:szCs w:val="24"/>
        </w:rPr>
        <w:t xml:space="preserve"> = desvio-padrão do grupo normativo no teste.</w:t>
      </w:r>
    </w:p>
    <w:p w14:paraId="69070598" w14:textId="77777777" w:rsidR="009C43BA" w:rsidRPr="00831A7E" w:rsidRDefault="009C43BA" w:rsidP="009C43BA">
      <w:pPr>
        <w:jc w:val="left"/>
        <w:rPr>
          <w:rFonts w:ascii="Times New Roman" w:eastAsia="Arial" w:hAnsi="Times New Roman" w:cs="Times New Roman"/>
          <w:iCs/>
          <w:sz w:val="24"/>
          <w:szCs w:val="24"/>
        </w:rPr>
      </w:pPr>
    </w:p>
    <w:p w14:paraId="7C414ECE" w14:textId="4D6E8829" w:rsidR="00871AF4"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Como pontuação padrão do cálculo do escore Z, Schoenberg e colaboradores (2006), sugerem quatro pontos de corte como referência:</w:t>
      </w:r>
    </w:p>
    <w:p w14:paraId="246A74F9" w14:textId="77777777" w:rsidR="009C43BA" w:rsidRPr="00831A7E" w:rsidRDefault="009C43BA" w:rsidP="009C43BA">
      <w:pPr>
        <w:jc w:val="left"/>
        <w:rPr>
          <w:rFonts w:ascii="Times New Roman" w:eastAsia="Arial" w:hAnsi="Times New Roman" w:cs="Times New Roman"/>
          <w:iCs/>
          <w:sz w:val="24"/>
          <w:szCs w:val="24"/>
        </w:rPr>
      </w:pPr>
    </w:p>
    <w:p w14:paraId="707941A0" w14:textId="77777777" w:rsidR="00871AF4" w:rsidRPr="00831A7E"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Z entre -1,0 e -1,5 desvio padrão – sugestivo de alerta para déficit.</w:t>
      </w:r>
    </w:p>
    <w:p w14:paraId="76D77CA6" w14:textId="77777777" w:rsidR="00871AF4" w:rsidRPr="00831A7E"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 xml:space="preserve">Z </w:t>
      </w:r>
      <m:oMath>
        <m:r>
          <w:rPr>
            <w:rFonts w:ascii="Cambria Math" w:hAnsi="Cambria Math" w:cs="Times New Roman"/>
            <w:sz w:val="24"/>
            <w:szCs w:val="24"/>
          </w:rPr>
          <m:t>≤</m:t>
        </m:r>
      </m:oMath>
      <w:r w:rsidRPr="00831A7E">
        <w:rPr>
          <w:rFonts w:ascii="Times New Roman" w:eastAsia="Arial" w:hAnsi="Times New Roman" w:cs="Times New Roman"/>
          <w:iCs/>
          <w:sz w:val="24"/>
          <w:szCs w:val="24"/>
        </w:rPr>
        <w:t xml:space="preserve"> 1,5 desvios-padrão – sugestivo de déficit.</w:t>
      </w:r>
    </w:p>
    <w:p w14:paraId="43D5F14D" w14:textId="77777777" w:rsidR="00871AF4" w:rsidRPr="00831A7E"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Z entre -1,6 desvio-padrão e -2,0 desvio-padrão – sugestivo de déficit moderado à severo.</w:t>
      </w:r>
    </w:p>
    <w:p w14:paraId="019700B3" w14:textId="23163366" w:rsidR="00871AF4"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 xml:space="preserve">Z </w:t>
      </w:r>
      <m:oMath>
        <m:r>
          <w:rPr>
            <w:rFonts w:ascii="Cambria Math" w:hAnsi="Cambria Math" w:cs="Times New Roman"/>
            <w:sz w:val="24"/>
            <w:szCs w:val="24"/>
          </w:rPr>
          <m:t>≤</m:t>
        </m:r>
      </m:oMath>
      <w:r w:rsidRPr="00831A7E">
        <w:rPr>
          <w:rFonts w:ascii="Times New Roman" w:eastAsia="Arial" w:hAnsi="Times New Roman" w:cs="Times New Roman"/>
          <w:iCs/>
          <w:sz w:val="24"/>
          <w:szCs w:val="24"/>
        </w:rPr>
        <w:t xml:space="preserve"> 2,0 desvios-padrão – sugestivo de déficit de gravidade importante.</w:t>
      </w:r>
    </w:p>
    <w:p w14:paraId="25BE99B6" w14:textId="77777777" w:rsidR="009C43BA" w:rsidRPr="00831A7E" w:rsidRDefault="009C43BA" w:rsidP="009C43BA">
      <w:pPr>
        <w:jc w:val="left"/>
        <w:rPr>
          <w:rFonts w:ascii="Times New Roman" w:eastAsia="Arial" w:hAnsi="Times New Roman" w:cs="Times New Roman"/>
          <w:iCs/>
          <w:sz w:val="24"/>
          <w:szCs w:val="24"/>
        </w:rPr>
      </w:pPr>
    </w:p>
    <w:p w14:paraId="190291D2" w14:textId="1C1BA3CD" w:rsidR="00871AF4" w:rsidRDefault="00871AF4" w:rsidP="009C43BA">
      <w:pPr>
        <w:jc w:val="left"/>
        <w:rPr>
          <w:rFonts w:ascii="Times New Roman" w:eastAsia="Arial" w:hAnsi="Times New Roman" w:cs="Times New Roman"/>
          <w:iCs/>
          <w:sz w:val="24"/>
          <w:szCs w:val="24"/>
        </w:rPr>
      </w:pPr>
      <w:r w:rsidRPr="00831A7E">
        <w:rPr>
          <w:rFonts w:ascii="Times New Roman" w:eastAsia="Arial" w:hAnsi="Times New Roman" w:cs="Times New Roman"/>
          <w:iCs/>
          <w:sz w:val="24"/>
          <w:szCs w:val="24"/>
        </w:rPr>
        <w:t xml:space="preserve">Para avaliar o desempenho dos diferentes públicos-alvo da educação para todas as variáveis avaliadas, foram realizadas escalas baseadas no desempenho dos escolares do GI, </w:t>
      </w:r>
      <w:r w:rsidR="00781E5A" w:rsidRPr="00831A7E">
        <w:rPr>
          <w:rFonts w:ascii="Times New Roman" w:eastAsia="Arial" w:hAnsi="Times New Roman" w:cs="Times New Roman"/>
          <w:iCs/>
          <w:sz w:val="24"/>
          <w:szCs w:val="24"/>
        </w:rPr>
        <w:t>foi levado</w:t>
      </w:r>
      <w:r w:rsidRPr="00831A7E">
        <w:rPr>
          <w:rFonts w:ascii="Times New Roman" w:eastAsia="Arial" w:hAnsi="Times New Roman" w:cs="Times New Roman"/>
          <w:iCs/>
          <w:sz w:val="24"/>
          <w:szCs w:val="24"/>
        </w:rPr>
        <w:t xml:space="preserve"> em consideração apenas a necessidade especial do escolar. </w:t>
      </w:r>
    </w:p>
    <w:p w14:paraId="6B67AA4A" w14:textId="77777777" w:rsidR="009C43BA" w:rsidRPr="00831A7E" w:rsidRDefault="009C43BA" w:rsidP="009C43BA">
      <w:pPr>
        <w:jc w:val="left"/>
        <w:rPr>
          <w:rFonts w:ascii="Times New Roman" w:eastAsia="Arial" w:hAnsi="Times New Roman" w:cs="Times New Roman"/>
          <w:iCs/>
          <w:sz w:val="24"/>
          <w:szCs w:val="24"/>
        </w:rPr>
      </w:pPr>
    </w:p>
    <w:p w14:paraId="12A0E103" w14:textId="2BF2A540" w:rsidR="00871AF4" w:rsidRDefault="002757D4" w:rsidP="009C43BA">
      <w:pPr>
        <w:jc w:val="left"/>
        <w:rPr>
          <w:rFonts w:ascii="Times New Roman" w:eastAsia="Arial" w:hAnsi="Times New Roman" w:cs="Times New Roman"/>
          <w:iCs/>
          <w:sz w:val="24"/>
          <w:szCs w:val="24"/>
        </w:rPr>
      </w:pPr>
      <w:bookmarkStart w:id="4" w:name="_Hlk33927275"/>
      <w:bookmarkEnd w:id="3"/>
      <w:r w:rsidRPr="00831A7E">
        <w:rPr>
          <w:rFonts w:ascii="Times New Roman" w:hAnsi="Times New Roman" w:cs="Times New Roman"/>
          <w:sz w:val="24"/>
          <w:szCs w:val="24"/>
        </w:rPr>
        <w:t xml:space="preserve">Para comparar o desempenho dos escolares nas variáveis de Fluência de Leitura, foi aplicado o </w:t>
      </w:r>
      <w:r w:rsidRPr="00831A7E">
        <w:rPr>
          <w:rFonts w:ascii="Times New Roman" w:hAnsi="Times New Roman" w:cs="Times New Roman"/>
          <w:i/>
          <w:sz w:val="24"/>
          <w:szCs w:val="24"/>
        </w:rPr>
        <w:t>Test t de Student</w:t>
      </w:r>
      <w:r w:rsidRPr="00831A7E">
        <w:rPr>
          <w:rFonts w:ascii="Times New Roman" w:hAnsi="Times New Roman" w:cs="Times New Roman"/>
          <w:sz w:val="24"/>
          <w:szCs w:val="24"/>
        </w:rPr>
        <w:t xml:space="preserve"> para duas amostras independentes</w:t>
      </w:r>
      <w:r w:rsidRPr="00831A7E">
        <w:rPr>
          <w:rFonts w:ascii="Times New Roman" w:eastAsia="Arial" w:hAnsi="Times New Roman" w:cs="Times New Roman"/>
          <w:iCs/>
          <w:sz w:val="24"/>
          <w:szCs w:val="24"/>
        </w:rPr>
        <w:t xml:space="preserve"> na análise das </w:t>
      </w:r>
      <w:r w:rsidR="00871AF4" w:rsidRPr="00831A7E">
        <w:rPr>
          <w:rFonts w:ascii="Times New Roman" w:eastAsia="Arial" w:hAnsi="Times New Roman" w:cs="Times New Roman"/>
          <w:iCs/>
          <w:sz w:val="24"/>
          <w:szCs w:val="24"/>
        </w:rPr>
        <w:t xml:space="preserve">questões </w:t>
      </w:r>
      <w:r w:rsidRPr="00831A7E">
        <w:rPr>
          <w:rFonts w:ascii="Times New Roman" w:eastAsia="Arial" w:hAnsi="Times New Roman" w:cs="Times New Roman"/>
          <w:iCs/>
          <w:sz w:val="24"/>
          <w:szCs w:val="24"/>
        </w:rPr>
        <w:t>i</w:t>
      </w:r>
      <w:r w:rsidR="00871AF4" w:rsidRPr="00831A7E">
        <w:rPr>
          <w:rFonts w:ascii="Times New Roman" w:eastAsia="Arial" w:hAnsi="Times New Roman" w:cs="Times New Roman"/>
          <w:iCs/>
          <w:sz w:val="24"/>
          <w:szCs w:val="24"/>
        </w:rPr>
        <w:t>nferências e literais</w:t>
      </w:r>
      <w:r w:rsidRPr="00831A7E">
        <w:rPr>
          <w:rFonts w:ascii="Times New Roman" w:eastAsia="Arial" w:hAnsi="Times New Roman" w:cs="Times New Roman"/>
          <w:iCs/>
          <w:sz w:val="24"/>
          <w:szCs w:val="24"/>
        </w:rPr>
        <w:t xml:space="preserve"> de compreensão</w:t>
      </w:r>
      <w:r w:rsidR="00871AF4" w:rsidRPr="00831A7E">
        <w:rPr>
          <w:rFonts w:ascii="Times New Roman" w:eastAsia="Arial" w:hAnsi="Times New Roman" w:cs="Times New Roman"/>
          <w:iCs/>
          <w:sz w:val="24"/>
          <w:szCs w:val="24"/>
        </w:rPr>
        <w:t xml:space="preserve"> e as variáveis adotadas para o estudo de fluência de leitura. </w:t>
      </w:r>
    </w:p>
    <w:p w14:paraId="16BA591A" w14:textId="77777777" w:rsidR="009C43BA" w:rsidRPr="00831A7E" w:rsidRDefault="009C43BA" w:rsidP="009C43BA">
      <w:pPr>
        <w:jc w:val="left"/>
        <w:rPr>
          <w:rFonts w:ascii="Times New Roman" w:eastAsia="Arial" w:hAnsi="Times New Roman" w:cs="Times New Roman"/>
          <w:iCs/>
          <w:sz w:val="24"/>
          <w:szCs w:val="24"/>
        </w:rPr>
      </w:pPr>
    </w:p>
    <w:p w14:paraId="1C33D45C" w14:textId="77777777" w:rsidR="000E3C01" w:rsidRDefault="00871AF4" w:rsidP="003A22A2">
      <w:pPr>
        <w:jc w:val="left"/>
        <w:rPr>
          <w:rFonts w:ascii="Times New Roman" w:eastAsia="Arial" w:hAnsi="Times New Roman" w:cs="Times New Roman"/>
          <w:sz w:val="24"/>
          <w:szCs w:val="24"/>
        </w:rPr>
      </w:pPr>
      <w:r w:rsidRPr="00831A7E">
        <w:rPr>
          <w:rFonts w:ascii="Times New Roman" w:hAnsi="Times New Roman" w:cs="Times New Roman"/>
          <w:sz w:val="24"/>
          <w:szCs w:val="24"/>
        </w:rPr>
        <w:t>Foi realizado o teste de suposição de normalidade Kolmogorov-Smirnov com nível de significância de 5% que demonstrou a normalidade das variáveis estudadas. Os dados foram digitados em Excel e utilizados para a estatística descritiva (média e desvio padrão) das variáveis taxa de leitura e acurácia de texto</w:t>
      </w:r>
      <w:r w:rsidRPr="00831A7E">
        <w:rPr>
          <w:rFonts w:ascii="Times New Roman" w:eastAsia="Arial" w:hAnsi="Times New Roman" w:cs="Times New Roman"/>
          <w:sz w:val="24"/>
          <w:szCs w:val="24"/>
        </w:rPr>
        <w:t xml:space="preserve"> analisado pelo programa SPSS versão 22.0 para Windows.</w:t>
      </w:r>
      <w:bookmarkEnd w:id="4"/>
    </w:p>
    <w:p w14:paraId="7A5F9BB3" w14:textId="77777777" w:rsidR="000E3C01" w:rsidRDefault="000E3C01" w:rsidP="003A22A2">
      <w:pPr>
        <w:jc w:val="left"/>
        <w:rPr>
          <w:rFonts w:ascii="Times New Roman" w:eastAsia="Arial" w:hAnsi="Times New Roman" w:cs="Times New Roman"/>
          <w:sz w:val="24"/>
          <w:szCs w:val="24"/>
        </w:rPr>
      </w:pPr>
    </w:p>
    <w:p w14:paraId="285E2EE3" w14:textId="05EE95AF" w:rsidR="00871AF4" w:rsidRDefault="00112327" w:rsidP="003A22A2">
      <w:pPr>
        <w:pStyle w:val="ListParagraph"/>
        <w:numPr>
          <w:ilvl w:val="0"/>
          <w:numId w:val="4"/>
        </w:numPr>
        <w:ind w:left="0" w:firstLine="0"/>
        <w:jc w:val="left"/>
        <w:rPr>
          <w:rFonts w:ascii="Times New Roman" w:eastAsia="Arial" w:hAnsi="Times New Roman" w:cs="Times New Roman"/>
          <w:b/>
          <w:bCs/>
          <w:sz w:val="24"/>
          <w:szCs w:val="24"/>
        </w:rPr>
      </w:pPr>
      <w:r w:rsidRPr="00112327">
        <w:rPr>
          <w:rFonts w:ascii="Times New Roman" w:eastAsia="Arial" w:hAnsi="Times New Roman" w:cs="Times New Roman"/>
          <w:b/>
          <w:bCs/>
          <w:sz w:val="24"/>
          <w:szCs w:val="24"/>
        </w:rPr>
        <w:t>Resultados</w:t>
      </w:r>
    </w:p>
    <w:p w14:paraId="2CF107C2" w14:textId="77777777" w:rsidR="00112327" w:rsidRPr="00112327" w:rsidRDefault="00112327" w:rsidP="003A22A2">
      <w:pPr>
        <w:pStyle w:val="ListParagraph"/>
        <w:ind w:left="0"/>
        <w:jc w:val="left"/>
        <w:rPr>
          <w:rFonts w:ascii="Times New Roman" w:eastAsia="Arial" w:hAnsi="Times New Roman" w:cs="Times New Roman"/>
          <w:b/>
          <w:bCs/>
          <w:sz w:val="24"/>
          <w:szCs w:val="24"/>
        </w:rPr>
      </w:pPr>
    </w:p>
    <w:p w14:paraId="7ABC345C" w14:textId="1F026955"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lastRenderedPageBreak/>
        <w:t xml:space="preserve">Para avaliar os prováveis déficits nas tarefas de fluência leitora e compreensão, foi utilizado o escore Z com ponto de corte de </w:t>
      </w:r>
      <m:oMath>
        <m:r>
          <w:rPr>
            <w:rFonts w:ascii="Cambria Math" w:hAnsi="Cambria Math" w:cs="Times New Roman"/>
            <w:sz w:val="24"/>
            <w:szCs w:val="24"/>
          </w:rPr>
          <m:t>≤</m:t>
        </m:r>
      </m:oMath>
      <w:r w:rsidRPr="00831A7E">
        <w:rPr>
          <w:rFonts w:ascii="Times New Roman" w:eastAsiaTheme="minorEastAsia" w:hAnsi="Times New Roman" w:cs="Times New Roman"/>
          <w:sz w:val="24"/>
          <w:szCs w:val="24"/>
        </w:rPr>
        <w:t xml:space="preserve"> -1,5 dp. O desempenho dos escolares foi classificado como: não sugestivo de déficit, Z </w:t>
      </w:r>
      <m:oMath>
        <m:r>
          <w:rPr>
            <w:rFonts w:ascii="Cambria Math" w:eastAsiaTheme="minorEastAsia" w:hAnsi="Cambria Math" w:cs="Times New Roman"/>
            <w:sz w:val="24"/>
            <w:szCs w:val="24"/>
          </w:rPr>
          <m:t>≥</m:t>
        </m:r>
      </m:oMath>
      <w:r w:rsidRPr="00831A7E">
        <w:rPr>
          <w:rFonts w:ascii="Times New Roman" w:eastAsiaTheme="minorEastAsia" w:hAnsi="Times New Roman" w:cs="Times New Roman"/>
          <w:sz w:val="24"/>
          <w:szCs w:val="24"/>
        </w:rPr>
        <w:t xml:space="preserve"> -1,0 dp; sugestivo de alerta para déficit, Z entre -1,0 e -1,5 dp; sugestivo de déficit, Z </w:t>
      </w:r>
      <m:oMath>
        <m:r>
          <w:rPr>
            <w:rFonts w:ascii="Cambria Math" w:hAnsi="Cambria Math" w:cs="Times New Roman"/>
            <w:sz w:val="24"/>
            <w:szCs w:val="24"/>
          </w:rPr>
          <m:t>≤</m:t>
        </m:r>
      </m:oMath>
      <w:r w:rsidRPr="00831A7E">
        <w:rPr>
          <w:rFonts w:ascii="Times New Roman" w:hAnsi="Times New Roman" w:cs="Times New Roman"/>
          <w:sz w:val="24"/>
          <w:szCs w:val="24"/>
        </w:rPr>
        <w:t xml:space="preserve">1,5 dp; sugestivo de déficit moderado à severo, Z entre -1,6 e -2,0 dp e sugestivo de déficit importante Z </w:t>
      </w:r>
      <m:oMath>
        <m:r>
          <w:rPr>
            <w:rFonts w:ascii="Cambria Math" w:hAnsi="Cambria Math" w:cs="Times New Roman"/>
            <w:sz w:val="24"/>
            <w:szCs w:val="24"/>
          </w:rPr>
          <m:t>≤</m:t>
        </m:r>
      </m:oMath>
      <w:r w:rsidRPr="00831A7E">
        <w:rPr>
          <w:rFonts w:ascii="Times New Roman" w:hAnsi="Times New Roman" w:cs="Times New Roman"/>
          <w:sz w:val="24"/>
          <w:szCs w:val="24"/>
        </w:rPr>
        <w:t xml:space="preserve"> -2,0 dp.</w:t>
      </w:r>
      <w:r w:rsidR="00681108">
        <w:rPr>
          <w:rFonts w:ascii="Times New Roman" w:hAnsi="Times New Roman" w:cs="Times New Roman"/>
          <w:sz w:val="24"/>
          <w:szCs w:val="24"/>
        </w:rPr>
        <w:t xml:space="preserve"> </w:t>
      </w:r>
      <w:r w:rsidRPr="00831A7E">
        <w:rPr>
          <w:rFonts w:ascii="Times New Roman" w:hAnsi="Times New Roman" w:cs="Times New Roman"/>
          <w:sz w:val="24"/>
          <w:szCs w:val="24"/>
        </w:rPr>
        <w:t>A Figura 1 demonstra o desempenho dos alunos, nas variáveis estudadas para a fluência de leitura de texto, palavras e pseudopalavras.</w:t>
      </w:r>
    </w:p>
    <w:p w14:paraId="4D0177D1" w14:textId="77777777" w:rsidR="00ED5700" w:rsidRPr="00831A7E" w:rsidRDefault="00ED5700" w:rsidP="00681108">
      <w:pPr>
        <w:jc w:val="left"/>
        <w:rPr>
          <w:rFonts w:ascii="Times New Roman" w:hAnsi="Times New Roman" w:cs="Times New Roman"/>
          <w:sz w:val="24"/>
          <w:szCs w:val="24"/>
        </w:rPr>
      </w:pPr>
    </w:p>
    <w:p w14:paraId="2131AA41" w14:textId="4C5E67AA" w:rsidR="00871AF4" w:rsidRDefault="00871AF4" w:rsidP="00681108">
      <w:pPr>
        <w:jc w:val="left"/>
        <w:rPr>
          <w:rFonts w:ascii="Times New Roman" w:hAnsi="Times New Roman" w:cs="Times New Roman"/>
          <w:sz w:val="24"/>
          <w:szCs w:val="24"/>
        </w:rPr>
      </w:pPr>
      <w:r w:rsidRPr="00831A7E">
        <w:rPr>
          <w:rFonts w:ascii="Times New Roman" w:hAnsi="Times New Roman" w:cs="Times New Roman"/>
          <w:sz w:val="24"/>
          <w:szCs w:val="24"/>
        </w:rPr>
        <w:t>Figura 1</w:t>
      </w:r>
      <w:r w:rsidR="00112327">
        <w:rPr>
          <w:rFonts w:ascii="Times New Roman" w:hAnsi="Times New Roman" w:cs="Times New Roman"/>
          <w:sz w:val="24"/>
          <w:szCs w:val="24"/>
        </w:rPr>
        <w:t xml:space="preserve"> </w:t>
      </w:r>
      <w:r w:rsidR="00112327" w:rsidRPr="00112327">
        <w:rPr>
          <w:rFonts w:ascii="Times New Roman" w:hAnsi="Times New Roman" w:cs="Times New Roman"/>
          <w:b/>
          <w:sz w:val="24"/>
          <w:szCs w:val="24"/>
        </w:rPr>
        <w:t>—</w:t>
      </w:r>
      <w:r w:rsidR="00112327">
        <w:rPr>
          <w:rFonts w:ascii="Times New Roman" w:hAnsi="Times New Roman" w:cs="Times New Roman"/>
          <w:b/>
          <w:sz w:val="24"/>
          <w:szCs w:val="24"/>
        </w:rPr>
        <w:t xml:space="preserve"> </w:t>
      </w:r>
      <w:r w:rsidRPr="00831A7E">
        <w:rPr>
          <w:rFonts w:ascii="Times New Roman" w:hAnsi="Times New Roman" w:cs="Times New Roman"/>
          <w:sz w:val="24"/>
          <w:szCs w:val="24"/>
        </w:rPr>
        <w:t>Desempenho dos escolares separados por escores sugestivos de déficit nas tarefas avaliadas e desempenho individual do GI</w:t>
      </w:r>
    </w:p>
    <w:p w14:paraId="5CBBC8C9" w14:textId="77777777" w:rsidR="00ED5700" w:rsidRPr="00831A7E" w:rsidRDefault="00ED5700" w:rsidP="00681108">
      <w:pPr>
        <w:spacing w:after="240"/>
        <w:jc w:val="left"/>
        <w:rPr>
          <w:rFonts w:ascii="Times New Roman" w:hAnsi="Times New Roman" w:cs="Times New Roman"/>
          <w:sz w:val="24"/>
          <w:szCs w:val="24"/>
        </w:rPr>
      </w:pPr>
    </w:p>
    <w:p w14:paraId="5B0A2229" w14:textId="78B5BCB1" w:rsidR="00871AF4" w:rsidRPr="00831A7E" w:rsidRDefault="00871AF4" w:rsidP="00681108">
      <w:pPr>
        <w:spacing w:line="276" w:lineRule="auto"/>
        <w:jc w:val="left"/>
        <w:rPr>
          <w:rFonts w:ascii="Times New Roman" w:hAnsi="Times New Roman" w:cs="Times New Roman"/>
          <w:szCs w:val="24"/>
        </w:rPr>
      </w:pPr>
      <w:r>
        <w:rPr>
          <w:noProof/>
          <w:lang w:eastAsia="pt-BR"/>
        </w:rPr>
        <w:drawing>
          <wp:inline distT="0" distB="0" distL="0" distR="0" wp14:anchorId="2447081E" wp14:editId="0A009900">
            <wp:extent cx="5489575" cy="429133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9575" cy="4291330"/>
                    </a:xfrm>
                    <a:prstGeom prst="rect">
                      <a:avLst/>
                    </a:prstGeom>
                  </pic:spPr>
                </pic:pic>
              </a:graphicData>
            </a:graphic>
          </wp:inline>
        </w:drawing>
      </w:r>
      <w:r w:rsidRPr="00831A7E">
        <w:rPr>
          <w:rFonts w:ascii="Times New Roman" w:hAnsi="Times New Roman" w:cs="Times New Roman"/>
          <w:szCs w:val="24"/>
        </w:rPr>
        <w:t>Legenda: TDAH – Transtorno de Atenção e Hiperatividade; TPA – Transtorno do Processamento Auditivo; TGD – Transtorno Global do Desenvolvimento; AH – Altas Habilidades; BV – Baixa Visão; TOD – Transtorno Opositor Desafiador; DI – Deficiência Intelectual</w:t>
      </w:r>
      <w:r w:rsidR="00520BB8" w:rsidRPr="00831A7E">
        <w:rPr>
          <w:rFonts w:ascii="Times New Roman" w:hAnsi="Times New Roman" w:cs="Times New Roman"/>
          <w:szCs w:val="24"/>
        </w:rPr>
        <w:t>; DF – Deficiência Física</w:t>
      </w:r>
      <w:r w:rsidRPr="00831A7E">
        <w:rPr>
          <w:rFonts w:ascii="Times New Roman" w:hAnsi="Times New Roman" w:cs="Times New Roman"/>
          <w:szCs w:val="24"/>
        </w:rPr>
        <w:t>.</w:t>
      </w:r>
    </w:p>
    <w:p w14:paraId="2ECD5A62" w14:textId="77777777" w:rsidR="00871AF4" w:rsidRPr="00831A7E" w:rsidRDefault="00871AF4" w:rsidP="00681108">
      <w:pPr>
        <w:jc w:val="left"/>
        <w:rPr>
          <w:rFonts w:ascii="Times New Roman" w:hAnsi="Times New Roman" w:cs="Times New Roman"/>
          <w:szCs w:val="24"/>
        </w:rPr>
      </w:pPr>
    </w:p>
    <w:p w14:paraId="17113320" w14:textId="2B12B3AB" w:rsidR="00871AF4" w:rsidRDefault="00871AF4" w:rsidP="00681108">
      <w:pPr>
        <w:jc w:val="left"/>
        <w:rPr>
          <w:rFonts w:ascii="Times New Roman" w:hAnsi="Times New Roman" w:cs="Times New Roman"/>
          <w:sz w:val="24"/>
          <w:szCs w:val="24"/>
        </w:rPr>
      </w:pPr>
      <w:r w:rsidRPr="00831A7E">
        <w:rPr>
          <w:rFonts w:ascii="Times New Roman" w:hAnsi="Times New Roman" w:cs="Times New Roman"/>
          <w:sz w:val="24"/>
          <w:szCs w:val="24"/>
        </w:rPr>
        <w:t>Conforme resultado apresentado na Figura 1, o número absoluto de escolares para cada subgrupo do PAEE foram:  TDAH – 13, TPA – 4, TGD – 2, AH – 1; BV – 1; TOD – 1; DI – 5</w:t>
      </w:r>
      <w:r w:rsidR="00520BB8" w:rsidRPr="00831A7E">
        <w:rPr>
          <w:rFonts w:ascii="Times New Roman" w:hAnsi="Times New Roman" w:cs="Times New Roman"/>
          <w:sz w:val="24"/>
          <w:szCs w:val="24"/>
        </w:rPr>
        <w:t xml:space="preserve">; DF – 2. </w:t>
      </w:r>
    </w:p>
    <w:p w14:paraId="07836923" w14:textId="77777777" w:rsidR="00ED5700" w:rsidRPr="00831A7E" w:rsidRDefault="00ED5700" w:rsidP="00681108">
      <w:pPr>
        <w:jc w:val="left"/>
        <w:rPr>
          <w:rFonts w:ascii="Times New Roman" w:eastAsia="Arial" w:hAnsi="Times New Roman" w:cs="Times New Roman"/>
          <w:iCs/>
          <w:sz w:val="24"/>
          <w:szCs w:val="24"/>
        </w:rPr>
      </w:pPr>
    </w:p>
    <w:p w14:paraId="6905BBBB" w14:textId="0845165A" w:rsidR="00871AF4" w:rsidRDefault="00871AF4" w:rsidP="00681108">
      <w:pPr>
        <w:jc w:val="left"/>
        <w:rPr>
          <w:rFonts w:ascii="Times New Roman" w:hAnsi="Times New Roman" w:cs="Times New Roman"/>
          <w:iCs/>
          <w:sz w:val="24"/>
          <w:szCs w:val="24"/>
        </w:rPr>
      </w:pPr>
      <w:r w:rsidRPr="00831A7E">
        <w:rPr>
          <w:rFonts w:ascii="Times New Roman" w:hAnsi="Times New Roman" w:cs="Times New Roman"/>
          <w:iCs/>
          <w:sz w:val="24"/>
          <w:szCs w:val="24"/>
        </w:rPr>
        <w:lastRenderedPageBreak/>
        <w:t>Com o intuito de avaliar o desempenho individual de cada escolar avaliado, o desempenho individual de cada escolar do PAEE foi representado nos gráficos abaixo. Para tanto, nesta análise foram consideradas apenas a necessidade especial do escolar e variável avaliada. Assim</w:t>
      </w:r>
      <w:r w:rsidRPr="00A21C54">
        <w:rPr>
          <w:rFonts w:ascii="Times New Roman" w:hAnsi="Times New Roman" w:cs="Times New Roman"/>
          <w:iCs/>
          <w:color w:val="000000" w:themeColor="text1"/>
          <w:sz w:val="24"/>
          <w:szCs w:val="24"/>
        </w:rPr>
        <w:t xml:space="preserve"> </w:t>
      </w:r>
      <w:r w:rsidRPr="00831A7E">
        <w:rPr>
          <w:rFonts w:ascii="Times New Roman" w:hAnsi="Times New Roman" w:cs="Times New Roman"/>
          <w:iCs/>
          <w:sz w:val="24"/>
          <w:szCs w:val="24"/>
        </w:rPr>
        <w:t xml:space="preserve">como a análise em grupos, na análise individual </w:t>
      </w:r>
      <w:r w:rsidRPr="00831A7E">
        <w:rPr>
          <w:rFonts w:ascii="Times New Roman" w:hAnsi="Times New Roman" w:cs="Times New Roman"/>
          <w:sz w:val="24"/>
          <w:szCs w:val="24"/>
        </w:rPr>
        <w:t xml:space="preserve">foi utilizado o escore Z com ponto de corte de </w:t>
      </w:r>
      <m:oMath>
        <m:r>
          <w:rPr>
            <w:rFonts w:ascii="Cambria Math" w:hAnsi="Cambria Math" w:cs="Times New Roman"/>
            <w:sz w:val="24"/>
            <w:szCs w:val="24"/>
          </w:rPr>
          <m:t>≤</m:t>
        </m:r>
      </m:oMath>
      <w:r w:rsidRPr="00831A7E">
        <w:rPr>
          <w:rFonts w:ascii="Times New Roman" w:eastAsiaTheme="minorEastAsia" w:hAnsi="Times New Roman" w:cs="Times New Roman"/>
          <w:sz w:val="24"/>
          <w:szCs w:val="24"/>
        </w:rPr>
        <w:t xml:space="preserve"> -1,5 dp. </w:t>
      </w:r>
      <w:r w:rsidRPr="00831A7E">
        <w:rPr>
          <w:rFonts w:ascii="Times New Roman" w:hAnsi="Times New Roman" w:cs="Times New Roman"/>
          <w:iCs/>
          <w:sz w:val="24"/>
          <w:szCs w:val="24"/>
        </w:rPr>
        <w:t>A Figura 2 demonstra os resultados obtidos na leitura do texto completo.</w:t>
      </w:r>
    </w:p>
    <w:p w14:paraId="12FBE494" w14:textId="77777777" w:rsidR="00ED5700" w:rsidRPr="00ED5700" w:rsidRDefault="00ED5700" w:rsidP="00681108">
      <w:pPr>
        <w:jc w:val="left"/>
        <w:rPr>
          <w:rFonts w:ascii="Times New Roman" w:eastAsiaTheme="minorEastAsia" w:hAnsi="Times New Roman" w:cs="Times New Roman"/>
          <w:sz w:val="24"/>
          <w:szCs w:val="24"/>
        </w:rPr>
      </w:pPr>
    </w:p>
    <w:p w14:paraId="1BFFE64D" w14:textId="647CAF05" w:rsidR="00871AF4" w:rsidRDefault="00871AF4" w:rsidP="00681108">
      <w:pPr>
        <w:jc w:val="left"/>
        <w:rPr>
          <w:rFonts w:ascii="Times New Roman" w:hAnsi="Times New Roman" w:cs="Times New Roman"/>
          <w:sz w:val="24"/>
          <w:szCs w:val="24"/>
        </w:rPr>
      </w:pPr>
      <w:r w:rsidRPr="00831A7E">
        <w:rPr>
          <w:rFonts w:ascii="Times New Roman" w:hAnsi="Times New Roman" w:cs="Times New Roman"/>
          <w:sz w:val="24"/>
          <w:szCs w:val="24"/>
        </w:rPr>
        <w:t>F</w:t>
      </w:r>
      <w:r w:rsidR="00880FAE" w:rsidRPr="00831A7E">
        <w:rPr>
          <w:rFonts w:ascii="Times New Roman" w:hAnsi="Times New Roman" w:cs="Times New Roman"/>
          <w:sz w:val="24"/>
          <w:szCs w:val="24"/>
        </w:rPr>
        <w:t>igura</w:t>
      </w:r>
      <w:r w:rsidRPr="00831A7E">
        <w:rPr>
          <w:rFonts w:ascii="Times New Roman" w:hAnsi="Times New Roman" w:cs="Times New Roman"/>
          <w:sz w:val="24"/>
          <w:szCs w:val="24"/>
        </w:rPr>
        <w:t xml:space="preserve"> 2</w:t>
      </w:r>
      <w:r w:rsidR="00112327">
        <w:rPr>
          <w:rFonts w:ascii="Times New Roman" w:hAnsi="Times New Roman" w:cs="Times New Roman"/>
          <w:sz w:val="24"/>
          <w:szCs w:val="24"/>
        </w:rPr>
        <w:t xml:space="preserve"> </w:t>
      </w:r>
      <w:r w:rsidR="00112327" w:rsidRPr="00112327">
        <w:rPr>
          <w:rFonts w:ascii="Times New Roman" w:hAnsi="Times New Roman" w:cs="Times New Roman"/>
          <w:b/>
          <w:sz w:val="24"/>
          <w:szCs w:val="24"/>
        </w:rPr>
        <w:t>—</w:t>
      </w:r>
      <w:r w:rsidRPr="00831A7E">
        <w:rPr>
          <w:rFonts w:ascii="Times New Roman" w:hAnsi="Times New Roman" w:cs="Times New Roman"/>
          <w:sz w:val="24"/>
          <w:szCs w:val="24"/>
        </w:rPr>
        <w:t xml:space="preserve"> Desempenho individual dos escolares do público-alvo da educação especial na análise da leitura do texto.</w:t>
      </w:r>
    </w:p>
    <w:p w14:paraId="1E5347EF" w14:textId="77777777" w:rsidR="00ED5700" w:rsidRPr="00831A7E" w:rsidRDefault="00ED5700" w:rsidP="00681108">
      <w:pPr>
        <w:jc w:val="left"/>
        <w:rPr>
          <w:rFonts w:ascii="Times New Roman" w:hAnsi="Times New Roman" w:cs="Times New Roman"/>
          <w:sz w:val="24"/>
          <w:szCs w:val="24"/>
        </w:rPr>
      </w:pPr>
    </w:p>
    <w:p w14:paraId="4332EAFE" w14:textId="77777777" w:rsidR="00871AF4" w:rsidRPr="00831A7E" w:rsidRDefault="00871AF4" w:rsidP="002E100C">
      <w:pPr>
        <w:spacing w:after="120" w:line="276" w:lineRule="auto"/>
        <w:jc w:val="left"/>
        <w:rPr>
          <w:rFonts w:ascii="Times New Roman" w:hAnsi="Times New Roman" w:cs="Times New Roman"/>
          <w:sz w:val="24"/>
          <w:szCs w:val="24"/>
        </w:rPr>
      </w:pPr>
      <w:r w:rsidRPr="00831A7E">
        <w:rPr>
          <w:rFonts w:ascii="Times New Roman" w:hAnsi="Times New Roman" w:cs="Times New Roman"/>
          <w:noProof/>
          <w:lang w:eastAsia="pt-BR"/>
        </w:rPr>
        <w:drawing>
          <wp:inline distT="0" distB="0" distL="0" distR="0" wp14:anchorId="67646DA4" wp14:editId="12CF2225">
            <wp:extent cx="3621600" cy="3888000"/>
            <wp:effectExtent l="0" t="0" r="0" b="0"/>
            <wp:docPr id="39" name="Image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21600" cy="3888000"/>
                    </a:xfrm>
                    <a:prstGeom prst="rect">
                      <a:avLst/>
                    </a:prstGeom>
                  </pic:spPr>
                </pic:pic>
              </a:graphicData>
            </a:graphic>
          </wp:inline>
        </w:drawing>
      </w:r>
    </w:p>
    <w:p w14:paraId="45F9D273" w14:textId="77777777" w:rsidR="00520BB8" w:rsidRPr="00831A7E" w:rsidRDefault="00520BB8" w:rsidP="00681108">
      <w:pPr>
        <w:spacing w:line="276" w:lineRule="auto"/>
        <w:jc w:val="left"/>
        <w:rPr>
          <w:rFonts w:ascii="Times New Roman" w:hAnsi="Times New Roman" w:cs="Times New Roman"/>
          <w:szCs w:val="24"/>
        </w:rPr>
      </w:pPr>
      <w:r w:rsidRPr="00831A7E">
        <w:rPr>
          <w:rFonts w:ascii="Times New Roman" w:hAnsi="Times New Roman" w:cs="Times New Roman"/>
          <w:szCs w:val="24"/>
        </w:rPr>
        <w:t>Legenda: TDAH – Transtorno de Atenção e Hiperatividade; TPA – Transtorno do Processamento Auditivo; TGD – Transtorno Global do Desenvolvimento; AH – Altas Habilidades; BV – Baixa Visão; TOD – Transtorno Opositor Desafiador; DI – Deficiência Intelectual; DF – Deficiência Física.</w:t>
      </w:r>
    </w:p>
    <w:p w14:paraId="5565F236" w14:textId="77777777" w:rsidR="00871AF4" w:rsidRPr="00831A7E" w:rsidRDefault="00871AF4" w:rsidP="00681108">
      <w:pPr>
        <w:jc w:val="left"/>
        <w:rPr>
          <w:rFonts w:ascii="Times New Roman" w:hAnsi="Times New Roman" w:cs="Times New Roman"/>
          <w:sz w:val="24"/>
          <w:szCs w:val="24"/>
        </w:rPr>
      </w:pPr>
    </w:p>
    <w:p w14:paraId="6C23A9F3" w14:textId="729134FB" w:rsidR="00871AF4" w:rsidRPr="00831A7E" w:rsidRDefault="00871AF4" w:rsidP="00681108">
      <w:pPr>
        <w:jc w:val="left"/>
        <w:rPr>
          <w:rFonts w:ascii="Times New Roman" w:hAnsi="Times New Roman" w:cs="Times New Roman"/>
          <w:sz w:val="24"/>
          <w:szCs w:val="24"/>
        </w:rPr>
      </w:pPr>
      <w:r w:rsidRPr="00831A7E">
        <w:rPr>
          <w:rFonts w:ascii="Times New Roman" w:hAnsi="Times New Roman" w:cs="Times New Roman"/>
          <w:sz w:val="24"/>
          <w:szCs w:val="24"/>
        </w:rPr>
        <w:t>Tanto para a variável “Taxa de leitura” quanto para a “Acurácia” na leitura do texto o desempenho dos escolares foi variado, no qual a maior parte dos avaliados apresentou desempenho não sugestivo de déficit.</w:t>
      </w:r>
      <w:r w:rsidR="00ED5700">
        <w:rPr>
          <w:rFonts w:ascii="Times New Roman" w:hAnsi="Times New Roman" w:cs="Times New Roman"/>
          <w:sz w:val="24"/>
          <w:szCs w:val="24"/>
        </w:rPr>
        <w:t xml:space="preserve"> </w:t>
      </w:r>
      <w:r w:rsidRPr="00831A7E">
        <w:rPr>
          <w:rFonts w:ascii="Times New Roman" w:hAnsi="Times New Roman" w:cs="Times New Roman"/>
          <w:sz w:val="24"/>
          <w:szCs w:val="24"/>
        </w:rPr>
        <w:t>A figura 3 demonstra os escores obtidos na avaliação das variáveis “Taxa de Leitura” e “Acurácia” na leitura das palavras.</w:t>
      </w:r>
    </w:p>
    <w:p w14:paraId="2F3BC165" w14:textId="77777777" w:rsidR="00871AF4" w:rsidRPr="00831A7E" w:rsidRDefault="00871AF4" w:rsidP="00681108">
      <w:pPr>
        <w:jc w:val="left"/>
        <w:rPr>
          <w:rFonts w:ascii="Times New Roman" w:hAnsi="Times New Roman" w:cs="Times New Roman"/>
          <w:sz w:val="24"/>
          <w:szCs w:val="24"/>
        </w:rPr>
      </w:pPr>
    </w:p>
    <w:p w14:paraId="22770BBF" w14:textId="47AA64C3" w:rsidR="00871AF4" w:rsidRDefault="00871AF4" w:rsidP="00681108">
      <w:pPr>
        <w:jc w:val="left"/>
        <w:rPr>
          <w:rFonts w:ascii="Times New Roman" w:hAnsi="Times New Roman" w:cs="Times New Roman"/>
          <w:sz w:val="24"/>
          <w:szCs w:val="24"/>
        </w:rPr>
      </w:pPr>
      <w:r w:rsidRPr="00831A7E">
        <w:rPr>
          <w:rFonts w:ascii="Times New Roman" w:hAnsi="Times New Roman" w:cs="Times New Roman"/>
          <w:sz w:val="24"/>
          <w:szCs w:val="24"/>
        </w:rPr>
        <w:lastRenderedPageBreak/>
        <w:t>F</w:t>
      </w:r>
      <w:r w:rsidR="00880FAE" w:rsidRPr="00831A7E">
        <w:rPr>
          <w:rFonts w:ascii="Times New Roman" w:hAnsi="Times New Roman" w:cs="Times New Roman"/>
          <w:sz w:val="24"/>
          <w:szCs w:val="24"/>
        </w:rPr>
        <w:t>igura</w:t>
      </w:r>
      <w:r w:rsidRPr="00831A7E">
        <w:rPr>
          <w:rFonts w:ascii="Times New Roman" w:hAnsi="Times New Roman" w:cs="Times New Roman"/>
          <w:sz w:val="24"/>
          <w:szCs w:val="24"/>
        </w:rPr>
        <w:t xml:space="preserve"> 3</w:t>
      </w:r>
      <w:r w:rsidR="00112327">
        <w:rPr>
          <w:rFonts w:ascii="Times New Roman" w:hAnsi="Times New Roman" w:cs="Times New Roman"/>
          <w:sz w:val="24"/>
          <w:szCs w:val="24"/>
        </w:rPr>
        <w:t xml:space="preserve"> </w:t>
      </w:r>
      <w:r w:rsidR="00112327" w:rsidRPr="00112327">
        <w:rPr>
          <w:rFonts w:ascii="Times New Roman" w:hAnsi="Times New Roman" w:cs="Times New Roman"/>
          <w:b/>
          <w:sz w:val="24"/>
          <w:szCs w:val="24"/>
        </w:rPr>
        <w:t>—</w:t>
      </w:r>
      <w:r w:rsidRPr="00831A7E">
        <w:rPr>
          <w:rFonts w:ascii="Times New Roman" w:hAnsi="Times New Roman" w:cs="Times New Roman"/>
          <w:sz w:val="24"/>
          <w:szCs w:val="24"/>
        </w:rPr>
        <w:t xml:space="preserve"> Desempenho individual dos escolares do público-alvo da educação especial na análise da leitura de palavras.</w:t>
      </w:r>
    </w:p>
    <w:p w14:paraId="6EE8761D" w14:textId="77777777" w:rsidR="00ED5700" w:rsidRPr="00831A7E" w:rsidRDefault="00ED5700" w:rsidP="002E100C">
      <w:pPr>
        <w:spacing w:after="120" w:line="276" w:lineRule="auto"/>
        <w:jc w:val="left"/>
        <w:rPr>
          <w:rFonts w:ascii="Times New Roman" w:hAnsi="Times New Roman" w:cs="Times New Roman"/>
          <w:sz w:val="24"/>
          <w:szCs w:val="24"/>
        </w:rPr>
      </w:pPr>
    </w:p>
    <w:p w14:paraId="450CE4C6" w14:textId="0EF69676" w:rsidR="00871AF4" w:rsidRPr="00831A7E" w:rsidRDefault="00871AF4" w:rsidP="00681108">
      <w:pPr>
        <w:spacing w:after="120" w:line="276" w:lineRule="auto"/>
        <w:jc w:val="left"/>
        <w:rPr>
          <w:rFonts w:ascii="Times New Roman" w:hAnsi="Times New Roman" w:cs="Times New Roman"/>
          <w:sz w:val="24"/>
          <w:szCs w:val="24"/>
        </w:rPr>
      </w:pPr>
      <w:r w:rsidRPr="00831A7E">
        <w:rPr>
          <w:rFonts w:ascii="Times New Roman" w:hAnsi="Times New Roman" w:cs="Times New Roman"/>
          <w:noProof/>
          <w:lang w:eastAsia="pt-BR"/>
        </w:rPr>
        <w:drawing>
          <wp:inline distT="0" distB="0" distL="0" distR="0" wp14:anchorId="2F5D98B2" wp14:editId="34B7A16F">
            <wp:extent cx="3621600" cy="3888000"/>
            <wp:effectExtent l="0" t="0" r="0" b="0"/>
            <wp:docPr id="41" name="Image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469" t="2352" r="2472" b="2807"/>
                    <a:stretch/>
                  </pic:blipFill>
                  <pic:spPr bwMode="auto">
                    <a:xfrm>
                      <a:off x="0" y="0"/>
                      <a:ext cx="3621600" cy="3888000"/>
                    </a:xfrm>
                    <a:prstGeom prst="rect">
                      <a:avLst/>
                    </a:prstGeom>
                    <a:ln>
                      <a:noFill/>
                    </a:ln>
                    <a:extLst>
                      <a:ext uri="{53640926-AAD7-44D8-BBD7-CCE9431645EC}">
                        <a14:shadowObscured xmlns:a14="http://schemas.microsoft.com/office/drawing/2010/main"/>
                      </a:ext>
                    </a:extLst>
                  </pic:spPr>
                </pic:pic>
              </a:graphicData>
            </a:graphic>
          </wp:inline>
        </w:drawing>
      </w:r>
    </w:p>
    <w:p w14:paraId="1C0B58BA" w14:textId="77777777" w:rsidR="00520BB8" w:rsidRPr="00831A7E" w:rsidRDefault="00520BB8" w:rsidP="00681108">
      <w:pPr>
        <w:spacing w:line="276" w:lineRule="auto"/>
        <w:jc w:val="left"/>
        <w:rPr>
          <w:rFonts w:ascii="Times New Roman" w:hAnsi="Times New Roman" w:cs="Times New Roman"/>
          <w:szCs w:val="24"/>
        </w:rPr>
      </w:pPr>
      <w:r w:rsidRPr="00831A7E">
        <w:rPr>
          <w:rFonts w:ascii="Times New Roman" w:hAnsi="Times New Roman" w:cs="Times New Roman"/>
          <w:szCs w:val="24"/>
        </w:rPr>
        <w:t>Legenda: TDAH – Transtorno de Atenção e Hiperatividade; TPA – Transtorno do Processamento Auditivo; TGD – Transtorno Global do Desenvolvimento; AH – Altas Habilidades; BV – Baixa Visão; TOD – Transtorno Opositor Desafiador; DI – Deficiência Intelectual; DF – Deficiência Física.</w:t>
      </w:r>
    </w:p>
    <w:p w14:paraId="203B12D6" w14:textId="77777777" w:rsidR="00871AF4" w:rsidRPr="00831A7E" w:rsidRDefault="00871AF4" w:rsidP="00681108">
      <w:pPr>
        <w:jc w:val="left"/>
        <w:rPr>
          <w:rFonts w:ascii="Times New Roman" w:hAnsi="Times New Roman" w:cs="Times New Roman"/>
          <w:sz w:val="24"/>
          <w:szCs w:val="24"/>
        </w:rPr>
      </w:pPr>
    </w:p>
    <w:p w14:paraId="7AF0EA1A" w14:textId="01C1B6C6"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Os resultados acima demonstraram diferença entre o desempenho obtido nas duas variáveis entre escolares do mesmo subgrupo de necessidade especial, por conta da diversidade encontrada em cada subgrupo.</w:t>
      </w:r>
      <w:r w:rsidR="00ED5700">
        <w:rPr>
          <w:rFonts w:ascii="Times New Roman" w:hAnsi="Times New Roman" w:cs="Times New Roman"/>
          <w:sz w:val="24"/>
          <w:szCs w:val="24"/>
        </w:rPr>
        <w:t xml:space="preserve"> </w:t>
      </w:r>
      <w:r w:rsidRPr="00831A7E">
        <w:rPr>
          <w:rFonts w:ascii="Times New Roman" w:hAnsi="Times New Roman" w:cs="Times New Roman"/>
          <w:sz w:val="24"/>
          <w:szCs w:val="24"/>
        </w:rPr>
        <w:t>A Figura 4 demonstra o desempenho dos escolares na leitura de pseudopalavras, na avaliação das variáveis “Taxa de Leitura” e “Acurácia”.</w:t>
      </w:r>
    </w:p>
    <w:p w14:paraId="7F8D72C3" w14:textId="77777777" w:rsidR="00ED5700" w:rsidRPr="00ED5700" w:rsidRDefault="00ED5700" w:rsidP="003A22A2">
      <w:pPr>
        <w:ind w:firstLine="851"/>
        <w:jc w:val="left"/>
        <w:rPr>
          <w:rFonts w:ascii="Times New Roman" w:hAnsi="Times New Roman" w:cs="Times New Roman"/>
          <w:sz w:val="24"/>
          <w:szCs w:val="24"/>
        </w:rPr>
      </w:pPr>
    </w:p>
    <w:p w14:paraId="0751F3B7" w14:textId="7078A2D1"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F</w:t>
      </w:r>
      <w:r w:rsidR="00880FAE" w:rsidRPr="00831A7E">
        <w:rPr>
          <w:rFonts w:ascii="Times New Roman" w:hAnsi="Times New Roman" w:cs="Times New Roman"/>
          <w:sz w:val="24"/>
          <w:szCs w:val="24"/>
        </w:rPr>
        <w:t>igura</w:t>
      </w:r>
      <w:r w:rsidRPr="00831A7E">
        <w:rPr>
          <w:rFonts w:ascii="Times New Roman" w:hAnsi="Times New Roman" w:cs="Times New Roman"/>
          <w:sz w:val="24"/>
          <w:szCs w:val="24"/>
        </w:rPr>
        <w:t xml:space="preserve"> 4</w:t>
      </w:r>
      <w:r w:rsidR="00112327">
        <w:rPr>
          <w:rFonts w:ascii="Times New Roman" w:hAnsi="Times New Roman" w:cs="Times New Roman"/>
          <w:sz w:val="24"/>
          <w:szCs w:val="24"/>
        </w:rPr>
        <w:t xml:space="preserve"> </w:t>
      </w:r>
      <w:r w:rsidR="00112327" w:rsidRPr="00112327">
        <w:rPr>
          <w:rFonts w:ascii="Times New Roman" w:hAnsi="Times New Roman" w:cs="Times New Roman"/>
          <w:b/>
          <w:sz w:val="24"/>
          <w:szCs w:val="24"/>
        </w:rPr>
        <w:t>—</w:t>
      </w:r>
      <w:r w:rsidRPr="00831A7E">
        <w:rPr>
          <w:rFonts w:ascii="Times New Roman" w:hAnsi="Times New Roman" w:cs="Times New Roman"/>
          <w:sz w:val="24"/>
          <w:szCs w:val="24"/>
        </w:rPr>
        <w:t xml:space="preserve"> Desempenho individual dos escolares do público-alvo da educação especial na análise da leitura de pseudopalavras.</w:t>
      </w:r>
    </w:p>
    <w:p w14:paraId="5F0B2622" w14:textId="77777777" w:rsidR="00ED5700" w:rsidRPr="00831A7E" w:rsidRDefault="00ED5700" w:rsidP="00681108">
      <w:pPr>
        <w:jc w:val="left"/>
        <w:rPr>
          <w:rFonts w:ascii="Times New Roman" w:hAnsi="Times New Roman" w:cs="Times New Roman"/>
          <w:sz w:val="24"/>
          <w:szCs w:val="24"/>
        </w:rPr>
      </w:pPr>
    </w:p>
    <w:p w14:paraId="6DFF6827" w14:textId="77777777" w:rsidR="00871AF4" w:rsidRPr="00831A7E" w:rsidRDefault="00871AF4" w:rsidP="002E100C">
      <w:pPr>
        <w:spacing w:after="120" w:line="276" w:lineRule="auto"/>
        <w:jc w:val="left"/>
        <w:rPr>
          <w:rFonts w:ascii="Times New Roman" w:hAnsi="Times New Roman" w:cs="Times New Roman"/>
          <w:sz w:val="24"/>
          <w:szCs w:val="24"/>
        </w:rPr>
      </w:pPr>
      <w:r w:rsidRPr="00831A7E">
        <w:rPr>
          <w:rFonts w:ascii="Times New Roman" w:hAnsi="Times New Roman" w:cs="Times New Roman"/>
          <w:noProof/>
          <w:lang w:eastAsia="pt-BR"/>
        </w:rPr>
        <w:lastRenderedPageBreak/>
        <w:drawing>
          <wp:inline distT="0" distB="0" distL="0" distR="0" wp14:anchorId="03B8DEB8" wp14:editId="6644DF94">
            <wp:extent cx="3621600" cy="3888000"/>
            <wp:effectExtent l="0" t="0" r="0" b="0"/>
            <wp:docPr id="42" name="Imagem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1600" cy="3888000"/>
                    </a:xfrm>
                    <a:prstGeom prst="rect">
                      <a:avLst/>
                    </a:prstGeom>
                  </pic:spPr>
                </pic:pic>
              </a:graphicData>
            </a:graphic>
          </wp:inline>
        </w:drawing>
      </w:r>
    </w:p>
    <w:p w14:paraId="4171E070" w14:textId="48BC1050" w:rsidR="009B0675" w:rsidRPr="00831A7E" w:rsidRDefault="00520BB8" w:rsidP="00681108">
      <w:pPr>
        <w:spacing w:line="276" w:lineRule="auto"/>
        <w:jc w:val="left"/>
        <w:rPr>
          <w:rFonts w:ascii="Times New Roman" w:hAnsi="Times New Roman" w:cs="Times New Roman"/>
          <w:szCs w:val="24"/>
        </w:rPr>
      </w:pPr>
      <w:r w:rsidRPr="00831A7E">
        <w:rPr>
          <w:rFonts w:ascii="Times New Roman" w:hAnsi="Times New Roman" w:cs="Times New Roman"/>
          <w:szCs w:val="24"/>
        </w:rPr>
        <w:t>Legenda: TDAH – Transtorno de Atenção e Hiperatividade; TPA – Transtorno do Processamento Auditivo; TGD – Transtorno Global do Desenvolvimento; AH – Altas Habilidades; BV – Baixa Visão; TOD – Transtorno Opositor Desafiador; DI – Deficiência Intelectual; DF – Deficiência Física.</w:t>
      </w:r>
    </w:p>
    <w:p w14:paraId="4090E2A3" w14:textId="77777777" w:rsidR="00871AF4" w:rsidRPr="00831A7E" w:rsidRDefault="00871AF4" w:rsidP="00681108">
      <w:pPr>
        <w:jc w:val="left"/>
        <w:rPr>
          <w:rFonts w:ascii="Times New Roman" w:hAnsi="Times New Roman" w:cs="Times New Roman"/>
          <w:sz w:val="24"/>
          <w:szCs w:val="24"/>
        </w:rPr>
      </w:pPr>
    </w:p>
    <w:p w14:paraId="1E88D67F" w14:textId="49C2CA15" w:rsidR="009B0675" w:rsidRDefault="00871AF4" w:rsidP="00681108">
      <w:pPr>
        <w:jc w:val="left"/>
        <w:rPr>
          <w:rFonts w:ascii="Times New Roman" w:hAnsi="Times New Roman" w:cs="Times New Roman"/>
          <w:sz w:val="24"/>
          <w:szCs w:val="24"/>
        </w:rPr>
      </w:pPr>
      <w:r w:rsidRPr="00831A7E">
        <w:rPr>
          <w:rFonts w:ascii="Times New Roman" w:hAnsi="Times New Roman" w:cs="Times New Roman"/>
          <w:sz w:val="24"/>
          <w:szCs w:val="24"/>
        </w:rPr>
        <w:t>Assim como demonstrado nas figuras anteriores, os grupos demonstraram ser heterogêneos, o</w:t>
      </w:r>
      <w:r w:rsidR="00043566" w:rsidRPr="00831A7E">
        <w:rPr>
          <w:rFonts w:ascii="Times New Roman" w:hAnsi="Times New Roman" w:cs="Times New Roman"/>
          <w:sz w:val="24"/>
          <w:szCs w:val="24"/>
        </w:rPr>
        <w:t>s</w:t>
      </w:r>
      <w:r w:rsidRPr="00831A7E">
        <w:rPr>
          <w:rFonts w:ascii="Times New Roman" w:hAnsi="Times New Roman" w:cs="Times New Roman"/>
          <w:sz w:val="24"/>
          <w:szCs w:val="24"/>
        </w:rPr>
        <w:t xml:space="preserve"> resultados </w:t>
      </w:r>
      <w:r w:rsidR="00043566" w:rsidRPr="00831A7E">
        <w:rPr>
          <w:rFonts w:ascii="Times New Roman" w:hAnsi="Times New Roman" w:cs="Times New Roman"/>
          <w:sz w:val="24"/>
          <w:szCs w:val="24"/>
        </w:rPr>
        <w:t xml:space="preserve">foram </w:t>
      </w:r>
      <w:r w:rsidRPr="00831A7E">
        <w:rPr>
          <w:rFonts w:ascii="Times New Roman" w:hAnsi="Times New Roman" w:cs="Times New Roman"/>
          <w:sz w:val="24"/>
          <w:szCs w:val="24"/>
        </w:rPr>
        <w:t xml:space="preserve">variados mesmo na comparação intragrupos, dos públicos-alvo da educação especial. </w:t>
      </w:r>
      <w:r w:rsidR="009B0675" w:rsidRPr="00831A7E">
        <w:rPr>
          <w:rFonts w:ascii="Times New Roman" w:hAnsi="Times New Roman" w:cs="Times New Roman"/>
          <w:sz w:val="24"/>
          <w:szCs w:val="24"/>
        </w:rPr>
        <w:t>A Tabela 1 demonstra a média dos valores obtidos nas variáveis de fluência de leitura de cada subgrupo do PAEE avaliado.</w:t>
      </w:r>
    </w:p>
    <w:p w14:paraId="50CF5867" w14:textId="77777777" w:rsidR="00ED5700" w:rsidRPr="00831A7E" w:rsidRDefault="00ED5700" w:rsidP="00681108">
      <w:pPr>
        <w:jc w:val="left"/>
        <w:rPr>
          <w:rFonts w:ascii="Times New Roman" w:hAnsi="Times New Roman" w:cs="Times New Roman"/>
          <w:sz w:val="24"/>
          <w:szCs w:val="24"/>
        </w:rPr>
      </w:pPr>
    </w:p>
    <w:p w14:paraId="279114D9" w14:textId="2D5D670E" w:rsidR="009B0675" w:rsidRDefault="009B0675" w:rsidP="00681108">
      <w:pPr>
        <w:jc w:val="left"/>
        <w:rPr>
          <w:rFonts w:ascii="Times New Roman" w:hAnsi="Times New Roman" w:cs="Times New Roman"/>
          <w:sz w:val="24"/>
          <w:szCs w:val="24"/>
        </w:rPr>
      </w:pPr>
      <w:r w:rsidRPr="00880FAE">
        <w:rPr>
          <w:rFonts w:ascii="Times New Roman" w:hAnsi="Times New Roman" w:cs="Times New Roman"/>
          <w:sz w:val="24"/>
          <w:szCs w:val="24"/>
        </w:rPr>
        <w:t>Tabela 1</w:t>
      </w:r>
      <w:r w:rsidR="00420210">
        <w:rPr>
          <w:rFonts w:ascii="Times New Roman" w:hAnsi="Times New Roman" w:cs="Times New Roman"/>
          <w:sz w:val="24"/>
          <w:szCs w:val="24"/>
        </w:rPr>
        <w:t xml:space="preserve"> </w:t>
      </w:r>
      <w:r w:rsidR="00420210" w:rsidRPr="00420210">
        <w:rPr>
          <w:rFonts w:ascii="Times New Roman" w:hAnsi="Times New Roman" w:cs="Times New Roman"/>
          <w:b/>
          <w:sz w:val="24"/>
          <w:szCs w:val="24"/>
        </w:rPr>
        <w:t>—</w:t>
      </w:r>
      <w:r w:rsidR="00420210">
        <w:rPr>
          <w:rFonts w:ascii="Times New Roman" w:hAnsi="Times New Roman" w:cs="Times New Roman"/>
          <w:b/>
          <w:sz w:val="24"/>
          <w:szCs w:val="24"/>
        </w:rPr>
        <w:t xml:space="preserve"> </w:t>
      </w:r>
      <w:r w:rsidRPr="00880FAE">
        <w:rPr>
          <w:rFonts w:ascii="Times New Roman" w:hAnsi="Times New Roman" w:cs="Times New Roman"/>
          <w:sz w:val="24"/>
          <w:szCs w:val="24"/>
        </w:rPr>
        <w:t>Média dos valores obtidos na avaliação das variáveis de fluência de leitura dos escolares do PAEE.</w:t>
      </w:r>
    </w:p>
    <w:p w14:paraId="73475B4D" w14:textId="77777777" w:rsidR="00681108" w:rsidRPr="00880FAE" w:rsidRDefault="00681108" w:rsidP="00681108">
      <w:pPr>
        <w:jc w:val="left"/>
        <w:rPr>
          <w:rFonts w:ascii="Times New Roman" w:hAnsi="Times New Roman" w:cs="Times New Roman"/>
          <w:sz w:val="24"/>
          <w:szCs w:val="24"/>
        </w:rPr>
      </w:pPr>
    </w:p>
    <w:tbl>
      <w:tblPr>
        <w:tblW w:w="9646" w:type="dxa"/>
        <w:tblCellMar>
          <w:left w:w="70" w:type="dxa"/>
          <w:right w:w="70" w:type="dxa"/>
        </w:tblCellMar>
        <w:tblLook w:val="04A0" w:firstRow="1" w:lastRow="0" w:firstColumn="1" w:lastColumn="0" w:noHBand="0" w:noVBand="1"/>
      </w:tblPr>
      <w:tblGrid>
        <w:gridCol w:w="904"/>
        <w:gridCol w:w="1225"/>
        <w:gridCol w:w="1432"/>
        <w:gridCol w:w="1451"/>
        <w:gridCol w:w="1752"/>
        <w:gridCol w:w="1281"/>
        <w:gridCol w:w="1601"/>
      </w:tblGrid>
      <w:tr w:rsidR="0000441D" w:rsidRPr="00831A7E" w14:paraId="57E90BB1" w14:textId="77777777" w:rsidTr="009B0675">
        <w:trPr>
          <w:trHeight w:val="267"/>
        </w:trPr>
        <w:tc>
          <w:tcPr>
            <w:tcW w:w="904" w:type="dxa"/>
            <w:tcBorders>
              <w:top w:val="single" w:sz="4" w:space="0" w:color="auto"/>
              <w:left w:val="nil"/>
              <w:bottom w:val="single" w:sz="4" w:space="0" w:color="auto"/>
              <w:right w:val="nil"/>
            </w:tcBorders>
            <w:shd w:val="clear" w:color="auto" w:fill="auto"/>
            <w:noWrap/>
            <w:vAlign w:val="bottom"/>
            <w:hideMark/>
          </w:tcPr>
          <w:p w14:paraId="5A67DD8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c>
          <w:tcPr>
            <w:tcW w:w="1225" w:type="dxa"/>
            <w:tcBorders>
              <w:top w:val="single" w:sz="4" w:space="0" w:color="auto"/>
              <w:left w:val="nil"/>
              <w:bottom w:val="single" w:sz="4" w:space="0" w:color="auto"/>
              <w:right w:val="nil"/>
            </w:tcBorders>
            <w:shd w:val="clear" w:color="000000" w:fill="FFFFFF"/>
            <w:noWrap/>
            <w:vAlign w:val="center"/>
            <w:hideMark/>
          </w:tcPr>
          <w:p w14:paraId="64891E3E" w14:textId="77777777"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Taxa</w:t>
            </w:r>
          </w:p>
          <w:p w14:paraId="5DAA10EE" w14:textId="4449F6AD"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texto</w:t>
            </w:r>
          </w:p>
        </w:tc>
        <w:tc>
          <w:tcPr>
            <w:tcW w:w="1432" w:type="dxa"/>
            <w:tcBorders>
              <w:top w:val="single" w:sz="4" w:space="0" w:color="auto"/>
              <w:left w:val="nil"/>
              <w:bottom w:val="single" w:sz="4" w:space="0" w:color="auto"/>
              <w:right w:val="nil"/>
            </w:tcBorders>
            <w:shd w:val="clear" w:color="000000" w:fill="FFFFFF"/>
            <w:noWrap/>
            <w:vAlign w:val="center"/>
            <w:hideMark/>
          </w:tcPr>
          <w:p w14:paraId="52F181AC" w14:textId="77777777"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Acurácia</w:t>
            </w:r>
          </w:p>
          <w:p w14:paraId="60585D97" w14:textId="2CD5E715" w:rsidR="009B0675" w:rsidRPr="00880FAE" w:rsidRDefault="00420210" w:rsidP="002E100C">
            <w:pPr>
              <w:spacing w:line="240" w:lineRule="auto"/>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T</w:t>
            </w:r>
            <w:r w:rsidR="009B0675" w:rsidRPr="00880FAE">
              <w:rPr>
                <w:rFonts w:ascii="Times New Roman" w:eastAsia="Times New Roman" w:hAnsi="Times New Roman" w:cs="Times New Roman"/>
                <w:sz w:val="20"/>
                <w:szCs w:val="20"/>
                <w:lang w:eastAsia="pt-BR"/>
              </w:rPr>
              <w:t>exto</w:t>
            </w:r>
          </w:p>
        </w:tc>
        <w:tc>
          <w:tcPr>
            <w:tcW w:w="1451" w:type="dxa"/>
            <w:tcBorders>
              <w:top w:val="single" w:sz="4" w:space="0" w:color="auto"/>
              <w:left w:val="nil"/>
              <w:bottom w:val="single" w:sz="4" w:space="0" w:color="auto"/>
              <w:right w:val="nil"/>
            </w:tcBorders>
            <w:shd w:val="clear" w:color="000000" w:fill="FFFFFF"/>
            <w:noWrap/>
            <w:vAlign w:val="center"/>
            <w:hideMark/>
          </w:tcPr>
          <w:p w14:paraId="1BEF5D4A" w14:textId="77777777"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Taxa</w:t>
            </w:r>
          </w:p>
          <w:p w14:paraId="390B4F9C" w14:textId="790A51C1"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palavras</w:t>
            </w:r>
          </w:p>
        </w:tc>
        <w:tc>
          <w:tcPr>
            <w:tcW w:w="1752" w:type="dxa"/>
            <w:tcBorders>
              <w:top w:val="single" w:sz="4" w:space="0" w:color="auto"/>
              <w:left w:val="nil"/>
              <w:bottom w:val="single" w:sz="4" w:space="0" w:color="auto"/>
              <w:right w:val="nil"/>
            </w:tcBorders>
            <w:shd w:val="clear" w:color="auto" w:fill="auto"/>
            <w:noWrap/>
            <w:vAlign w:val="center"/>
            <w:hideMark/>
          </w:tcPr>
          <w:p w14:paraId="7830DCED" w14:textId="77777777"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Acurácia</w:t>
            </w:r>
          </w:p>
          <w:p w14:paraId="01F9E0C7" w14:textId="06B566AE"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palavras</w:t>
            </w:r>
          </w:p>
        </w:tc>
        <w:tc>
          <w:tcPr>
            <w:tcW w:w="1281" w:type="dxa"/>
            <w:tcBorders>
              <w:top w:val="single" w:sz="4" w:space="0" w:color="auto"/>
              <w:left w:val="nil"/>
              <w:bottom w:val="single" w:sz="4" w:space="0" w:color="auto"/>
              <w:right w:val="nil"/>
            </w:tcBorders>
            <w:shd w:val="clear" w:color="auto" w:fill="auto"/>
            <w:noWrap/>
            <w:vAlign w:val="center"/>
            <w:hideMark/>
          </w:tcPr>
          <w:p w14:paraId="4D255957" w14:textId="77777777"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Taxa</w:t>
            </w:r>
          </w:p>
          <w:p w14:paraId="6A30E23F" w14:textId="42C2FB09"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pseudo</w:t>
            </w:r>
          </w:p>
        </w:tc>
        <w:tc>
          <w:tcPr>
            <w:tcW w:w="1601" w:type="dxa"/>
            <w:tcBorders>
              <w:top w:val="single" w:sz="4" w:space="0" w:color="auto"/>
              <w:left w:val="nil"/>
              <w:bottom w:val="single" w:sz="4" w:space="0" w:color="auto"/>
              <w:right w:val="nil"/>
            </w:tcBorders>
            <w:shd w:val="clear" w:color="auto" w:fill="auto"/>
            <w:noWrap/>
            <w:vAlign w:val="center"/>
            <w:hideMark/>
          </w:tcPr>
          <w:p w14:paraId="37C15E6D" w14:textId="77777777"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Acurácia</w:t>
            </w:r>
          </w:p>
          <w:p w14:paraId="70646E51" w14:textId="5A52DBA6" w:rsidR="009B0675" w:rsidRPr="00880FAE" w:rsidRDefault="009B0675" w:rsidP="002E100C">
            <w:pPr>
              <w:spacing w:line="240" w:lineRule="auto"/>
              <w:jc w:val="left"/>
              <w:rPr>
                <w:rFonts w:ascii="Times New Roman" w:eastAsia="Times New Roman" w:hAnsi="Times New Roman" w:cs="Times New Roman"/>
                <w:sz w:val="20"/>
                <w:szCs w:val="20"/>
                <w:lang w:eastAsia="pt-BR"/>
              </w:rPr>
            </w:pPr>
            <w:r w:rsidRPr="00880FAE">
              <w:rPr>
                <w:rFonts w:ascii="Times New Roman" w:eastAsia="Times New Roman" w:hAnsi="Times New Roman" w:cs="Times New Roman"/>
                <w:sz w:val="20"/>
                <w:szCs w:val="20"/>
                <w:lang w:eastAsia="pt-BR"/>
              </w:rPr>
              <w:t>pseudo</w:t>
            </w:r>
          </w:p>
        </w:tc>
      </w:tr>
      <w:tr w:rsidR="0000441D" w:rsidRPr="00831A7E" w14:paraId="5313DB18" w14:textId="77777777" w:rsidTr="009B0675">
        <w:trPr>
          <w:trHeight w:val="267"/>
        </w:trPr>
        <w:tc>
          <w:tcPr>
            <w:tcW w:w="904" w:type="dxa"/>
            <w:tcBorders>
              <w:top w:val="nil"/>
              <w:left w:val="nil"/>
              <w:bottom w:val="nil"/>
              <w:right w:val="nil"/>
            </w:tcBorders>
            <w:shd w:val="clear" w:color="auto" w:fill="auto"/>
            <w:noWrap/>
            <w:vAlign w:val="bottom"/>
            <w:hideMark/>
          </w:tcPr>
          <w:p w14:paraId="22725F4B"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TDAH</w:t>
            </w:r>
          </w:p>
        </w:tc>
        <w:tc>
          <w:tcPr>
            <w:tcW w:w="1225" w:type="dxa"/>
            <w:tcBorders>
              <w:top w:val="nil"/>
              <w:left w:val="nil"/>
              <w:bottom w:val="nil"/>
              <w:right w:val="nil"/>
            </w:tcBorders>
            <w:shd w:val="clear" w:color="auto" w:fill="auto"/>
            <w:noWrap/>
            <w:vAlign w:val="bottom"/>
            <w:hideMark/>
          </w:tcPr>
          <w:p w14:paraId="18BE797E"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91</w:t>
            </w:r>
          </w:p>
        </w:tc>
        <w:tc>
          <w:tcPr>
            <w:tcW w:w="1432" w:type="dxa"/>
            <w:tcBorders>
              <w:top w:val="nil"/>
              <w:left w:val="nil"/>
              <w:bottom w:val="nil"/>
              <w:right w:val="nil"/>
            </w:tcBorders>
            <w:shd w:val="clear" w:color="auto" w:fill="auto"/>
            <w:noWrap/>
            <w:vAlign w:val="bottom"/>
            <w:hideMark/>
          </w:tcPr>
          <w:p w14:paraId="5E47A7EB"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89</w:t>
            </w:r>
          </w:p>
        </w:tc>
        <w:tc>
          <w:tcPr>
            <w:tcW w:w="1451" w:type="dxa"/>
            <w:tcBorders>
              <w:top w:val="nil"/>
              <w:left w:val="nil"/>
              <w:bottom w:val="nil"/>
              <w:right w:val="nil"/>
            </w:tcBorders>
            <w:shd w:val="clear" w:color="auto" w:fill="auto"/>
            <w:noWrap/>
            <w:vAlign w:val="bottom"/>
            <w:hideMark/>
          </w:tcPr>
          <w:p w14:paraId="7E01D7B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52</w:t>
            </w:r>
          </w:p>
        </w:tc>
        <w:tc>
          <w:tcPr>
            <w:tcW w:w="1752" w:type="dxa"/>
            <w:tcBorders>
              <w:top w:val="nil"/>
              <w:left w:val="nil"/>
              <w:bottom w:val="nil"/>
              <w:right w:val="nil"/>
            </w:tcBorders>
            <w:shd w:val="clear" w:color="auto" w:fill="auto"/>
            <w:noWrap/>
            <w:vAlign w:val="bottom"/>
            <w:hideMark/>
          </w:tcPr>
          <w:p w14:paraId="27BD25D4"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49</w:t>
            </w:r>
          </w:p>
        </w:tc>
        <w:tc>
          <w:tcPr>
            <w:tcW w:w="1281" w:type="dxa"/>
            <w:tcBorders>
              <w:top w:val="nil"/>
              <w:left w:val="nil"/>
              <w:bottom w:val="nil"/>
              <w:right w:val="nil"/>
            </w:tcBorders>
            <w:shd w:val="clear" w:color="auto" w:fill="auto"/>
            <w:noWrap/>
            <w:vAlign w:val="bottom"/>
            <w:hideMark/>
          </w:tcPr>
          <w:p w14:paraId="1E60FF3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38</w:t>
            </w:r>
          </w:p>
        </w:tc>
        <w:tc>
          <w:tcPr>
            <w:tcW w:w="1601" w:type="dxa"/>
            <w:tcBorders>
              <w:top w:val="nil"/>
              <w:left w:val="nil"/>
              <w:bottom w:val="nil"/>
              <w:right w:val="nil"/>
            </w:tcBorders>
            <w:shd w:val="clear" w:color="auto" w:fill="auto"/>
            <w:noWrap/>
            <w:vAlign w:val="bottom"/>
            <w:hideMark/>
          </w:tcPr>
          <w:p w14:paraId="0A2BF2F2"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36</w:t>
            </w:r>
          </w:p>
        </w:tc>
      </w:tr>
      <w:tr w:rsidR="0000441D" w:rsidRPr="00831A7E" w14:paraId="6D007D4B" w14:textId="77777777" w:rsidTr="009B0675">
        <w:trPr>
          <w:trHeight w:val="267"/>
        </w:trPr>
        <w:tc>
          <w:tcPr>
            <w:tcW w:w="904" w:type="dxa"/>
            <w:tcBorders>
              <w:top w:val="nil"/>
              <w:left w:val="nil"/>
              <w:bottom w:val="nil"/>
              <w:right w:val="nil"/>
            </w:tcBorders>
            <w:shd w:val="clear" w:color="auto" w:fill="auto"/>
            <w:noWrap/>
            <w:vAlign w:val="bottom"/>
            <w:hideMark/>
          </w:tcPr>
          <w:p w14:paraId="3BC915DD"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TPA</w:t>
            </w:r>
          </w:p>
        </w:tc>
        <w:tc>
          <w:tcPr>
            <w:tcW w:w="1225" w:type="dxa"/>
            <w:tcBorders>
              <w:top w:val="nil"/>
              <w:left w:val="nil"/>
              <w:bottom w:val="nil"/>
              <w:right w:val="nil"/>
            </w:tcBorders>
            <w:shd w:val="clear" w:color="auto" w:fill="auto"/>
            <w:noWrap/>
            <w:vAlign w:val="bottom"/>
            <w:hideMark/>
          </w:tcPr>
          <w:p w14:paraId="2C589993"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61</w:t>
            </w:r>
          </w:p>
        </w:tc>
        <w:tc>
          <w:tcPr>
            <w:tcW w:w="1432" w:type="dxa"/>
            <w:tcBorders>
              <w:top w:val="nil"/>
              <w:left w:val="nil"/>
              <w:bottom w:val="nil"/>
              <w:right w:val="nil"/>
            </w:tcBorders>
            <w:shd w:val="clear" w:color="auto" w:fill="auto"/>
            <w:noWrap/>
            <w:vAlign w:val="bottom"/>
            <w:hideMark/>
          </w:tcPr>
          <w:p w14:paraId="5E08718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57</w:t>
            </w:r>
          </w:p>
        </w:tc>
        <w:tc>
          <w:tcPr>
            <w:tcW w:w="1451" w:type="dxa"/>
            <w:tcBorders>
              <w:top w:val="nil"/>
              <w:left w:val="nil"/>
              <w:bottom w:val="nil"/>
              <w:right w:val="nil"/>
            </w:tcBorders>
            <w:shd w:val="clear" w:color="auto" w:fill="auto"/>
            <w:noWrap/>
            <w:vAlign w:val="bottom"/>
            <w:hideMark/>
          </w:tcPr>
          <w:p w14:paraId="04F7E25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30</w:t>
            </w:r>
          </w:p>
        </w:tc>
        <w:tc>
          <w:tcPr>
            <w:tcW w:w="1752" w:type="dxa"/>
            <w:tcBorders>
              <w:top w:val="nil"/>
              <w:left w:val="nil"/>
              <w:bottom w:val="nil"/>
              <w:right w:val="nil"/>
            </w:tcBorders>
            <w:shd w:val="clear" w:color="auto" w:fill="auto"/>
            <w:noWrap/>
            <w:vAlign w:val="bottom"/>
            <w:hideMark/>
          </w:tcPr>
          <w:p w14:paraId="34B31A71"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26</w:t>
            </w:r>
          </w:p>
        </w:tc>
        <w:tc>
          <w:tcPr>
            <w:tcW w:w="1281" w:type="dxa"/>
            <w:tcBorders>
              <w:top w:val="nil"/>
              <w:left w:val="nil"/>
              <w:bottom w:val="nil"/>
              <w:right w:val="nil"/>
            </w:tcBorders>
            <w:shd w:val="clear" w:color="auto" w:fill="auto"/>
            <w:noWrap/>
            <w:vAlign w:val="bottom"/>
            <w:hideMark/>
          </w:tcPr>
          <w:p w14:paraId="560A3E0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27</w:t>
            </w:r>
          </w:p>
        </w:tc>
        <w:tc>
          <w:tcPr>
            <w:tcW w:w="1601" w:type="dxa"/>
            <w:tcBorders>
              <w:top w:val="nil"/>
              <w:left w:val="nil"/>
              <w:bottom w:val="nil"/>
              <w:right w:val="nil"/>
            </w:tcBorders>
            <w:shd w:val="clear" w:color="auto" w:fill="auto"/>
            <w:noWrap/>
            <w:vAlign w:val="bottom"/>
            <w:hideMark/>
          </w:tcPr>
          <w:p w14:paraId="61FAC911"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23</w:t>
            </w:r>
          </w:p>
        </w:tc>
      </w:tr>
      <w:tr w:rsidR="0000441D" w:rsidRPr="00831A7E" w14:paraId="34B1F8EC" w14:textId="77777777" w:rsidTr="009B0675">
        <w:trPr>
          <w:trHeight w:val="267"/>
        </w:trPr>
        <w:tc>
          <w:tcPr>
            <w:tcW w:w="904" w:type="dxa"/>
            <w:tcBorders>
              <w:top w:val="nil"/>
              <w:left w:val="nil"/>
              <w:bottom w:val="nil"/>
              <w:right w:val="nil"/>
            </w:tcBorders>
            <w:shd w:val="clear" w:color="auto" w:fill="auto"/>
            <w:noWrap/>
            <w:vAlign w:val="bottom"/>
            <w:hideMark/>
          </w:tcPr>
          <w:p w14:paraId="46D3AA92"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TGD</w:t>
            </w:r>
          </w:p>
        </w:tc>
        <w:tc>
          <w:tcPr>
            <w:tcW w:w="1225" w:type="dxa"/>
            <w:tcBorders>
              <w:top w:val="nil"/>
              <w:left w:val="nil"/>
              <w:bottom w:val="nil"/>
              <w:right w:val="nil"/>
            </w:tcBorders>
            <w:shd w:val="clear" w:color="auto" w:fill="auto"/>
            <w:noWrap/>
            <w:vAlign w:val="bottom"/>
            <w:hideMark/>
          </w:tcPr>
          <w:p w14:paraId="4143747D"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102</w:t>
            </w:r>
          </w:p>
        </w:tc>
        <w:tc>
          <w:tcPr>
            <w:tcW w:w="1432" w:type="dxa"/>
            <w:tcBorders>
              <w:top w:val="nil"/>
              <w:left w:val="nil"/>
              <w:bottom w:val="nil"/>
              <w:right w:val="nil"/>
            </w:tcBorders>
            <w:shd w:val="clear" w:color="auto" w:fill="auto"/>
            <w:noWrap/>
            <w:vAlign w:val="bottom"/>
            <w:hideMark/>
          </w:tcPr>
          <w:p w14:paraId="53D8A3E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98</w:t>
            </w:r>
          </w:p>
        </w:tc>
        <w:tc>
          <w:tcPr>
            <w:tcW w:w="1451" w:type="dxa"/>
            <w:tcBorders>
              <w:top w:val="nil"/>
              <w:left w:val="nil"/>
              <w:bottom w:val="nil"/>
              <w:right w:val="nil"/>
            </w:tcBorders>
            <w:shd w:val="clear" w:color="auto" w:fill="auto"/>
            <w:noWrap/>
            <w:vAlign w:val="bottom"/>
            <w:hideMark/>
          </w:tcPr>
          <w:p w14:paraId="391462C8"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57</w:t>
            </w:r>
          </w:p>
        </w:tc>
        <w:tc>
          <w:tcPr>
            <w:tcW w:w="1752" w:type="dxa"/>
            <w:tcBorders>
              <w:top w:val="nil"/>
              <w:left w:val="nil"/>
              <w:bottom w:val="nil"/>
              <w:right w:val="nil"/>
            </w:tcBorders>
            <w:shd w:val="clear" w:color="auto" w:fill="auto"/>
            <w:noWrap/>
            <w:vAlign w:val="bottom"/>
            <w:hideMark/>
          </w:tcPr>
          <w:p w14:paraId="5E1E5D4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54</w:t>
            </w:r>
          </w:p>
        </w:tc>
        <w:tc>
          <w:tcPr>
            <w:tcW w:w="1281" w:type="dxa"/>
            <w:tcBorders>
              <w:top w:val="nil"/>
              <w:left w:val="nil"/>
              <w:bottom w:val="nil"/>
              <w:right w:val="nil"/>
            </w:tcBorders>
            <w:shd w:val="clear" w:color="auto" w:fill="auto"/>
            <w:noWrap/>
            <w:vAlign w:val="bottom"/>
            <w:hideMark/>
          </w:tcPr>
          <w:p w14:paraId="4DED9010"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51</w:t>
            </w:r>
          </w:p>
        </w:tc>
        <w:tc>
          <w:tcPr>
            <w:tcW w:w="1601" w:type="dxa"/>
            <w:tcBorders>
              <w:top w:val="nil"/>
              <w:left w:val="nil"/>
              <w:bottom w:val="nil"/>
              <w:right w:val="nil"/>
            </w:tcBorders>
            <w:shd w:val="clear" w:color="auto" w:fill="auto"/>
            <w:noWrap/>
            <w:vAlign w:val="bottom"/>
            <w:hideMark/>
          </w:tcPr>
          <w:p w14:paraId="2DBC87C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48</w:t>
            </w:r>
          </w:p>
        </w:tc>
      </w:tr>
      <w:tr w:rsidR="0000441D" w:rsidRPr="00831A7E" w14:paraId="69037209" w14:textId="77777777" w:rsidTr="009B0675">
        <w:trPr>
          <w:trHeight w:val="267"/>
        </w:trPr>
        <w:tc>
          <w:tcPr>
            <w:tcW w:w="904" w:type="dxa"/>
            <w:tcBorders>
              <w:top w:val="nil"/>
              <w:left w:val="nil"/>
              <w:bottom w:val="nil"/>
              <w:right w:val="nil"/>
            </w:tcBorders>
            <w:shd w:val="clear" w:color="auto" w:fill="auto"/>
            <w:noWrap/>
            <w:vAlign w:val="bottom"/>
            <w:hideMark/>
          </w:tcPr>
          <w:p w14:paraId="2AA7337A"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DF</w:t>
            </w:r>
          </w:p>
        </w:tc>
        <w:tc>
          <w:tcPr>
            <w:tcW w:w="1225" w:type="dxa"/>
            <w:tcBorders>
              <w:top w:val="nil"/>
              <w:left w:val="nil"/>
              <w:bottom w:val="nil"/>
              <w:right w:val="nil"/>
            </w:tcBorders>
            <w:shd w:val="clear" w:color="auto" w:fill="auto"/>
            <w:noWrap/>
            <w:vAlign w:val="bottom"/>
            <w:hideMark/>
          </w:tcPr>
          <w:p w14:paraId="6B6E9C92"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55</w:t>
            </w:r>
          </w:p>
        </w:tc>
        <w:tc>
          <w:tcPr>
            <w:tcW w:w="1432" w:type="dxa"/>
            <w:tcBorders>
              <w:top w:val="nil"/>
              <w:left w:val="nil"/>
              <w:bottom w:val="nil"/>
              <w:right w:val="nil"/>
            </w:tcBorders>
            <w:shd w:val="clear" w:color="auto" w:fill="auto"/>
            <w:noWrap/>
            <w:vAlign w:val="bottom"/>
            <w:hideMark/>
          </w:tcPr>
          <w:p w14:paraId="0D79714C"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49</w:t>
            </w:r>
          </w:p>
        </w:tc>
        <w:tc>
          <w:tcPr>
            <w:tcW w:w="1451" w:type="dxa"/>
            <w:tcBorders>
              <w:top w:val="nil"/>
              <w:left w:val="nil"/>
              <w:bottom w:val="nil"/>
              <w:right w:val="nil"/>
            </w:tcBorders>
            <w:shd w:val="clear" w:color="auto" w:fill="auto"/>
            <w:noWrap/>
            <w:vAlign w:val="bottom"/>
            <w:hideMark/>
          </w:tcPr>
          <w:p w14:paraId="06FC2596"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31</w:t>
            </w:r>
          </w:p>
        </w:tc>
        <w:tc>
          <w:tcPr>
            <w:tcW w:w="1752" w:type="dxa"/>
            <w:tcBorders>
              <w:top w:val="nil"/>
              <w:left w:val="nil"/>
              <w:bottom w:val="nil"/>
              <w:right w:val="nil"/>
            </w:tcBorders>
            <w:shd w:val="clear" w:color="auto" w:fill="auto"/>
            <w:noWrap/>
            <w:vAlign w:val="bottom"/>
            <w:hideMark/>
          </w:tcPr>
          <w:p w14:paraId="123AAF1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28</w:t>
            </w:r>
          </w:p>
        </w:tc>
        <w:tc>
          <w:tcPr>
            <w:tcW w:w="1281" w:type="dxa"/>
            <w:tcBorders>
              <w:top w:val="nil"/>
              <w:left w:val="nil"/>
              <w:bottom w:val="nil"/>
              <w:right w:val="nil"/>
            </w:tcBorders>
            <w:shd w:val="clear" w:color="auto" w:fill="auto"/>
            <w:noWrap/>
            <w:vAlign w:val="bottom"/>
            <w:hideMark/>
          </w:tcPr>
          <w:p w14:paraId="705B65F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28</w:t>
            </w:r>
          </w:p>
        </w:tc>
        <w:tc>
          <w:tcPr>
            <w:tcW w:w="1601" w:type="dxa"/>
            <w:tcBorders>
              <w:top w:val="nil"/>
              <w:left w:val="nil"/>
              <w:bottom w:val="nil"/>
              <w:right w:val="nil"/>
            </w:tcBorders>
            <w:shd w:val="clear" w:color="auto" w:fill="auto"/>
            <w:noWrap/>
            <w:vAlign w:val="bottom"/>
            <w:hideMark/>
          </w:tcPr>
          <w:p w14:paraId="7D63641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26</w:t>
            </w:r>
          </w:p>
        </w:tc>
      </w:tr>
      <w:tr w:rsidR="0000441D" w:rsidRPr="00831A7E" w14:paraId="73656D54" w14:textId="77777777" w:rsidTr="009B0675">
        <w:trPr>
          <w:trHeight w:val="267"/>
        </w:trPr>
        <w:tc>
          <w:tcPr>
            <w:tcW w:w="904" w:type="dxa"/>
            <w:tcBorders>
              <w:top w:val="nil"/>
              <w:left w:val="nil"/>
              <w:bottom w:val="nil"/>
              <w:right w:val="nil"/>
            </w:tcBorders>
            <w:shd w:val="clear" w:color="auto" w:fill="auto"/>
            <w:noWrap/>
            <w:vAlign w:val="bottom"/>
            <w:hideMark/>
          </w:tcPr>
          <w:p w14:paraId="443ABF93"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DI</w:t>
            </w:r>
          </w:p>
        </w:tc>
        <w:tc>
          <w:tcPr>
            <w:tcW w:w="1225" w:type="dxa"/>
            <w:tcBorders>
              <w:top w:val="nil"/>
              <w:left w:val="nil"/>
              <w:bottom w:val="nil"/>
              <w:right w:val="nil"/>
            </w:tcBorders>
            <w:shd w:val="clear" w:color="auto" w:fill="auto"/>
            <w:noWrap/>
            <w:vAlign w:val="bottom"/>
            <w:hideMark/>
          </w:tcPr>
          <w:p w14:paraId="1CD4515B"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61</w:t>
            </w:r>
          </w:p>
        </w:tc>
        <w:tc>
          <w:tcPr>
            <w:tcW w:w="1432" w:type="dxa"/>
            <w:tcBorders>
              <w:top w:val="nil"/>
              <w:left w:val="nil"/>
              <w:bottom w:val="nil"/>
              <w:right w:val="nil"/>
            </w:tcBorders>
            <w:shd w:val="clear" w:color="auto" w:fill="auto"/>
            <w:noWrap/>
            <w:vAlign w:val="bottom"/>
            <w:hideMark/>
          </w:tcPr>
          <w:p w14:paraId="1841D991"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58</w:t>
            </w:r>
          </w:p>
        </w:tc>
        <w:tc>
          <w:tcPr>
            <w:tcW w:w="1451" w:type="dxa"/>
            <w:tcBorders>
              <w:top w:val="nil"/>
              <w:left w:val="nil"/>
              <w:bottom w:val="nil"/>
              <w:right w:val="nil"/>
            </w:tcBorders>
            <w:shd w:val="clear" w:color="auto" w:fill="auto"/>
            <w:noWrap/>
            <w:vAlign w:val="bottom"/>
            <w:hideMark/>
          </w:tcPr>
          <w:p w14:paraId="31444A6C"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39</w:t>
            </w:r>
          </w:p>
        </w:tc>
        <w:tc>
          <w:tcPr>
            <w:tcW w:w="1752" w:type="dxa"/>
            <w:tcBorders>
              <w:top w:val="nil"/>
              <w:left w:val="nil"/>
              <w:bottom w:val="nil"/>
              <w:right w:val="nil"/>
            </w:tcBorders>
            <w:shd w:val="clear" w:color="auto" w:fill="auto"/>
            <w:noWrap/>
            <w:vAlign w:val="bottom"/>
            <w:hideMark/>
          </w:tcPr>
          <w:p w14:paraId="23E7D44C"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35</w:t>
            </w:r>
          </w:p>
        </w:tc>
        <w:tc>
          <w:tcPr>
            <w:tcW w:w="1281" w:type="dxa"/>
            <w:tcBorders>
              <w:top w:val="nil"/>
              <w:left w:val="nil"/>
              <w:bottom w:val="nil"/>
              <w:right w:val="nil"/>
            </w:tcBorders>
            <w:shd w:val="clear" w:color="auto" w:fill="auto"/>
            <w:noWrap/>
            <w:vAlign w:val="bottom"/>
            <w:hideMark/>
          </w:tcPr>
          <w:p w14:paraId="0FC830E4"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31</w:t>
            </w:r>
          </w:p>
        </w:tc>
        <w:tc>
          <w:tcPr>
            <w:tcW w:w="1601" w:type="dxa"/>
            <w:tcBorders>
              <w:top w:val="nil"/>
              <w:left w:val="nil"/>
              <w:bottom w:val="nil"/>
              <w:right w:val="nil"/>
            </w:tcBorders>
            <w:shd w:val="clear" w:color="auto" w:fill="auto"/>
            <w:noWrap/>
            <w:vAlign w:val="bottom"/>
            <w:hideMark/>
          </w:tcPr>
          <w:p w14:paraId="0E08670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28</w:t>
            </w:r>
          </w:p>
        </w:tc>
      </w:tr>
      <w:tr w:rsidR="0000441D" w:rsidRPr="00831A7E" w14:paraId="20EF35F4" w14:textId="77777777" w:rsidTr="009B0675">
        <w:trPr>
          <w:trHeight w:val="267"/>
        </w:trPr>
        <w:tc>
          <w:tcPr>
            <w:tcW w:w="904" w:type="dxa"/>
            <w:tcBorders>
              <w:top w:val="nil"/>
              <w:left w:val="nil"/>
              <w:bottom w:val="nil"/>
              <w:right w:val="nil"/>
            </w:tcBorders>
            <w:shd w:val="clear" w:color="auto" w:fill="auto"/>
            <w:noWrap/>
            <w:vAlign w:val="bottom"/>
            <w:hideMark/>
          </w:tcPr>
          <w:p w14:paraId="15201E0A"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BV</w:t>
            </w:r>
          </w:p>
        </w:tc>
        <w:tc>
          <w:tcPr>
            <w:tcW w:w="1225" w:type="dxa"/>
            <w:tcBorders>
              <w:top w:val="nil"/>
              <w:left w:val="nil"/>
              <w:bottom w:val="nil"/>
              <w:right w:val="nil"/>
            </w:tcBorders>
            <w:shd w:val="clear" w:color="000000" w:fill="FFFFFF"/>
            <w:noWrap/>
            <w:vAlign w:val="bottom"/>
            <w:hideMark/>
          </w:tcPr>
          <w:p w14:paraId="0C2D161D"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90</w:t>
            </w:r>
          </w:p>
        </w:tc>
        <w:tc>
          <w:tcPr>
            <w:tcW w:w="1432" w:type="dxa"/>
            <w:tcBorders>
              <w:top w:val="nil"/>
              <w:left w:val="nil"/>
              <w:bottom w:val="nil"/>
              <w:right w:val="nil"/>
            </w:tcBorders>
            <w:shd w:val="clear" w:color="000000" w:fill="FFFFFF"/>
            <w:noWrap/>
            <w:vAlign w:val="bottom"/>
            <w:hideMark/>
          </w:tcPr>
          <w:p w14:paraId="38B61E04"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88</w:t>
            </w:r>
          </w:p>
        </w:tc>
        <w:tc>
          <w:tcPr>
            <w:tcW w:w="1451" w:type="dxa"/>
            <w:tcBorders>
              <w:top w:val="nil"/>
              <w:left w:val="nil"/>
              <w:bottom w:val="nil"/>
              <w:right w:val="nil"/>
            </w:tcBorders>
            <w:shd w:val="clear" w:color="000000" w:fill="FFFFFF"/>
            <w:noWrap/>
            <w:vAlign w:val="bottom"/>
            <w:hideMark/>
          </w:tcPr>
          <w:p w14:paraId="3DAA643B"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25</w:t>
            </w:r>
          </w:p>
        </w:tc>
        <w:tc>
          <w:tcPr>
            <w:tcW w:w="1752" w:type="dxa"/>
            <w:tcBorders>
              <w:top w:val="nil"/>
              <w:left w:val="nil"/>
              <w:bottom w:val="nil"/>
              <w:right w:val="nil"/>
            </w:tcBorders>
            <w:shd w:val="clear" w:color="000000" w:fill="FFFFFF"/>
            <w:noWrap/>
            <w:vAlign w:val="bottom"/>
            <w:hideMark/>
          </w:tcPr>
          <w:p w14:paraId="4CD4110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24</w:t>
            </w:r>
          </w:p>
        </w:tc>
        <w:tc>
          <w:tcPr>
            <w:tcW w:w="1281" w:type="dxa"/>
            <w:tcBorders>
              <w:top w:val="nil"/>
              <w:left w:val="nil"/>
              <w:bottom w:val="nil"/>
              <w:right w:val="nil"/>
            </w:tcBorders>
            <w:shd w:val="clear" w:color="000000" w:fill="FFFFFF"/>
            <w:noWrap/>
            <w:vAlign w:val="bottom"/>
            <w:hideMark/>
          </w:tcPr>
          <w:p w14:paraId="7E9E6BCB"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30</w:t>
            </w:r>
          </w:p>
        </w:tc>
        <w:tc>
          <w:tcPr>
            <w:tcW w:w="1601" w:type="dxa"/>
            <w:tcBorders>
              <w:top w:val="nil"/>
              <w:left w:val="nil"/>
              <w:bottom w:val="nil"/>
              <w:right w:val="nil"/>
            </w:tcBorders>
            <w:shd w:val="clear" w:color="000000" w:fill="FFFFFF"/>
            <w:noWrap/>
            <w:vAlign w:val="bottom"/>
            <w:hideMark/>
          </w:tcPr>
          <w:p w14:paraId="1E9A4FAC"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28</w:t>
            </w:r>
          </w:p>
        </w:tc>
      </w:tr>
      <w:tr w:rsidR="0000441D" w:rsidRPr="00831A7E" w14:paraId="4CC962D1" w14:textId="77777777" w:rsidTr="009B0675">
        <w:trPr>
          <w:trHeight w:val="267"/>
        </w:trPr>
        <w:tc>
          <w:tcPr>
            <w:tcW w:w="904" w:type="dxa"/>
            <w:tcBorders>
              <w:top w:val="nil"/>
              <w:left w:val="nil"/>
              <w:bottom w:val="nil"/>
              <w:right w:val="nil"/>
            </w:tcBorders>
            <w:shd w:val="clear" w:color="auto" w:fill="auto"/>
            <w:noWrap/>
            <w:vAlign w:val="bottom"/>
            <w:hideMark/>
          </w:tcPr>
          <w:p w14:paraId="13F59B86"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TOD</w:t>
            </w:r>
          </w:p>
        </w:tc>
        <w:tc>
          <w:tcPr>
            <w:tcW w:w="1225" w:type="dxa"/>
            <w:tcBorders>
              <w:top w:val="nil"/>
              <w:left w:val="nil"/>
              <w:bottom w:val="nil"/>
              <w:right w:val="nil"/>
            </w:tcBorders>
            <w:shd w:val="clear" w:color="auto" w:fill="auto"/>
            <w:noWrap/>
            <w:vAlign w:val="bottom"/>
            <w:hideMark/>
          </w:tcPr>
          <w:p w14:paraId="505C1AE7"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113</w:t>
            </w:r>
          </w:p>
        </w:tc>
        <w:tc>
          <w:tcPr>
            <w:tcW w:w="1432" w:type="dxa"/>
            <w:tcBorders>
              <w:top w:val="nil"/>
              <w:left w:val="nil"/>
              <w:bottom w:val="nil"/>
              <w:right w:val="nil"/>
            </w:tcBorders>
            <w:shd w:val="clear" w:color="auto" w:fill="auto"/>
            <w:noWrap/>
            <w:vAlign w:val="bottom"/>
            <w:hideMark/>
          </w:tcPr>
          <w:p w14:paraId="7880E4BC"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112</w:t>
            </w:r>
          </w:p>
        </w:tc>
        <w:tc>
          <w:tcPr>
            <w:tcW w:w="1451" w:type="dxa"/>
            <w:tcBorders>
              <w:top w:val="nil"/>
              <w:left w:val="nil"/>
              <w:bottom w:val="nil"/>
              <w:right w:val="nil"/>
            </w:tcBorders>
            <w:shd w:val="clear" w:color="auto" w:fill="auto"/>
            <w:noWrap/>
            <w:vAlign w:val="bottom"/>
            <w:hideMark/>
          </w:tcPr>
          <w:p w14:paraId="03D3F1D1"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64</w:t>
            </w:r>
          </w:p>
        </w:tc>
        <w:tc>
          <w:tcPr>
            <w:tcW w:w="1752" w:type="dxa"/>
            <w:tcBorders>
              <w:top w:val="nil"/>
              <w:left w:val="nil"/>
              <w:bottom w:val="nil"/>
              <w:right w:val="nil"/>
            </w:tcBorders>
            <w:shd w:val="clear" w:color="auto" w:fill="auto"/>
            <w:noWrap/>
            <w:vAlign w:val="bottom"/>
            <w:hideMark/>
          </w:tcPr>
          <w:p w14:paraId="74F09997"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63</w:t>
            </w:r>
          </w:p>
        </w:tc>
        <w:tc>
          <w:tcPr>
            <w:tcW w:w="1281" w:type="dxa"/>
            <w:tcBorders>
              <w:top w:val="nil"/>
              <w:left w:val="nil"/>
              <w:bottom w:val="nil"/>
              <w:right w:val="nil"/>
            </w:tcBorders>
            <w:shd w:val="clear" w:color="auto" w:fill="auto"/>
            <w:noWrap/>
            <w:vAlign w:val="bottom"/>
            <w:hideMark/>
          </w:tcPr>
          <w:p w14:paraId="4D413EAD"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38</w:t>
            </w:r>
          </w:p>
        </w:tc>
        <w:tc>
          <w:tcPr>
            <w:tcW w:w="1601" w:type="dxa"/>
            <w:tcBorders>
              <w:top w:val="nil"/>
              <w:left w:val="nil"/>
              <w:bottom w:val="nil"/>
              <w:right w:val="nil"/>
            </w:tcBorders>
            <w:shd w:val="clear" w:color="auto" w:fill="auto"/>
            <w:noWrap/>
            <w:vAlign w:val="bottom"/>
            <w:hideMark/>
          </w:tcPr>
          <w:p w14:paraId="5B0E4066"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37</w:t>
            </w:r>
          </w:p>
        </w:tc>
      </w:tr>
      <w:tr w:rsidR="0000441D" w:rsidRPr="00831A7E" w14:paraId="286348A6" w14:textId="77777777" w:rsidTr="009B0675">
        <w:trPr>
          <w:trHeight w:val="276"/>
        </w:trPr>
        <w:tc>
          <w:tcPr>
            <w:tcW w:w="904" w:type="dxa"/>
            <w:tcBorders>
              <w:top w:val="nil"/>
              <w:left w:val="nil"/>
              <w:bottom w:val="single" w:sz="8" w:space="0" w:color="auto"/>
              <w:right w:val="nil"/>
            </w:tcBorders>
            <w:shd w:val="clear" w:color="auto" w:fill="auto"/>
            <w:noWrap/>
            <w:vAlign w:val="bottom"/>
            <w:hideMark/>
          </w:tcPr>
          <w:p w14:paraId="64E0DCFE"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AH</w:t>
            </w:r>
          </w:p>
        </w:tc>
        <w:tc>
          <w:tcPr>
            <w:tcW w:w="1225" w:type="dxa"/>
            <w:tcBorders>
              <w:top w:val="nil"/>
              <w:left w:val="nil"/>
              <w:bottom w:val="single" w:sz="8" w:space="0" w:color="auto"/>
              <w:right w:val="nil"/>
            </w:tcBorders>
            <w:shd w:val="clear" w:color="000000" w:fill="FFFFFF"/>
            <w:noWrap/>
            <w:vAlign w:val="bottom"/>
            <w:hideMark/>
          </w:tcPr>
          <w:p w14:paraId="218AD9C9"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151</w:t>
            </w:r>
          </w:p>
        </w:tc>
        <w:tc>
          <w:tcPr>
            <w:tcW w:w="1432" w:type="dxa"/>
            <w:tcBorders>
              <w:top w:val="nil"/>
              <w:left w:val="nil"/>
              <w:bottom w:val="single" w:sz="8" w:space="0" w:color="auto"/>
              <w:right w:val="nil"/>
            </w:tcBorders>
            <w:shd w:val="clear" w:color="000000" w:fill="FFFFFF"/>
            <w:noWrap/>
            <w:vAlign w:val="bottom"/>
            <w:hideMark/>
          </w:tcPr>
          <w:p w14:paraId="66D1C1DE"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151</w:t>
            </w:r>
          </w:p>
        </w:tc>
        <w:tc>
          <w:tcPr>
            <w:tcW w:w="1451" w:type="dxa"/>
            <w:tcBorders>
              <w:top w:val="nil"/>
              <w:left w:val="nil"/>
              <w:bottom w:val="single" w:sz="8" w:space="0" w:color="auto"/>
              <w:right w:val="nil"/>
            </w:tcBorders>
            <w:shd w:val="clear" w:color="000000" w:fill="FFFFFF"/>
            <w:noWrap/>
            <w:vAlign w:val="bottom"/>
            <w:hideMark/>
          </w:tcPr>
          <w:p w14:paraId="1807574A"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72</w:t>
            </w:r>
          </w:p>
        </w:tc>
        <w:tc>
          <w:tcPr>
            <w:tcW w:w="1752" w:type="dxa"/>
            <w:tcBorders>
              <w:top w:val="nil"/>
              <w:left w:val="nil"/>
              <w:bottom w:val="single" w:sz="8" w:space="0" w:color="auto"/>
              <w:right w:val="nil"/>
            </w:tcBorders>
            <w:shd w:val="clear" w:color="000000" w:fill="FFFFFF"/>
            <w:noWrap/>
            <w:vAlign w:val="bottom"/>
            <w:hideMark/>
          </w:tcPr>
          <w:p w14:paraId="6CAC6C1A"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72</w:t>
            </w:r>
          </w:p>
        </w:tc>
        <w:tc>
          <w:tcPr>
            <w:tcW w:w="1281" w:type="dxa"/>
            <w:tcBorders>
              <w:top w:val="nil"/>
              <w:left w:val="nil"/>
              <w:bottom w:val="single" w:sz="8" w:space="0" w:color="auto"/>
              <w:right w:val="nil"/>
            </w:tcBorders>
            <w:shd w:val="clear" w:color="000000" w:fill="FFFFFF"/>
            <w:noWrap/>
            <w:vAlign w:val="bottom"/>
            <w:hideMark/>
          </w:tcPr>
          <w:p w14:paraId="2DBC007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70</w:t>
            </w:r>
          </w:p>
        </w:tc>
        <w:tc>
          <w:tcPr>
            <w:tcW w:w="1601" w:type="dxa"/>
            <w:tcBorders>
              <w:top w:val="nil"/>
              <w:left w:val="nil"/>
              <w:bottom w:val="single" w:sz="8" w:space="0" w:color="auto"/>
              <w:right w:val="nil"/>
            </w:tcBorders>
            <w:shd w:val="clear" w:color="000000" w:fill="FFFFFF"/>
            <w:noWrap/>
            <w:vAlign w:val="bottom"/>
            <w:hideMark/>
          </w:tcPr>
          <w:p w14:paraId="206A4845" w14:textId="77777777" w:rsidR="009B0675" w:rsidRPr="00831A7E" w:rsidRDefault="009B0675"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68</w:t>
            </w:r>
          </w:p>
        </w:tc>
      </w:tr>
    </w:tbl>
    <w:p w14:paraId="305F68E0" w14:textId="57472E58" w:rsidR="009B0675" w:rsidRPr="00831A7E" w:rsidRDefault="009B0675" w:rsidP="00681108">
      <w:pPr>
        <w:spacing w:line="276" w:lineRule="auto"/>
        <w:jc w:val="left"/>
        <w:rPr>
          <w:rFonts w:ascii="Times New Roman" w:hAnsi="Times New Roman" w:cs="Times New Roman"/>
          <w:szCs w:val="24"/>
        </w:rPr>
      </w:pPr>
      <w:r w:rsidRPr="00831A7E">
        <w:rPr>
          <w:rFonts w:ascii="Times New Roman" w:hAnsi="Times New Roman" w:cs="Times New Roman"/>
          <w:szCs w:val="24"/>
        </w:rPr>
        <w:lastRenderedPageBreak/>
        <w:t>Legenda: TDAH – Transtorno de Atenção e Hiperatividade; TPA – Transtorno do Processamento Auditivo; TGD – Transtorno Global do Desenvolvimento; AH – Altas Habilidades; BV – Baixa Visão; TOD – Transtorno Opositor Desafiador; DI – Deficiência Intelectual; DF – Deficiência Física.</w:t>
      </w:r>
    </w:p>
    <w:p w14:paraId="07A54FC1" w14:textId="77777777" w:rsidR="009B0675" w:rsidRPr="00831A7E" w:rsidRDefault="009B0675" w:rsidP="00681108">
      <w:pPr>
        <w:ind w:firstLine="851"/>
        <w:jc w:val="left"/>
        <w:rPr>
          <w:rFonts w:ascii="Times New Roman" w:hAnsi="Times New Roman" w:cs="Times New Roman"/>
          <w:sz w:val="24"/>
          <w:szCs w:val="24"/>
        </w:rPr>
      </w:pPr>
    </w:p>
    <w:p w14:paraId="22A00071" w14:textId="3D7F39EA" w:rsidR="00D871D6" w:rsidRDefault="009B0675" w:rsidP="00681108">
      <w:pPr>
        <w:jc w:val="left"/>
        <w:rPr>
          <w:rFonts w:ascii="Times New Roman" w:hAnsi="Times New Roman" w:cs="Times New Roman"/>
          <w:sz w:val="24"/>
          <w:szCs w:val="24"/>
        </w:rPr>
      </w:pPr>
      <w:r w:rsidRPr="00831A7E">
        <w:rPr>
          <w:rFonts w:ascii="Times New Roman" w:hAnsi="Times New Roman" w:cs="Times New Roman"/>
          <w:sz w:val="24"/>
          <w:szCs w:val="24"/>
        </w:rPr>
        <w:t xml:space="preserve">A </w:t>
      </w:r>
      <w:r w:rsidR="00871AF4" w:rsidRPr="00831A7E">
        <w:rPr>
          <w:rFonts w:ascii="Times New Roman" w:hAnsi="Times New Roman" w:cs="Times New Roman"/>
          <w:sz w:val="24"/>
          <w:szCs w:val="24"/>
        </w:rPr>
        <w:t>Tabela</w:t>
      </w:r>
      <w:r w:rsidR="00520BB8" w:rsidRPr="00831A7E">
        <w:rPr>
          <w:rFonts w:ascii="Times New Roman" w:hAnsi="Times New Roman" w:cs="Times New Roman"/>
          <w:sz w:val="24"/>
          <w:szCs w:val="24"/>
        </w:rPr>
        <w:t xml:space="preserve"> </w:t>
      </w:r>
      <w:r w:rsidRPr="00831A7E">
        <w:rPr>
          <w:rFonts w:ascii="Times New Roman" w:hAnsi="Times New Roman" w:cs="Times New Roman"/>
          <w:sz w:val="24"/>
          <w:szCs w:val="24"/>
        </w:rPr>
        <w:t>2</w:t>
      </w:r>
      <w:r w:rsidR="00871AF4" w:rsidRPr="00831A7E">
        <w:rPr>
          <w:rFonts w:ascii="Times New Roman" w:hAnsi="Times New Roman" w:cs="Times New Roman"/>
          <w:sz w:val="24"/>
          <w:szCs w:val="24"/>
        </w:rPr>
        <w:t xml:space="preserve"> demonstra os resultados </w:t>
      </w:r>
      <w:r w:rsidR="00520BB8" w:rsidRPr="00831A7E">
        <w:rPr>
          <w:rFonts w:ascii="Times New Roman" w:hAnsi="Times New Roman" w:cs="Times New Roman"/>
          <w:sz w:val="24"/>
          <w:szCs w:val="24"/>
        </w:rPr>
        <w:t xml:space="preserve">individuais </w:t>
      </w:r>
      <w:r w:rsidR="00871AF4" w:rsidRPr="00831A7E">
        <w:rPr>
          <w:rFonts w:ascii="Times New Roman" w:hAnsi="Times New Roman" w:cs="Times New Roman"/>
          <w:sz w:val="24"/>
          <w:szCs w:val="24"/>
        </w:rPr>
        <w:t>obtidos pelos escolares na</w:t>
      </w:r>
      <w:r w:rsidR="00520BB8" w:rsidRPr="00831A7E">
        <w:rPr>
          <w:rFonts w:ascii="Times New Roman" w:hAnsi="Times New Roman" w:cs="Times New Roman"/>
          <w:sz w:val="24"/>
          <w:szCs w:val="24"/>
        </w:rPr>
        <w:t xml:space="preserve"> tarefa</w:t>
      </w:r>
      <w:r w:rsidRPr="00831A7E">
        <w:rPr>
          <w:rFonts w:ascii="Times New Roman" w:hAnsi="Times New Roman" w:cs="Times New Roman"/>
          <w:sz w:val="24"/>
          <w:szCs w:val="24"/>
        </w:rPr>
        <w:t xml:space="preserve"> </w:t>
      </w:r>
      <w:r w:rsidR="00520BB8" w:rsidRPr="00831A7E">
        <w:rPr>
          <w:rFonts w:ascii="Times New Roman" w:hAnsi="Times New Roman" w:cs="Times New Roman"/>
          <w:sz w:val="24"/>
          <w:szCs w:val="24"/>
        </w:rPr>
        <w:t>de compreensão</w:t>
      </w:r>
      <w:r w:rsidRPr="00831A7E">
        <w:rPr>
          <w:rFonts w:ascii="Times New Roman" w:hAnsi="Times New Roman" w:cs="Times New Roman"/>
          <w:sz w:val="24"/>
          <w:szCs w:val="24"/>
        </w:rPr>
        <w:t xml:space="preserve">. </w:t>
      </w:r>
    </w:p>
    <w:p w14:paraId="54DD9F52" w14:textId="77777777" w:rsidR="00ED5700" w:rsidRPr="00831A7E" w:rsidRDefault="00ED5700" w:rsidP="00681108">
      <w:pPr>
        <w:jc w:val="left"/>
        <w:rPr>
          <w:rFonts w:ascii="Times New Roman" w:hAnsi="Times New Roman" w:cs="Times New Roman"/>
          <w:sz w:val="24"/>
          <w:szCs w:val="24"/>
        </w:rPr>
      </w:pPr>
    </w:p>
    <w:p w14:paraId="438B4978" w14:textId="1B2A6EA9" w:rsidR="009B0675" w:rsidRDefault="009B0675" w:rsidP="00681108">
      <w:pPr>
        <w:jc w:val="left"/>
        <w:rPr>
          <w:rFonts w:ascii="Times New Roman" w:hAnsi="Times New Roman" w:cs="Times New Roman"/>
          <w:sz w:val="24"/>
          <w:szCs w:val="24"/>
        </w:rPr>
      </w:pPr>
      <w:r w:rsidRPr="00880FAE">
        <w:rPr>
          <w:rFonts w:ascii="Times New Roman" w:hAnsi="Times New Roman" w:cs="Times New Roman"/>
          <w:sz w:val="24"/>
          <w:szCs w:val="24"/>
        </w:rPr>
        <w:t>Tabela 2</w:t>
      </w:r>
      <w:r w:rsidR="00420210">
        <w:rPr>
          <w:rFonts w:ascii="Times New Roman" w:hAnsi="Times New Roman" w:cs="Times New Roman"/>
          <w:sz w:val="24"/>
          <w:szCs w:val="24"/>
        </w:rPr>
        <w:t xml:space="preserve"> </w:t>
      </w:r>
      <w:r w:rsidR="00420210" w:rsidRPr="00420210">
        <w:rPr>
          <w:rFonts w:ascii="Times New Roman" w:hAnsi="Times New Roman" w:cs="Times New Roman"/>
          <w:b/>
          <w:sz w:val="24"/>
          <w:szCs w:val="24"/>
        </w:rPr>
        <w:t>—</w:t>
      </w:r>
      <w:r w:rsidRPr="00880FAE">
        <w:rPr>
          <w:rFonts w:ascii="Times New Roman" w:hAnsi="Times New Roman" w:cs="Times New Roman"/>
          <w:sz w:val="24"/>
          <w:szCs w:val="24"/>
        </w:rPr>
        <w:t xml:space="preserve"> Desempenho individual de cada escolar do PAAE referentes a compreensão (questões totais). </w:t>
      </w:r>
    </w:p>
    <w:p w14:paraId="45E40915" w14:textId="77777777" w:rsidR="00681108" w:rsidRPr="00880FAE" w:rsidRDefault="00681108" w:rsidP="00681108">
      <w:pPr>
        <w:jc w:val="left"/>
        <w:rPr>
          <w:rFonts w:ascii="Times New Roman" w:hAnsi="Times New Roman" w:cs="Times New Roman"/>
          <w:sz w:val="24"/>
          <w:szCs w:val="24"/>
        </w:rPr>
      </w:pPr>
    </w:p>
    <w:tbl>
      <w:tblPr>
        <w:tblW w:w="9257" w:type="dxa"/>
        <w:tblLayout w:type="fixed"/>
        <w:tblCellMar>
          <w:left w:w="70" w:type="dxa"/>
          <w:right w:w="70" w:type="dxa"/>
        </w:tblCellMar>
        <w:tblLook w:val="04A0" w:firstRow="1" w:lastRow="0" w:firstColumn="1" w:lastColumn="0" w:noHBand="0" w:noVBand="1"/>
      </w:tblPr>
      <w:tblGrid>
        <w:gridCol w:w="709"/>
        <w:gridCol w:w="1418"/>
        <w:gridCol w:w="1417"/>
        <w:gridCol w:w="1276"/>
        <w:gridCol w:w="1792"/>
        <w:gridCol w:w="1322"/>
        <w:gridCol w:w="1323"/>
      </w:tblGrid>
      <w:tr w:rsidR="00D871D6" w:rsidRPr="00831A7E" w14:paraId="79D83662" w14:textId="77777777" w:rsidTr="004F7D14">
        <w:trPr>
          <w:trHeight w:val="231"/>
        </w:trPr>
        <w:tc>
          <w:tcPr>
            <w:tcW w:w="709" w:type="dxa"/>
            <w:tcBorders>
              <w:top w:val="single" w:sz="4" w:space="0" w:color="auto"/>
              <w:left w:val="nil"/>
              <w:bottom w:val="single" w:sz="4" w:space="0" w:color="auto"/>
              <w:right w:val="nil"/>
            </w:tcBorders>
            <w:shd w:val="clear" w:color="auto" w:fill="auto"/>
            <w:noWrap/>
            <w:vAlign w:val="bottom"/>
            <w:hideMark/>
          </w:tcPr>
          <w:p w14:paraId="6F3DA37F" w14:textId="77777777" w:rsidR="00D871D6" w:rsidRPr="00831A7E" w:rsidRDefault="00D871D6" w:rsidP="002E100C">
            <w:pPr>
              <w:spacing w:line="240" w:lineRule="auto"/>
              <w:jc w:val="left"/>
              <w:rPr>
                <w:rFonts w:ascii="Times New Roman" w:eastAsia="Times New Roman" w:hAnsi="Times New Roman" w:cs="Times New Roman"/>
                <w:color w:val="000000"/>
                <w:lang w:eastAsia="pt-BR"/>
              </w:rPr>
            </w:pPr>
            <w:r w:rsidRPr="00831A7E">
              <w:rPr>
                <w:rFonts w:ascii="Times New Roman" w:eastAsia="Times New Roman" w:hAnsi="Times New Roman" w:cs="Times New Roman"/>
                <w:color w:val="000000"/>
                <w:lang w:eastAsia="pt-BR"/>
              </w:rPr>
              <w:t> </w:t>
            </w:r>
          </w:p>
        </w:tc>
        <w:tc>
          <w:tcPr>
            <w:tcW w:w="1418" w:type="dxa"/>
            <w:tcBorders>
              <w:top w:val="single" w:sz="4" w:space="0" w:color="auto"/>
              <w:left w:val="nil"/>
              <w:bottom w:val="single" w:sz="4" w:space="0" w:color="auto"/>
              <w:right w:val="nil"/>
            </w:tcBorders>
            <w:shd w:val="clear" w:color="auto" w:fill="auto"/>
            <w:noWrap/>
            <w:hideMark/>
          </w:tcPr>
          <w:p w14:paraId="2AB64509"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Não sugestivo de Déficit</w:t>
            </w:r>
          </w:p>
        </w:tc>
        <w:tc>
          <w:tcPr>
            <w:tcW w:w="1417" w:type="dxa"/>
            <w:tcBorders>
              <w:top w:val="single" w:sz="4" w:space="0" w:color="auto"/>
              <w:left w:val="nil"/>
              <w:bottom w:val="single" w:sz="4" w:space="0" w:color="auto"/>
              <w:right w:val="nil"/>
            </w:tcBorders>
            <w:shd w:val="clear" w:color="auto" w:fill="auto"/>
            <w:noWrap/>
            <w:hideMark/>
          </w:tcPr>
          <w:p w14:paraId="2D833486" w14:textId="2874D38D"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Sugestivo de alerta para Déficit</w:t>
            </w:r>
          </w:p>
        </w:tc>
        <w:tc>
          <w:tcPr>
            <w:tcW w:w="1276" w:type="dxa"/>
            <w:tcBorders>
              <w:top w:val="single" w:sz="4" w:space="0" w:color="auto"/>
              <w:left w:val="nil"/>
              <w:bottom w:val="single" w:sz="4" w:space="0" w:color="auto"/>
              <w:right w:val="nil"/>
            </w:tcBorders>
            <w:shd w:val="clear" w:color="auto" w:fill="auto"/>
            <w:noWrap/>
            <w:hideMark/>
          </w:tcPr>
          <w:p w14:paraId="1D82D2BF" w14:textId="24E48A16"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Sugestivo de Déficit</w:t>
            </w:r>
          </w:p>
        </w:tc>
        <w:tc>
          <w:tcPr>
            <w:tcW w:w="1792" w:type="dxa"/>
            <w:tcBorders>
              <w:top w:val="single" w:sz="4" w:space="0" w:color="auto"/>
              <w:left w:val="nil"/>
              <w:bottom w:val="single" w:sz="4" w:space="0" w:color="auto"/>
              <w:right w:val="nil"/>
            </w:tcBorders>
            <w:shd w:val="clear" w:color="auto" w:fill="auto"/>
            <w:noWrap/>
            <w:hideMark/>
          </w:tcPr>
          <w:p w14:paraId="3EDBA99A" w14:textId="24B817BF"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 xml:space="preserve">Sugestivo de Déficit Moderado à </w:t>
            </w:r>
            <w:r w:rsidR="004F7D14" w:rsidRPr="00831A7E">
              <w:rPr>
                <w:rFonts w:ascii="Times New Roman" w:eastAsia="Times New Roman" w:hAnsi="Times New Roman" w:cs="Times New Roman"/>
                <w:color w:val="000000"/>
                <w:sz w:val="20"/>
                <w:szCs w:val="20"/>
                <w:lang w:eastAsia="pt-BR"/>
              </w:rPr>
              <w:t>S</w:t>
            </w:r>
            <w:r w:rsidRPr="00831A7E">
              <w:rPr>
                <w:rFonts w:ascii="Times New Roman" w:eastAsia="Times New Roman" w:hAnsi="Times New Roman" w:cs="Times New Roman"/>
                <w:color w:val="000000"/>
                <w:sz w:val="20"/>
                <w:szCs w:val="20"/>
                <w:lang w:eastAsia="pt-BR"/>
              </w:rPr>
              <w:t>evero</w:t>
            </w:r>
          </w:p>
        </w:tc>
        <w:tc>
          <w:tcPr>
            <w:tcW w:w="1322" w:type="dxa"/>
            <w:tcBorders>
              <w:top w:val="single" w:sz="4" w:space="0" w:color="auto"/>
              <w:left w:val="nil"/>
              <w:bottom w:val="single" w:sz="4" w:space="0" w:color="auto"/>
              <w:right w:val="nil"/>
            </w:tcBorders>
            <w:shd w:val="clear" w:color="auto" w:fill="auto"/>
            <w:noWrap/>
            <w:hideMark/>
          </w:tcPr>
          <w:p w14:paraId="0C0645FA" w14:textId="5B635AF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 xml:space="preserve">Sugestivo de Déficit </w:t>
            </w:r>
            <w:r w:rsidR="004F7D14" w:rsidRPr="00831A7E">
              <w:rPr>
                <w:rFonts w:ascii="Times New Roman" w:eastAsia="Times New Roman" w:hAnsi="Times New Roman" w:cs="Times New Roman"/>
                <w:color w:val="000000"/>
                <w:sz w:val="20"/>
                <w:szCs w:val="20"/>
                <w:lang w:eastAsia="pt-BR"/>
              </w:rPr>
              <w:t>I</w:t>
            </w:r>
            <w:r w:rsidRPr="00831A7E">
              <w:rPr>
                <w:rFonts w:ascii="Times New Roman" w:eastAsia="Times New Roman" w:hAnsi="Times New Roman" w:cs="Times New Roman"/>
                <w:color w:val="000000"/>
                <w:sz w:val="20"/>
                <w:szCs w:val="20"/>
                <w:lang w:eastAsia="pt-BR"/>
              </w:rPr>
              <w:t>mportante</w:t>
            </w:r>
          </w:p>
        </w:tc>
        <w:tc>
          <w:tcPr>
            <w:tcW w:w="1323" w:type="dxa"/>
            <w:tcBorders>
              <w:top w:val="single" w:sz="4" w:space="0" w:color="auto"/>
              <w:left w:val="nil"/>
              <w:bottom w:val="single" w:sz="4" w:space="0" w:color="auto"/>
              <w:right w:val="nil"/>
            </w:tcBorders>
            <w:shd w:val="clear" w:color="auto" w:fill="auto"/>
            <w:noWrap/>
            <w:hideMark/>
          </w:tcPr>
          <w:p w14:paraId="67B730CE" w14:textId="76E08FD4" w:rsidR="00D871D6" w:rsidRPr="00831A7E" w:rsidRDefault="00FF1573"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N</w:t>
            </w:r>
          </w:p>
        </w:tc>
      </w:tr>
      <w:tr w:rsidR="00D871D6" w:rsidRPr="00831A7E" w14:paraId="3656994A" w14:textId="77777777" w:rsidTr="004F7D14">
        <w:trPr>
          <w:trHeight w:val="231"/>
        </w:trPr>
        <w:tc>
          <w:tcPr>
            <w:tcW w:w="709" w:type="dxa"/>
            <w:tcBorders>
              <w:top w:val="nil"/>
              <w:left w:val="nil"/>
              <w:bottom w:val="nil"/>
              <w:right w:val="nil"/>
            </w:tcBorders>
            <w:shd w:val="clear" w:color="auto" w:fill="auto"/>
            <w:noWrap/>
            <w:vAlign w:val="bottom"/>
            <w:hideMark/>
          </w:tcPr>
          <w:p w14:paraId="76AB4EDA"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TDAH</w:t>
            </w:r>
          </w:p>
        </w:tc>
        <w:tc>
          <w:tcPr>
            <w:tcW w:w="1418" w:type="dxa"/>
            <w:tcBorders>
              <w:top w:val="nil"/>
              <w:left w:val="nil"/>
              <w:bottom w:val="nil"/>
              <w:right w:val="nil"/>
            </w:tcBorders>
            <w:shd w:val="clear" w:color="auto" w:fill="auto"/>
            <w:noWrap/>
            <w:vAlign w:val="bottom"/>
            <w:hideMark/>
          </w:tcPr>
          <w:p w14:paraId="24FCE7C6"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12</w:t>
            </w:r>
          </w:p>
        </w:tc>
        <w:tc>
          <w:tcPr>
            <w:tcW w:w="1417" w:type="dxa"/>
            <w:tcBorders>
              <w:top w:val="nil"/>
              <w:left w:val="nil"/>
              <w:bottom w:val="nil"/>
              <w:right w:val="nil"/>
            </w:tcBorders>
            <w:shd w:val="clear" w:color="auto" w:fill="auto"/>
            <w:noWrap/>
            <w:vAlign w:val="bottom"/>
          </w:tcPr>
          <w:p w14:paraId="15546409" w14:textId="49EDCF38"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276" w:type="dxa"/>
            <w:tcBorders>
              <w:top w:val="nil"/>
              <w:left w:val="nil"/>
              <w:bottom w:val="nil"/>
              <w:right w:val="nil"/>
            </w:tcBorders>
            <w:shd w:val="clear" w:color="auto" w:fill="auto"/>
            <w:noWrap/>
            <w:vAlign w:val="bottom"/>
          </w:tcPr>
          <w:p w14:paraId="618E5D39" w14:textId="43337CB9"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2D9B3723" w14:textId="294495D5"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hideMark/>
          </w:tcPr>
          <w:p w14:paraId="369F14FA"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c>
          <w:tcPr>
            <w:tcW w:w="1323" w:type="dxa"/>
            <w:tcBorders>
              <w:top w:val="nil"/>
              <w:left w:val="nil"/>
              <w:bottom w:val="nil"/>
              <w:right w:val="nil"/>
            </w:tcBorders>
            <w:shd w:val="clear" w:color="auto" w:fill="auto"/>
            <w:noWrap/>
            <w:vAlign w:val="bottom"/>
            <w:hideMark/>
          </w:tcPr>
          <w:p w14:paraId="0FF49DCE"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13</w:t>
            </w:r>
          </w:p>
        </w:tc>
      </w:tr>
      <w:tr w:rsidR="00D871D6" w:rsidRPr="00831A7E" w14:paraId="4A91CC33" w14:textId="77777777" w:rsidTr="004F7D14">
        <w:trPr>
          <w:trHeight w:val="231"/>
        </w:trPr>
        <w:tc>
          <w:tcPr>
            <w:tcW w:w="709" w:type="dxa"/>
            <w:tcBorders>
              <w:top w:val="nil"/>
              <w:left w:val="nil"/>
              <w:bottom w:val="nil"/>
              <w:right w:val="nil"/>
            </w:tcBorders>
            <w:shd w:val="clear" w:color="auto" w:fill="auto"/>
            <w:noWrap/>
            <w:vAlign w:val="bottom"/>
            <w:hideMark/>
          </w:tcPr>
          <w:p w14:paraId="3343813A"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TPA</w:t>
            </w:r>
          </w:p>
        </w:tc>
        <w:tc>
          <w:tcPr>
            <w:tcW w:w="1418" w:type="dxa"/>
            <w:tcBorders>
              <w:top w:val="nil"/>
              <w:left w:val="nil"/>
              <w:bottom w:val="nil"/>
              <w:right w:val="nil"/>
            </w:tcBorders>
            <w:shd w:val="clear" w:color="auto" w:fill="auto"/>
            <w:noWrap/>
            <w:vAlign w:val="bottom"/>
            <w:hideMark/>
          </w:tcPr>
          <w:p w14:paraId="3FC163A4"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3</w:t>
            </w:r>
          </w:p>
        </w:tc>
        <w:tc>
          <w:tcPr>
            <w:tcW w:w="1417" w:type="dxa"/>
            <w:tcBorders>
              <w:top w:val="nil"/>
              <w:left w:val="nil"/>
              <w:bottom w:val="nil"/>
              <w:right w:val="nil"/>
            </w:tcBorders>
            <w:shd w:val="clear" w:color="auto" w:fill="auto"/>
            <w:noWrap/>
            <w:vAlign w:val="bottom"/>
            <w:hideMark/>
          </w:tcPr>
          <w:p w14:paraId="79184EAF"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c>
          <w:tcPr>
            <w:tcW w:w="1276" w:type="dxa"/>
            <w:tcBorders>
              <w:top w:val="nil"/>
              <w:left w:val="nil"/>
              <w:bottom w:val="nil"/>
              <w:right w:val="nil"/>
            </w:tcBorders>
            <w:shd w:val="clear" w:color="auto" w:fill="auto"/>
            <w:noWrap/>
            <w:vAlign w:val="bottom"/>
          </w:tcPr>
          <w:p w14:paraId="348F940C" w14:textId="51FF2DE5"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032F6F99" w14:textId="4734D0F0"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tcPr>
          <w:p w14:paraId="4DD8EEE3" w14:textId="504068BE"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3" w:type="dxa"/>
            <w:tcBorders>
              <w:top w:val="nil"/>
              <w:left w:val="nil"/>
              <w:bottom w:val="nil"/>
              <w:right w:val="nil"/>
            </w:tcBorders>
            <w:shd w:val="clear" w:color="auto" w:fill="auto"/>
            <w:noWrap/>
            <w:vAlign w:val="bottom"/>
            <w:hideMark/>
          </w:tcPr>
          <w:p w14:paraId="16515E0D"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4</w:t>
            </w:r>
          </w:p>
        </w:tc>
      </w:tr>
      <w:tr w:rsidR="00D871D6" w:rsidRPr="00831A7E" w14:paraId="02C23881" w14:textId="77777777" w:rsidTr="004F7D14">
        <w:trPr>
          <w:trHeight w:val="231"/>
        </w:trPr>
        <w:tc>
          <w:tcPr>
            <w:tcW w:w="709" w:type="dxa"/>
            <w:tcBorders>
              <w:top w:val="nil"/>
              <w:left w:val="nil"/>
              <w:bottom w:val="nil"/>
              <w:right w:val="nil"/>
            </w:tcBorders>
            <w:shd w:val="clear" w:color="auto" w:fill="auto"/>
            <w:noWrap/>
            <w:vAlign w:val="bottom"/>
            <w:hideMark/>
          </w:tcPr>
          <w:p w14:paraId="56539233"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TGD</w:t>
            </w:r>
          </w:p>
        </w:tc>
        <w:tc>
          <w:tcPr>
            <w:tcW w:w="1418" w:type="dxa"/>
            <w:tcBorders>
              <w:top w:val="nil"/>
              <w:left w:val="nil"/>
              <w:bottom w:val="nil"/>
              <w:right w:val="nil"/>
            </w:tcBorders>
            <w:shd w:val="clear" w:color="auto" w:fill="auto"/>
            <w:noWrap/>
            <w:vAlign w:val="bottom"/>
            <w:hideMark/>
          </w:tcPr>
          <w:p w14:paraId="5F1C87EA"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2</w:t>
            </w:r>
          </w:p>
        </w:tc>
        <w:tc>
          <w:tcPr>
            <w:tcW w:w="1417" w:type="dxa"/>
            <w:tcBorders>
              <w:top w:val="nil"/>
              <w:left w:val="nil"/>
              <w:bottom w:val="nil"/>
              <w:right w:val="nil"/>
            </w:tcBorders>
            <w:shd w:val="clear" w:color="auto" w:fill="auto"/>
            <w:noWrap/>
            <w:vAlign w:val="bottom"/>
          </w:tcPr>
          <w:p w14:paraId="64971098" w14:textId="53B5DD9F"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276" w:type="dxa"/>
            <w:tcBorders>
              <w:top w:val="nil"/>
              <w:left w:val="nil"/>
              <w:bottom w:val="nil"/>
              <w:right w:val="nil"/>
            </w:tcBorders>
            <w:shd w:val="clear" w:color="auto" w:fill="auto"/>
            <w:noWrap/>
            <w:vAlign w:val="bottom"/>
          </w:tcPr>
          <w:p w14:paraId="12648956" w14:textId="4590811C"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35F57438" w14:textId="0303FD6C"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tcPr>
          <w:p w14:paraId="2478693A" w14:textId="4B1DD7D9"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3" w:type="dxa"/>
            <w:tcBorders>
              <w:top w:val="nil"/>
              <w:left w:val="nil"/>
              <w:bottom w:val="nil"/>
              <w:right w:val="nil"/>
            </w:tcBorders>
            <w:shd w:val="clear" w:color="auto" w:fill="auto"/>
            <w:noWrap/>
            <w:vAlign w:val="bottom"/>
            <w:hideMark/>
          </w:tcPr>
          <w:p w14:paraId="3A69AA97"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2</w:t>
            </w:r>
          </w:p>
        </w:tc>
      </w:tr>
      <w:tr w:rsidR="00D871D6" w:rsidRPr="00831A7E" w14:paraId="339B17F8" w14:textId="77777777" w:rsidTr="004F7D14">
        <w:trPr>
          <w:trHeight w:val="231"/>
        </w:trPr>
        <w:tc>
          <w:tcPr>
            <w:tcW w:w="709" w:type="dxa"/>
            <w:tcBorders>
              <w:top w:val="nil"/>
              <w:left w:val="nil"/>
              <w:bottom w:val="nil"/>
              <w:right w:val="nil"/>
            </w:tcBorders>
            <w:shd w:val="clear" w:color="auto" w:fill="auto"/>
            <w:noWrap/>
            <w:vAlign w:val="bottom"/>
            <w:hideMark/>
          </w:tcPr>
          <w:p w14:paraId="6FFE5193"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AH</w:t>
            </w:r>
          </w:p>
        </w:tc>
        <w:tc>
          <w:tcPr>
            <w:tcW w:w="1418" w:type="dxa"/>
            <w:tcBorders>
              <w:top w:val="nil"/>
              <w:left w:val="nil"/>
              <w:bottom w:val="nil"/>
              <w:right w:val="nil"/>
            </w:tcBorders>
            <w:shd w:val="clear" w:color="auto" w:fill="auto"/>
            <w:noWrap/>
            <w:vAlign w:val="bottom"/>
            <w:hideMark/>
          </w:tcPr>
          <w:p w14:paraId="0A8C74C3"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c>
          <w:tcPr>
            <w:tcW w:w="1417" w:type="dxa"/>
            <w:tcBorders>
              <w:top w:val="nil"/>
              <w:left w:val="nil"/>
              <w:bottom w:val="nil"/>
              <w:right w:val="nil"/>
            </w:tcBorders>
            <w:shd w:val="clear" w:color="auto" w:fill="auto"/>
            <w:noWrap/>
            <w:vAlign w:val="bottom"/>
          </w:tcPr>
          <w:p w14:paraId="496806B9" w14:textId="42971E7F"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276" w:type="dxa"/>
            <w:tcBorders>
              <w:top w:val="nil"/>
              <w:left w:val="nil"/>
              <w:bottom w:val="nil"/>
              <w:right w:val="nil"/>
            </w:tcBorders>
            <w:shd w:val="clear" w:color="auto" w:fill="auto"/>
            <w:noWrap/>
            <w:vAlign w:val="bottom"/>
          </w:tcPr>
          <w:p w14:paraId="36D6D5A7" w14:textId="1DA79F4D"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6ACF3777" w14:textId="22F7F611"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tcPr>
          <w:p w14:paraId="2A8FBB3B" w14:textId="52EE81D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3" w:type="dxa"/>
            <w:tcBorders>
              <w:top w:val="nil"/>
              <w:left w:val="nil"/>
              <w:bottom w:val="nil"/>
              <w:right w:val="nil"/>
            </w:tcBorders>
            <w:shd w:val="clear" w:color="auto" w:fill="auto"/>
            <w:noWrap/>
            <w:vAlign w:val="bottom"/>
            <w:hideMark/>
          </w:tcPr>
          <w:p w14:paraId="670E8898"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r>
      <w:tr w:rsidR="00D871D6" w:rsidRPr="00831A7E" w14:paraId="199DC0A1" w14:textId="77777777" w:rsidTr="004F7D14">
        <w:trPr>
          <w:trHeight w:val="231"/>
        </w:trPr>
        <w:tc>
          <w:tcPr>
            <w:tcW w:w="709" w:type="dxa"/>
            <w:tcBorders>
              <w:top w:val="nil"/>
              <w:left w:val="nil"/>
              <w:bottom w:val="nil"/>
              <w:right w:val="nil"/>
            </w:tcBorders>
            <w:shd w:val="clear" w:color="auto" w:fill="auto"/>
            <w:noWrap/>
            <w:vAlign w:val="bottom"/>
            <w:hideMark/>
          </w:tcPr>
          <w:p w14:paraId="5FF35C62"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BV</w:t>
            </w:r>
          </w:p>
        </w:tc>
        <w:tc>
          <w:tcPr>
            <w:tcW w:w="1418" w:type="dxa"/>
            <w:tcBorders>
              <w:top w:val="nil"/>
              <w:left w:val="nil"/>
              <w:bottom w:val="nil"/>
              <w:right w:val="nil"/>
            </w:tcBorders>
            <w:shd w:val="clear" w:color="auto" w:fill="auto"/>
            <w:noWrap/>
            <w:vAlign w:val="bottom"/>
            <w:hideMark/>
          </w:tcPr>
          <w:p w14:paraId="162C0CE5" w14:textId="3A79B99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417" w:type="dxa"/>
            <w:tcBorders>
              <w:top w:val="nil"/>
              <w:left w:val="nil"/>
              <w:bottom w:val="nil"/>
              <w:right w:val="nil"/>
            </w:tcBorders>
            <w:shd w:val="clear" w:color="auto" w:fill="auto"/>
            <w:noWrap/>
            <w:vAlign w:val="bottom"/>
            <w:hideMark/>
          </w:tcPr>
          <w:p w14:paraId="32F7793F"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c>
          <w:tcPr>
            <w:tcW w:w="1276" w:type="dxa"/>
            <w:tcBorders>
              <w:top w:val="nil"/>
              <w:left w:val="nil"/>
              <w:bottom w:val="nil"/>
              <w:right w:val="nil"/>
            </w:tcBorders>
            <w:shd w:val="clear" w:color="auto" w:fill="auto"/>
            <w:noWrap/>
            <w:vAlign w:val="bottom"/>
          </w:tcPr>
          <w:p w14:paraId="5AF3275F" w14:textId="6AD1AC52"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3D3A5E46" w14:textId="08CCB729"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tcPr>
          <w:p w14:paraId="033F7974" w14:textId="309B4CA1"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3" w:type="dxa"/>
            <w:tcBorders>
              <w:top w:val="nil"/>
              <w:left w:val="nil"/>
              <w:bottom w:val="nil"/>
              <w:right w:val="nil"/>
            </w:tcBorders>
            <w:shd w:val="clear" w:color="auto" w:fill="auto"/>
            <w:noWrap/>
            <w:vAlign w:val="bottom"/>
            <w:hideMark/>
          </w:tcPr>
          <w:p w14:paraId="3522F856"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r>
      <w:tr w:rsidR="00D871D6" w:rsidRPr="00831A7E" w14:paraId="616C1F7E" w14:textId="77777777" w:rsidTr="004F7D14">
        <w:trPr>
          <w:trHeight w:val="231"/>
        </w:trPr>
        <w:tc>
          <w:tcPr>
            <w:tcW w:w="709" w:type="dxa"/>
            <w:tcBorders>
              <w:top w:val="nil"/>
              <w:left w:val="nil"/>
              <w:bottom w:val="nil"/>
              <w:right w:val="nil"/>
            </w:tcBorders>
            <w:shd w:val="clear" w:color="auto" w:fill="auto"/>
            <w:noWrap/>
            <w:vAlign w:val="bottom"/>
            <w:hideMark/>
          </w:tcPr>
          <w:p w14:paraId="53F3B29C" w14:textId="7AE93E6C"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TOD</w:t>
            </w:r>
          </w:p>
        </w:tc>
        <w:tc>
          <w:tcPr>
            <w:tcW w:w="1418" w:type="dxa"/>
            <w:tcBorders>
              <w:top w:val="nil"/>
              <w:left w:val="nil"/>
              <w:bottom w:val="nil"/>
              <w:right w:val="nil"/>
            </w:tcBorders>
            <w:shd w:val="clear" w:color="auto" w:fill="auto"/>
            <w:noWrap/>
            <w:vAlign w:val="bottom"/>
            <w:hideMark/>
          </w:tcPr>
          <w:p w14:paraId="4717E782"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c>
          <w:tcPr>
            <w:tcW w:w="1417" w:type="dxa"/>
            <w:tcBorders>
              <w:top w:val="nil"/>
              <w:left w:val="nil"/>
              <w:bottom w:val="nil"/>
              <w:right w:val="nil"/>
            </w:tcBorders>
            <w:shd w:val="clear" w:color="auto" w:fill="auto"/>
            <w:noWrap/>
            <w:vAlign w:val="bottom"/>
          </w:tcPr>
          <w:p w14:paraId="7B194216" w14:textId="7C82E131"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276" w:type="dxa"/>
            <w:tcBorders>
              <w:top w:val="nil"/>
              <w:left w:val="nil"/>
              <w:bottom w:val="nil"/>
              <w:right w:val="nil"/>
            </w:tcBorders>
            <w:shd w:val="clear" w:color="auto" w:fill="auto"/>
            <w:noWrap/>
            <w:vAlign w:val="bottom"/>
          </w:tcPr>
          <w:p w14:paraId="13093A5C" w14:textId="24D0E235"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64109258" w14:textId="7675EB4D"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tcPr>
          <w:p w14:paraId="6ACB1946" w14:textId="50D780D2"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3" w:type="dxa"/>
            <w:tcBorders>
              <w:top w:val="nil"/>
              <w:left w:val="nil"/>
              <w:bottom w:val="nil"/>
              <w:right w:val="nil"/>
            </w:tcBorders>
            <w:shd w:val="clear" w:color="auto" w:fill="auto"/>
            <w:noWrap/>
            <w:vAlign w:val="bottom"/>
            <w:hideMark/>
          </w:tcPr>
          <w:p w14:paraId="0C95946F"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r>
      <w:tr w:rsidR="00D871D6" w:rsidRPr="00831A7E" w14:paraId="4C3202C4" w14:textId="77777777" w:rsidTr="004F7D14">
        <w:trPr>
          <w:trHeight w:val="231"/>
        </w:trPr>
        <w:tc>
          <w:tcPr>
            <w:tcW w:w="709" w:type="dxa"/>
            <w:tcBorders>
              <w:top w:val="nil"/>
              <w:left w:val="nil"/>
              <w:bottom w:val="nil"/>
              <w:right w:val="nil"/>
            </w:tcBorders>
            <w:shd w:val="clear" w:color="auto" w:fill="auto"/>
            <w:noWrap/>
            <w:vAlign w:val="bottom"/>
            <w:hideMark/>
          </w:tcPr>
          <w:p w14:paraId="0C011552"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DI</w:t>
            </w:r>
          </w:p>
        </w:tc>
        <w:tc>
          <w:tcPr>
            <w:tcW w:w="1418" w:type="dxa"/>
            <w:tcBorders>
              <w:top w:val="nil"/>
              <w:left w:val="nil"/>
              <w:bottom w:val="nil"/>
              <w:right w:val="nil"/>
            </w:tcBorders>
            <w:shd w:val="clear" w:color="auto" w:fill="auto"/>
            <w:noWrap/>
            <w:vAlign w:val="bottom"/>
            <w:hideMark/>
          </w:tcPr>
          <w:p w14:paraId="209B9786" w14:textId="3A57A28E"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4</w:t>
            </w:r>
          </w:p>
        </w:tc>
        <w:tc>
          <w:tcPr>
            <w:tcW w:w="1417" w:type="dxa"/>
            <w:tcBorders>
              <w:top w:val="nil"/>
              <w:left w:val="nil"/>
              <w:bottom w:val="nil"/>
              <w:right w:val="nil"/>
            </w:tcBorders>
            <w:shd w:val="clear" w:color="auto" w:fill="auto"/>
            <w:noWrap/>
            <w:vAlign w:val="bottom"/>
          </w:tcPr>
          <w:p w14:paraId="0C10B405" w14:textId="4F03EA44"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276" w:type="dxa"/>
            <w:tcBorders>
              <w:top w:val="nil"/>
              <w:left w:val="nil"/>
              <w:bottom w:val="nil"/>
              <w:right w:val="nil"/>
            </w:tcBorders>
            <w:shd w:val="clear" w:color="auto" w:fill="auto"/>
            <w:noWrap/>
            <w:vAlign w:val="bottom"/>
          </w:tcPr>
          <w:p w14:paraId="77D6CA1A" w14:textId="643F13E2"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061440AF" w14:textId="62EAB57E"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tcPr>
          <w:p w14:paraId="52022927" w14:textId="61418E4B"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3" w:type="dxa"/>
            <w:tcBorders>
              <w:top w:val="nil"/>
              <w:left w:val="nil"/>
              <w:bottom w:val="nil"/>
              <w:right w:val="nil"/>
            </w:tcBorders>
            <w:shd w:val="clear" w:color="auto" w:fill="auto"/>
            <w:noWrap/>
            <w:vAlign w:val="bottom"/>
            <w:hideMark/>
          </w:tcPr>
          <w:p w14:paraId="37F1A41F" w14:textId="340893E2"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4</w:t>
            </w:r>
          </w:p>
        </w:tc>
      </w:tr>
      <w:tr w:rsidR="00D871D6" w:rsidRPr="00831A7E" w14:paraId="31D6B697" w14:textId="77777777" w:rsidTr="004F7D14">
        <w:trPr>
          <w:trHeight w:val="239"/>
        </w:trPr>
        <w:tc>
          <w:tcPr>
            <w:tcW w:w="709" w:type="dxa"/>
            <w:tcBorders>
              <w:top w:val="nil"/>
              <w:left w:val="nil"/>
              <w:bottom w:val="nil"/>
              <w:right w:val="nil"/>
            </w:tcBorders>
            <w:shd w:val="clear" w:color="auto" w:fill="auto"/>
            <w:noWrap/>
            <w:vAlign w:val="bottom"/>
            <w:hideMark/>
          </w:tcPr>
          <w:p w14:paraId="35A0FA50"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DF</w:t>
            </w:r>
          </w:p>
        </w:tc>
        <w:tc>
          <w:tcPr>
            <w:tcW w:w="1418" w:type="dxa"/>
            <w:tcBorders>
              <w:top w:val="nil"/>
              <w:left w:val="nil"/>
              <w:bottom w:val="nil"/>
              <w:right w:val="nil"/>
            </w:tcBorders>
            <w:shd w:val="clear" w:color="auto" w:fill="auto"/>
            <w:noWrap/>
            <w:vAlign w:val="bottom"/>
            <w:hideMark/>
          </w:tcPr>
          <w:p w14:paraId="7BAF921F"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3</w:t>
            </w:r>
          </w:p>
        </w:tc>
        <w:tc>
          <w:tcPr>
            <w:tcW w:w="1417" w:type="dxa"/>
            <w:tcBorders>
              <w:top w:val="nil"/>
              <w:left w:val="nil"/>
              <w:bottom w:val="nil"/>
              <w:right w:val="nil"/>
            </w:tcBorders>
            <w:shd w:val="clear" w:color="auto" w:fill="auto"/>
            <w:noWrap/>
            <w:vAlign w:val="bottom"/>
          </w:tcPr>
          <w:p w14:paraId="19859EE8" w14:textId="01904286"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276" w:type="dxa"/>
            <w:tcBorders>
              <w:top w:val="nil"/>
              <w:left w:val="nil"/>
              <w:bottom w:val="nil"/>
              <w:right w:val="nil"/>
            </w:tcBorders>
            <w:shd w:val="clear" w:color="auto" w:fill="auto"/>
            <w:noWrap/>
            <w:vAlign w:val="bottom"/>
          </w:tcPr>
          <w:p w14:paraId="362DF6A2" w14:textId="3E4BEB5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792" w:type="dxa"/>
            <w:tcBorders>
              <w:top w:val="nil"/>
              <w:left w:val="nil"/>
              <w:bottom w:val="nil"/>
              <w:right w:val="nil"/>
            </w:tcBorders>
            <w:shd w:val="clear" w:color="auto" w:fill="auto"/>
            <w:noWrap/>
            <w:vAlign w:val="bottom"/>
          </w:tcPr>
          <w:p w14:paraId="1C5B8237" w14:textId="2AFCC630"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w:t>
            </w:r>
          </w:p>
        </w:tc>
        <w:tc>
          <w:tcPr>
            <w:tcW w:w="1322" w:type="dxa"/>
            <w:tcBorders>
              <w:top w:val="nil"/>
              <w:left w:val="nil"/>
              <w:bottom w:val="nil"/>
              <w:right w:val="nil"/>
            </w:tcBorders>
            <w:shd w:val="clear" w:color="auto" w:fill="auto"/>
            <w:noWrap/>
            <w:vAlign w:val="bottom"/>
            <w:hideMark/>
          </w:tcPr>
          <w:p w14:paraId="7D9F37E4"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1</w:t>
            </w:r>
          </w:p>
        </w:tc>
        <w:tc>
          <w:tcPr>
            <w:tcW w:w="1323" w:type="dxa"/>
            <w:tcBorders>
              <w:top w:val="nil"/>
              <w:left w:val="nil"/>
              <w:bottom w:val="nil"/>
              <w:right w:val="nil"/>
            </w:tcBorders>
            <w:shd w:val="clear" w:color="auto" w:fill="auto"/>
            <w:noWrap/>
            <w:vAlign w:val="bottom"/>
            <w:hideMark/>
          </w:tcPr>
          <w:p w14:paraId="603023B5" w14:textId="481E16EC"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3</w:t>
            </w:r>
          </w:p>
        </w:tc>
      </w:tr>
      <w:tr w:rsidR="00D871D6" w:rsidRPr="00831A7E" w14:paraId="5D199E5D" w14:textId="77777777" w:rsidTr="004F7D14">
        <w:trPr>
          <w:trHeight w:val="239"/>
        </w:trPr>
        <w:tc>
          <w:tcPr>
            <w:tcW w:w="709" w:type="dxa"/>
            <w:tcBorders>
              <w:top w:val="nil"/>
              <w:left w:val="nil"/>
              <w:bottom w:val="single" w:sz="8" w:space="0" w:color="auto"/>
              <w:right w:val="nil"/>
            </w:tcBorders>
            <w:shd w:val="clear" w:color="auto" w:fill="auto"/>
            <w:noWrap/>
            <w:vAlign w:val="bottom"/>
          </w:tcPr>
          <w:p w14:paraId="40819C9B" w14:textId="4C369600"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Total</w:t>
            </w:r>
          </w:p>
        </w:tc>
        <w:tc>
          <w:tcPr>
            <w:tcW w:w="1418" w:type="dxa"/>
            <w:tcBorders>
              <w:top w:val="nil"/>
              <w:left w:val="nil"/>
              <w:bottom w:val="single" w:sz="8" w:space="0" w:color="auto"/>
              <w:right w:val="nil"/>
            </w:tcBorders>
            <w:shd w:val="clear" w:color="auto" w:fill="auto"/>
            <w:noWrap/>
            <w:vAlign w:val="bottom"/>
          </w:tcPr>
          <w:p w14:paraId="4761B98E"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p>
        </w:tc>
        <w:tc>
          <w:tcPr>
            <w:tcW w:w="1417" w:type="dxa"/>
            <w:tcBorders>
              <w:top w:val="nil"/>
              <w:left w:val="nil"/>
              <w:bottom w:val="single" w:sz="8" w:space="0" w:color="auto"/>
              <w:right w:val="nil"/>
            </w:tcBorders>
            <w:shd w:val="clear" w:color="auto" w:fill="auto"/>
            <w:noWrap/>
            <w:vAlign w:val="bottom"/>
          </w:tcPr>
          <w:p w14:paraId="0B184EDC"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p>
        </w:tc>
        <w:tc>
          <w:tcPr>
            <w:tcW w:w="1276" w:type="dxa"/>
            <w:tcBorders>
              <w:top w:val="nil"/>
              <w:left w:val="nil"/>
              <w:bottom w:val="single" w:sz="8" w:space="0" w:color="auto"/>
              <w:right w:val="nil"/>
            </w:tcBorders>
            <w:shd w:val="clear" w:color="auto" w:fill="auto"/>
            <w:noWrap/>
            <w:vAlign w:val="bottom"/>
          </w:tcPr>
          <w:p w14:paraId="3E961255"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p>
        </w:tc>
        <w:tc>
          <w:tcPr>
            <w:tcW w:w="1792" w:type="dxa"/>
            <w:tcBorders>
              <w:top w:val="nil"/>
              <w:left w:val="nil"/>
              <w:bottom w:val="single" w:sz="8" w:space="0" w:color="auto"/>
              <w:right w:val="nil"/>
            </w:tcBorders>
            <w:shd w:val="clear" w:color="auto" w:fill="auto"/>
            <w:noWrap/>
            <w:vAlign w:val="bottom"/>
          </w:tcPr>
          <w:p w14:paraId="1E4A1A80"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p>
        </w:tc>
        <w:tc>
          <w:tcPr>
            <w:tcW w:w="1322" w:type="dxa"/>
            <w:tcBorders>
              <w:top w:val="nil"/>
              <w:left w:val="nil"/>
              <w:bottom w:val="single" w:sz="8" w:space="0" w:color="auto"/>
              <w:right w:val="nil"/>
            </w:tcBorders>
            <w:shd w:val="clear" w:color="auto" w:fill="auto"/>
            <w:noWrap/>
            <w:vAlign w:val="bottom"/>
          </w:tcPr>
          <w:p w14:paraId="1BE76F41" w14:textId="77777777"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p>
        </w:tc>
        <w:tc>
          <w:tcPr>
            <w:tcW w:w="1323" w:type="dxa"/>
            <w:tcBorders>
              <w:top w:val="nil"/>
              <w:left w:val="nil"/>
              <w:bottom w:val="single" w:sz="8" w:space="0" w:color="auto"/>
              <w:right w:val="nil"/>
            </w:tcBorders>
            <w:shd w:val="clear" w:color="auto" w:fill="auto"/>
            <w:noWrap/>
            <w:vAlign w:val="bottom"/>
          </w:tcPr>
          <w:p w14:paraId="18A3C06C" w14:textId="53EBAE1D" w:rsidR="00D871D6" w:rsidRPr="00831A7E" w:rsidRDefault="00D871D6" w:rsidP="002E100C">
            <w:pPr>
              <w:spacing w:line="240" w:lineRule="auto"/>
              <w:jc w:val="left"/>
              <w:rPr>
                <w:rFonts w:ascii="Times New Roman" w:eastAsia="Times New Roman" w:hAnsi="Times New Roman" w:cs="Times New Roman"/>
                <w:color w:val="000000"/>
                <w:sz w:val="20"/>
                <w:szCs w:val="20"/>
                <w:lang w:eastAsia="pt-BR"/>
              </w:rPr>
            </w:pPr>
            <w:r w:rsidRPr="00831A7E">
              <w:rPr>
                <w:rFonts w:ascii="Times New Roman" w:eastAsia="Times New Roman" w:hAnsi="Times New Roman" w:cs="Times New Roman"/>
                <w:color w:val="000000"/>
                <w:sz w:val="20"/>
                <w:szCs w:val="20"/>
                <w:lang w:eastAsia="pt-BR"/>
              </w:rPr>
              <w:t>31</w:t>
            </w:r>
          </w:p>
        </w:tc>
      </w:tr>
    </w:tbl>
    <w:p w14:paraId="041AEF5B" w14:textId="77777777" w:rsidR="004F7D14" w:rsidRPr="00831A7E" w:rsidRDefault="004F7D14" w:rsidP="00681108">
      <w:pPr>
        <w:spacing w:line="276" w:lineRule="auto"/>
        <w:jc w:val="left"/>
        <w:rPr>
          <w:rFonts w:ascii="Times New Roman" w:hAnsi="Times New Roman" w:cs="Times New Roman"/>
          <w:szCs w:val="24"/>
        </w:rPr>
      </w:pPr>
      <w:r w:rsidRPr="00831A7E">
        <w:rPr>
          <w:rFonts w:ascii="Times New Roman" w:hAnsi="Times New Roman" w:cs="Times New Roman"/>
          <w:szCs w:val="24"/>
        </w:rPr>
        <w:t>Legenda: TDAH – Transtorno de Atenção e Hiperatividade; TPA – Transtorno do Processamento Auditivo; TGD – Transtorno Global do Desenvolvimento; AH – Altas Habilidades; BV – Baixa Visão; TOD – Transtorno Opositor Desafiador; DI – Deficiência Intelectual; DF – Deficiência Física.</w:t>
      </w:r>
    </w:p>
    <w:p w14:paraId="55145C7C" w14:textId="77777777" w:rsidR="00871AF4" w:rsidRPr="00831A7E" w:rsidRDefault="00871AF4" w:rsidP="00ED5700">
      <w:pPr>
        <w:jc w:val="left"/>
        <w:rPr>
          <w:rFonts w:ascii="Times New Roman" w:hAnsi="Times New Roman" w:cs="Times New Roman"/>
          <w:sz w:val="24"/>
          <w:szCs w:val="24"/>
        </w:rPr>
      </w:pPr>
    </w:p>
    <w:p w14:paraId="1C961CF2" w14:textId="12D45E05" w:rsidR="00871AF4" w:rsidRDefault="00871AF4" w:rsidP="00ED5700">
      <w:pPr>
        <w:jc w:val="left"/>
        <w:rPr>
          <w:rFonts w:ascii="Times New Roman" w:hAnsi="Times New Roman" w:cs="Times New Roman"/>
          <w:sz w:val="24"/>
          <w:szCs w:val="24"/>
        </w:rPr>
      </w:pPr>
      <w:r w:rsidRPr="00831A7E">
        <w:rPr>
          <w:rFonts w:ascii="Times New Roman" w:hAnsi="Times New Roman" w:cs="Times New Roman"/>
          <w:sz w:val="24"/>
          <w:szCs w:val="24"/>
        </w:rPr>
        <w:t xml:space="preserve">Na avaliação da compreensão ambos os gráficos demostraram resultados adequados na avaliação da maior parte dos escolares do PAEE. Para comparar o desempenho dos escolares nas variáveis de Fluência de Leitura, foi aplicado o </w:t>
      </w:r>
      <w:r w:rsidRPr="00831A7E">
        <w:rPr>
          <w:rFonts w:ascii="Times New Roman" w:hAnsi="Times New Roman" w:cs="Times New Roman"/>
          <w:i/>
          <w:sz w:val="24"/>
          <w:szCs w:val="24"/>
        </w:rPr>
        <w:t>Test t de Student</w:t>
      </w:r>
      <w:r w:rsidRPr="00831A7E">
        <w:rPr>
          <w:rFonts w:ascii="Times New Roman" w:hAnsi="Times New Roman" w:cs="Times New Roman"/>
          <w:sz w:val="24"/>
          <w:szCs w:val="24"/>
        </w:rPr>
        <w:t xml:space="preserve"> para duas amostras independentes, os resultados foram expressos na Tabela </w:t>
      </w:r>
      <w:r w:rsidR="009B0675" w:rsidRPr="00831A7E">
        <w:rPr>
          <w:rFonts w:ascii="Times New Roman" w:hAnsi="Times New Roman" w:cs="Times New Roman"/>
          <w:sz w:val="24"/>
          <w:szCs w:val="24"/>
        </w:rPr>
        <w:t>3</w:t>
      </w:r>
      <w:r w:rsidRPr="00831A7E">
        <w:rPr>
          <w:rFonts w:ascii="Times New Roman" w:hAnsi="Times New Roman" w:cs="Times New Roman"/>
          <w:sz w:val="24"/>
          <w:szCs w:val="24"/>
        </w:rPr>
        <w:t>.</w:t>
      </w:r>
    </w:p>
    <w:p w14:paraId="7827B16A" w14:textId="77777777" w:rsidR="00ED5700" w:rsidRPr="00831A7E" w:rsidRDefault="00ED5700" w:rsidP="00ED5700">
      <w:pPr>
        <w:jc w:val="left"/>
        <w:rPr>
          <w:rFonts w:ascii="Times New Roman" w:hAnsi="Times New Roman" w:cs="Times New Roman"/>
          <w:sz w:val="24"/>
          <w:szCs w:val="24"/>
        </w:rPr>
      </w:pPr>
    </w:p>
    <w:p w14:paraId="45E12796" w14:textId="5CBA4762" w:rsidR="00871AF4" w:rsidRDefault="00871AF4" w:rsidP="00ED5700">
      <w:pPr>
        <w:jc w:val="left"/>
        <w:rPr>
          <w:rFonts w:ascii="Times New Roman" w:hAnsi="Times New Roman" w:cs="Times New Roman"/>
          <w:sz w:val="24"/>
          <w:szCs w:val="24"/>
        </w:rPr>
      </w:pPr>
      <w:r w:rsidRPr="00880FAE">
        <w:rPr>
          <w:rFonts w:ascii="Times New Roman" w:hAnsi="Times New Roman" w:cs="Times New Roman"/>
          <w:sz w:val="24"/>
          <w:szCs w:val="24"/>
        </w:rPr>
        <w:t xml:space="preserve">Tabela </w:t>
      </w:r>
      <w:r w:rsidR="000E3C01" w:rsidRPr="00880FAE">
        <w:rPr>
          <w:rFonts w:ascii="Times New Roman" w:hAnsi="Times New Roman" w:cs="Times New Roman"/>
          <w:sz w:val="24"/>
          <w:szCs w:val="24"/>
        </w:rPr>
        <w:t>3</w:t>
      </w:r>
      <w:r w:rsidR="00420210">
        <w:rPr>
          <w:rFonts w:ascii="Times New Roman" w:hAnsi="Times New Roman" w:cs="Times New Roman"/>
          <w:sz w:val="24"/>
          <w:szCs w:val="24"/>
        </w:rPr>
        <w:t xml:space="preserve"> </w:t>
      </w:r>
      <w:r w:rsidR="00420210" w:rsidRPr="00420210">
        <w:rPr>
          <w:rFonts w:ascii="Times New Roman" w:hAnsi="Times New Roman" w:cs="Times New Roman"/>
          <w:b/>
          <w:sz w:val="24"/>
          <w:szCs w:val="24"/>
        </w:rPr>
        <w:t>—</w:t>
      </w:r>
      <w:r w:rsidR="00420210">
        <w:rPr>
          <w:rFonts w:ascii="Times New Roman" w:hAnsi="Times New Roman" w:cs="Times New Roman"/>
          <w:b/>
          <w:sz w:val="24"/>
          <w:szCs w:val="24"/>
        </w:rPr>
        <w:t xml:space="preserve"> </w:t>
      </w:r>
      <w:r w:rsidRPr="00880FAE">
        <w:rPr>
          <w:rFonts w:ascii="Times New Roman" w:hAnsi="Times New Roman" w:cs="Times New Roman"/>
          <w:sz w:val="24"/>
          <w:szCs w:val="24"/>
        </w:rPr>
        <w:t>Resultados obtidos na comparação entre as variáveis avaliadas na compreensão de leitura entre grupos e intragrupos</w:t>
      </w:r>
    </w:p>
    <w:p w14:paraId="71515D5B" w14:textId="77777777" w:rsidR="00ED5700" w:rsidRPr="00880FAE" w:rsidRDefault="00ED5700" w:rsidP="00ED5700">
      <w:pPr>
        <w:jc w:val="left"/>
        <w:rPr>
          <w:rFonts w:ascii="Times New Roman" w:hAnsi="Times New Roman" w:cs="Times New Roman"/>
          <w:sz w:val="24"/>
          <w:szCs w:val="24"/>
        </w:rPr>
      </w:pPr>
    </w:p>
    <w:tbl>
      <w:tblPr>
        <w:tblW w:w="8712" w:type="dxa"/>
        <w:tblInd w:w="70" w:type="dxa"/>
        <w:tblCellMar>
          <w:left w:w="70" w:type="dxa"/>
          <w:right w:w="70" w:type="dxa"/>
        </w:tblCellMar>
        <w:tblLook w:val="04A0" w:firstRow="1" w:lastRow="0" w:firstColumn="1" w:lastColumn="0" w:noHBand="0" w:noVBand="1"/>
      </w:tblPr>
      <w:tblGrid>
        <w:gridCol w:w="2510"/>
        <w:gridCol w:w="1361"/>
        <w:gridCol w:w="196"/>
        <w:gridCol w:w="3284"/>
        <w:gridCol w:w="1361"/>
      </w:tblGrid>
      <w:tr w:rsidR="00871AF4" w:rsidRPr="00831A7E" w14:paraId="65BD5444" w14:textId="77777777" w:rsidTr="006A3D65">
        <w:trPr>
          <w:trHeight w:val="300"/>
        </w:trPr>
        <w:tc>
          <w:tcPr>
            <w:tcW w:w="8712" w:type="dxa"/>
            <w:gridSpan w:val="5"/>
            <w:tcBorders>
              <w:top w:val="single" w:sz="4" w:space="0" w:color="auto"/>
              <w:left w:val="nil"/>
              <w:bottom w:val="single" w:sz="8" w:space="0" w:color="auto"/>
              <w:right w:val="nil"/>
            </w:tcBorders>
            <w:shd w:val="clear" w:color="000000" w:fill="FFFFFF"/>
            <w:noWrap/>
            <w:vAlign w:val="center"/>
            <w:hideMark/>
          </w:tcPr>
          <w:p w14:paraId="69B87DC1"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GC X GI</w:t>
            </w:r>
          </w:p>
        </w:tc>
      </w:tr>
      <w:tr w:rsidR="00871AF4" w:rsidRPr="00831A7E" w14:paraId="1494AAFF" w14:textId="77777777" w:rsidTr="006A3D65">
        <w:trPr>
          <w:trHeight w:val="290"/>
        </w:trPr>
        <w:tc>
          <w:tcPr>
            <w:tcW w:w="2510" w:type="dxa"/>
            <w:tcBorders>
              <w:top w:val="nil"/>
              <w:left w:val="nil"/>
              <w:bottom w:val="nil"/>
              <w:right w:val="nil"/>
            </w:tcBorders>
            <w:shd w:val="clear" w:color="000000" w:fill="FFFFFF"/>
            <w:noWrap/>
            <w:vAlign w:val="center"/>
            <w:hideMark/>
          </w:tcPr>
          <w:p w14:paraId="2B5697E9" w14:textId="77777777" w:rsidR="00871AF4" w:rsidRPr="00831A7E" w:rsidRDefault="00871AF4" w:rsidP="002E100C">
            <w:pPr>
              <w:spacing w:line="240" w:lineRule="auto"/>
              <w:jc w:val="left"/>
              <w:rPr>
                <w:rFonts w:ascii="Times New Roman" w:eastAsia="Times New Roman" w:hAnsi="Times New Roman" w:cs="Times New Roman"/>
                <w:lang w:eastAsia="pt-BR"/>
              </w:rPr>
            </w:pPr>
            <w:r w:rsidRPr="00831A7E">
              <w:rPr>
                <w:rFonts w:ascii="Times New Roman" w:eastAsia="Times New Roman" w:hAnsi="Times New Roman" w:cs="Times New Roman"/>
                <w:lang w:eastAsia="pt-BR"/>
              </w:rPr>
              <w:t>Taxa-texto</w:t>
            </w:r>
          </w:p>
        </w:tc>
        <w:tc>
          <w:tcPr>
            <w:tcW w:w="1361" w:type="dxa"/>
            <w:tcBorders>
              <w:top w:val="nil"/>
              <w:left w:val="nil"/>
              <w:bottom w:val="nil"/>
              <w:right w:val="nil"/>
            </w:tcBorders>
            <w:shd w:val="clear" w:color="000000" w:fill="FFFFFF"/>
            <w:noWrap/>
            <w:vAlign w:val="center"/>
            <w:hideMark/>
          </w:tcPr>
          <w:p w14:paraId="340E8C01"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0,0074*</w:t>
            </w:r>
          </w:p>
        </w:tc>
        <w:tc>
          <w:tcPr>
            <w:tcW w:w="196" w:type="dxa"/>
            <w:tcBorders>
              <w:top w:val="nil"/>
              <w:left w:val="nil"/>
              <w:bottom w:val="nil"/>
              <w:right w:val="nil"/>
            </w:tcBorders>
            <w:shd w:val="clear" w:color="000000" w:fill="FFFFFF"/>
            <w:noWrap/>
            <w:vAlign w:val="center"/>
            <w:hideMark/>
          </w:tcPr>
          <w:p w14:paraId="2D1DCB58"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c>
          <w:tcPr>
            <w:tcW w:w="3284" w:type="dxa"/>
            <w:tcBorders>
              <w:top w:val="nil"/>
              <w:left w:val="nil"/>
              <w:bottom w:val="nil"/>
              <w:right w:val="nil"/>
            </w:tcBorders>
            <w:shd w:val="clear" w:color="000000" w:fill="FFFFFF"/>
            <w:noWrap/>
            <w:vAlign w:val="center"/>
            <w:hideMark/>
          </w:tcPr>
          <w:p w14:paraId="6B0EC5A9"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Acurácia-texto</w:t>
            </w:r>
          </w:p>
        </w:tc>
        <w:tc>
          <w:tcPr>
            <w:tcW w:w="1361" w:type="dxa"/>
            <w:tcBorders>
              <w:top w:val="nil"/>
              <w:left w:val="nil"/>
              <w:bottom w:val="nil"/>
              <w:right w:val="nil"/>
            </w:tcBorders>
            <w:shd w:val="clear" w:color="000000" w:fill="FFFFFF"/>
            <w:noWrap/>
            <w:vAlign w:val="center"/>
            <w:hideMark/>
          </w:tcPr>
          <w:p w14:paraId="30C1C44E"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0,0150*</w:t>
            </w:r>
          </w:p>
        </w:tc>
      </w:tr>
      <w:tr w:rsidR="00871AF4" w:rsidRPr="00831A7E" w14:paraId="1D7F0E91" w14:textId="77777777" w:rsidTr="006A3D65">
        <w:trPr>
          <w:trHeight w:val="290"/>
        </w:trPr>
        <w:tc>
          <w:tcPr>
            <w:tcW w:w="2510" w:type="dxa"/>
            <w:tcBorders>
              <w:top w:val="nil"/>
              <w:left w:val="nil"/>
              <w:bottom w:val="nil"/>
              <w:right w:val="nil"/>
            </w:tcBorders>
            <w:shd w:val="clear" w:color="000000" w:fill="FFFFFF"/>
            <w:noWrap/>
            <w:vAlign w:val="center"/>
            <w:hideMark/>
          </w:tcPr>
          <w:p w14:paraId="2670B721" w14:textId="77777777" w:rsidR="00871AF4" w:rsidRPr="00831A7E" w:rsidRDefault="00871AF4" w:rsidP="002E100C">
            <w:pPr>
              <w:spacing w:line="240" w:lineRule="auto"/>
              <w:jc w:val="left"/>
              <w:rPr>
                <w:rFonts w:ascii="Times New Roman" w:eastAsia="Times New Roman" w:hAnsi="Times New Roman" w:cs="Times New Roman"/>
                <w:lang w:eastAsia="pt-BR"/>
              </w:rPr>
            </w:pPr>
            <w:r w:rsidRPr="00831A7E">
              <w:rPr>
                <w:rFonts w:ascii="Times New Roman" w:eastAsia="Times New Roman" w:hAnsi="Times New Roman" w:cs="Times New Roman"/>
                <w:lang w:eastAsia="pt-BR"/>
              </w:rPr>
              <w:t xml:space="preserve">Taxa-palavra </w:t>
            </w:r>
          </w:p>
        </w:tc>
        <w:tc>
          <w:tcPr>
            <w:tcW w:w="1361" w:type="dxa"/>
            <w:tcBorders>
              <w:top w:val="nil"/>
              <w:left w:val="nil"/>
              <w:bottom w:val="nil"/>
              <w:right w:val="nil"/>
            </w:tcBorders>
            <w:shd w:val="clear" w:color="000000" w:fill="FFFFFF"/>
            <w:noWrap/>
            <w:vAlign w:val="center"/>
            <w:hideMark/>
          </w:tcPr>
          <w:p w14:paraId="4D2E3332"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0,0001*</w:t>
            </w:r>
          </w:p>
        </w:tc>
        <w:tc>
          <w:tcPr>
            <w:tcW w:w="196" w:type="dxa"/>
            <w:tcBorders>
              <w:top w:val="nil"/>
              <w:left w:val="nil"/>
              <w:bottom w:val="nil"/>
              <w:right w:val="nil"/>
            </w:tcBorders>
            <w:shd w:val="clear" w:color="000000" w:fill="FFFFFF"/>
            <w:noWrap/>
            <w:vAlign w:val="center"/>
            <w:hideMark/>
          </w:tcPr>
          <w:p w14:paraId="006EE693"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c>
          <w:tcPr>
            <w:tcW w:w="3284" w:type="dxa"/>
            <w:tcBorders>
              <w:top w:val="nil"/>
              <w:left w:val="nil"/>
              <w:bottom w:val="nil"/>
              <w:right w:val="nil"/>
            </w:tcBorders>
            <w:shd w:val="clear" w:color="000000" w:fill="FFFFFF"/>
            <w:noWrap/>
            <w:vAlign w:val="center"/>
            <w:hideMark/>
          </w:tcPr>
          <w:p w14:paraId="39904DF9"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Acurácia-palavra</w:t>
            </w:r>
          </w:p>
        </w:tc>
        <w:tc>
          <w:tcPr>
            <w:tcW w:w="1361" w:type="dxa"/>
            <w:tcBorders>
              <w:top w:val="nil"/>
              <w:left w:val="nil"/>
              <w:bottom w:val="nil"/>
              <w:right w:val="nil"/>
            </w:tcBorders>
            <w:shd w:val="clear" w:color="000000" w:fill="FFFFFF"/>
            <w:noWrap/>
            <w:vAlign w:val="center"/>
            <w:hideMark/>
          </w:tcPr>
          <w:p w14:paraId="700C289D"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0,0004*</w:t>
            </w:r>
          </w:p>
        </w:tc>
      </w:tr>
      <w:tr w:rsidR="00871AF4" w:rsidRPr="00831A7E" w14:paraId="7BA64383" w14:textId="77777777" w:rsidTr="006A3D65">
        <w:trPr>
          <w:trHeight w:val="300"/>
        </w:trPr>
        <w:tc>
          <w:tcPr>
            <w:tcW w:w="2510" w:type="dxa"/>
            <w:tcBorders>
              <w:top w:val="nil"/>
              <w:left w:val="nil"/>
              <w:bottom w:val="single" w:sz="8" w:space="0" w:color="auto"/>
              <w:right w:val="nil"/>
            </w:tcBorders>
            <w:shd w:val="clear" w:color="000000" w:fill="FFFFFF"/>
            <w:noWrap/>
            <w:vAlign w:val="center"/>
            <w:hideMark/>
          </w:tcPr>
          <w:p w14:paraId="2E5E8A26" w14:textId="77777777" w:rsidR="00871AF4" w:rsidRPr="00831A7E" w:rsidRDefault="00871AF4" w:rsidP="002E100C">
            <w:pPr>
              <w:spacing w:line="240" w:lineRule="auto"/>
              <w:jc w:val="left"/>
              <w:rPr>
                <w:rFonts w:ascii="Times New Roman" w:eastAsia="Times New Roman" w:hAnsi="Times New Roman" w:cs="Times New Roman"/>
                <w:lang w:eastAsia="pt-BR"/>
              </w:rPr>
            </w:pPr>
            <w:r w:rsidRPr="00831A7E">
              <w:rPr>
                <w:rFonts w:ascii="Times New Roman" w:eastAsia="Times New Roman" w:hAnsi="Times New Roman" w:cs="Times New Roman"/>
                <w:lang w:eastAsia="pt-BR"/>
              </w:rPr>
              <w:t>Taxa-pseudo</w:t>
            </w:r>
          </w:p>
        </w:tc>
        <w:tc>
          <w:tcPr>
            <w:tcW w:w="1361" w:type="dxa"/>
            <w:tcBorders>
              <w:top w:val="nil"/>
              <w:left w:val="nil"/>
              <w:bottom w:val="single" w:sz="8" w:space="0" w:color="auto"/>
              <w:right w:val="nil"/>
            </w:tcBorders>
            <w:shd w:val="clear" w:color="000000" w:fill="FFFFFF"/>
            <w:noWrap/>
            <w:vAlign w:val="center"/>
            <w:hideMark/>
          </w:tcPr>
          <w:p w14:paraId="7BE6937E"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0,0464*</w:t>
            </w:r>
          </w:p>
        </w:tc>
        <w:tc>
          <w:tcPr>
            <w:tcW w:w="196" w:type="dxa"/>
            <w:tcBorders>
              <w:top w:val="nil"/>
              <w:left w:val="nil"/>
              <w:bottom w:val="single" w:sz="8" w:space="0" w:color="auto"/>
              <w:right w:val="nil"/>
            </w:tcBorders>
            <w:shd w:val="clear" w:color="000000" w:fill="FFFFFF"/>
            <w:noWrap/>
            <w:vAlign w:val="center"/>
            <w:hideMark/>
          </w:tcPr>
          <w:p w14:paraId="57B531BF"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c>
          <w:tcPr>
            <w:tcW w:w="3284" w:type="dxa"/>
            <w:tcBorders>
              <w:top w:val="nil"/>
              <w:left w:val="nil"/>
              <w:bottom w:val="single" w:sz="8" w:space="0" w:color="auto"/>
              <w:right w:val="nil"/>
            </w:tcBorders>
            <w:shd w:val="clear" w:color="000000" w:fill="FFFFFF"/>
            <w:noWrap/>
            <w:vAlign w:val="center"/>
            <w:hideMark/>
          </w:tcPr>
          <w:p w14:paraId="5D4258A8"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Acurácia-pseudo</w:t>
            </w:r>
          </w:p>
        </w:tc>
        <w:tc>
          <w:tcPr>
            <w:tcW w:w="1361" w:type="dxa"/>
            <w:tcBorders>
              <w:top w:val="nil"/>
              <w:left w:val="nil"/>
              <w:bottom w:val="single" w:sz="8" w:space="0" w:color="auto"/>
              <w:right w:val="nil"/>
            </w:tcBorders>
            <w:shd w:val="clear" w:color="000000" w:fill="FFFFFF"/>
            <w:noWrap/>
            <w:vAlign w:val="center"/>
            <w:hideMark/>
          </w:tcPr>
          <w:p w14:paraId="555010ED"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0,0591*</w:t>
            </w:r>
          </w:p>
        </w:tc>
      </w:tr>
    </w:tbl>
    <w:p w14:paraId="3478FC9D" w14:textId="77777777" w:rsidR="00871AF4" w:rsidRPr="00831A7E" w:rsidRDefault="00871AF4" w:rsidP="00ED5700">
      <w:pPr>
        <w:spacing w:line="276" w:lineRule="auto"/>
        <w:jc w:val="left"/>
        <w:rPr>
          <w:rFonts w:ascii="Times New Roman" w:eastAsia="Arial" w:hAnsi="Times New Roman" w:cs="Times New Roman"/>
          <w:sz w:val="20"/>
          <w:szCs w:val="20"/>
        </w:rPr>
      </w:pPr>
      <w:r w:rsidRPr="00831A7E">
        <w:rPr>
          <w:rFonts w:ascii="Times New Roman" w:eastAsia="Arial" w:hAnsi="Times New Roman" w:cs="Times New Roman"/>
          <w:sz w:val="20"/>
          <w:szCs w:val="20"/>
        </w:rPr>
        <w:t>*Valores com diferenças estatisticamente significativas com p &lt;0,05</w:t>
      </w:r>
    </w:p>
    <w:p w14:paraId="207FEEF9" w14:textId="77777777" w:rsidR="00871AF4" w:rsidRPr="00831A7E" w:rsidRDefault="00871AF4" w:rsidP="00ED5700">
      <w:pPr>
        <w:jc w:val="left"/>
        <w:rPr>
          <w:rFonts w:ascii="Times New Roman" w:eastAsia="Arial" w:hAnsi="Times New Roman" w:cs="Times New Roman"/>
          <w:sz w:val="20"/>
          <w:szCs w:val="20"/>
        </w:rPr>
      </w:pPr>
      <w:r w:rsidRPr="00831A7E">
        <w:rPr>
          <w:rFonts w:ascii="Times New Roman" w:eastAsia="Arial" w:hAnsi="Times New Roman" w:cs="Times New Roman"/>
          <w:sz w:val="20"/>
          <w:szCs w:val="20"/>
        </w:rPr>
        <w:t xml:space="preserve">Legenda: GC – Grupo Controle; GI – Grupo Interesse </w:t>
      </w:r>
    </w:p>
    <w:p w14:paraId="66FF9B6C" w14:textId="77777777" w:rsidR="00871AF4" w:rsidRPr="00ED5700" w:rsidRDefault="00871AF4" w:rsidP="00ED5700">
      <w:pPr>
        <w:jc w:val="left"/>
        <w:rPr>
          <w:rFonts w:ascii="Times New Roman" w:eastAsia="Arial" w:hAnsi="Times New Roman" w:cs="Times New Roman"/>
          <w:sz w:val="24"/>
          <w:szCs w:val="24"/>
        </w:rPr>
      </w:pPr>
    </w:p>
    <w:p w14:paraId="02B4A1A8" w14:textId="2183B35C" w:rsidR="00871AF4" w:rsidRDefault="00871AF4" w:rsidP="00ED5700">
      <w:pPr>
        <w:jc w:val="left"/>
        <w:rPr>
          <w:rFonts w:ascii="Times New Roman" w:hAnsi="Times New Roman" w:cs="Times New Roman"/>
          <w:sz w:val="24"/>
          <w:szCs w:val="24"/>
        </w:rPr>
      </w:pPr>
      <w:r w:rsidRPr="00831A7E">
        <w:rPr>
          <w:rFonts w:ascii="Times New Roman" w:hAnsi="Times New Roman" w:cs="Times New Roman"/>
          <w:sz w:val="24"/>
          <w:szCs w:val="24"/>
        </w:rPr>
        <w:lastRenderedPageBreak/>
        <w:t>A tabela</w:t>
      </w:r>
      <w:r w:rsidR="008C7225" w:rsidRPr="00831A7E">
        <w:rPr>
          <w:rFonts w:ascii="Times New Roman" w:hAnsi="Times New Roman" w:cs="Times New Roman"/>
          <w:sz w:val="24"/>
          <w:szCs w:val="24"/>
        </w:rPr>
        <w:t xml:space="preserve"> </w:t>
      </w:r>
      <w:r w:rsidR="000E3C01">
        <w:rPr>
          <w:rFonts w:ascii="Times New Roman" w:hAnsi="Times New Roman" w:cs="Times New Roman"/>
          <w:sz w:val="24"/>
          <w:szCs w:val="24"/>
        </w:rPr>
        <w:t>3</w:t>
      </w:r>
      <w:r w:rsidRPr="00831A7E">
        <w:rPr>
          <w:rFonts w:ascii="Times New Roman" w:hAnsi="Times New Roman" w:cs="Times New Roman"/>
          <w:sz w:val="24"/>
          <w:szCs w:val="24"/>
        </w:rPr>
        <w:t xml:space="preserve"> demostra diferenças estatisticamente significantes em todas as variáveis avaliadas. O desempenho foi superior para os escolares do grupo controle.</w:t>
      </w:r>
      <w:r w:rsidR="00ED5700">
        <w:rPr>
          <w:rFonts w:ascii="Times New Roman" w:hAnsi="Times New Roman" w:cs="Times New Roman"/>
          <w:sz w:val="24"/>
          <w:szCs w:val="24"/>
        </w:rPr>
        <w:t xml:space="preserve"> </w:t>
      </w:r>
      <w:r w:rsidRPr="00831A7E">
        <w:rPr>
          <w:rFonts w:ascii="Times New Roman" w:hAnsi="Times New Roman" w:cs="Times New Roman"/>
          <w:sz w:val="24"/>
          <w:szCs w:val="24"/>
        </w:rPr>
        <w:t xml:space="preserve">Quanto ao desempenho dos leitores na tarefa de compreensão, foi aplicado e </w:t>
      </w:r>
      <w:r w:rsidRPr="00831A7E">
        <w:rPr>
          <w:rFonts w:ascii="Times New Roman" w:hAnsi="Times New Roman" w:cs="Times New Roman"/>
          <w:i/>
          <w:sz w:val="24"/>
          <w:szCs w:val="24"/>
        </w:rPr>
        <w:t>Test t de Student</w:t>
      </w:r>
      <w:r w:rsidRPr="00831A7E">
        <w:rPr>
          <w:rFonts w:ascii="Times New Roman" w:hAnsi="Times New Roman" w:cs="Times New Roman"/>
          <w:sz w:val="24"/>
          <w:szCs w:val="24"/>
        </w:rPr>
        <w:t xml:space="preserve">, os resultados foram expressos na Tabela </w:t>
      </w:r>
      <w:r w:rsidR="000E3C01">
        <w:rPr>
          <w:rFonts w:ascii="Times New Roman" w:hAnsi="Times New Roman" w:cs="Times New Roman"/>
          <w:sz w:val="24"/>
          <w:szCs w:val="24"/>
        </w:rPr>
        <w:t>4</w:t>
      </w:r>
      <w:r w:rsidRPr="00831A7E">
        <w:rPr>
          <w:rFonts w:ascii="Times New Roman" w:hAnsi="Times New Roman" w:cs="Times New Roman"/>
          <w:sz w:val="24"/>
          <w:szCs w:val="24"/>
        </w:rPr>
        <w:t>.</w:t>
      </w:r>
    </w:p>
    <w:p w14:paraId="548486E5" w14:textId="77777777" w:rsidR="00ED5700" w:rsidRPr="00831A7E" w:rsidRDefault="00ED5700" w:rsidP="00ED5700">
      <w:pPr>
        <w:ind w:firstLine="851"/>
        <w:jc w:val="left"/>
        <w:rPr>
          <w:rFonts w:ascii="Times New Roman" w:hAnsi="Times New Roman" w:cs="Times New Roman"/>
          <w:sz w:val="24"/>
          <w:szCs w:val="24"/>
        </w:rPr>
      </w:pPr>
    </w:p>
    <w:p w14:paraId="66AA5FE7" w14:textId="7B37DB0D" w:rsidR="00871AF4" w:rsidRDefault="00871AF4" w:rsidP="00ED5700">
      <w:pPr>
        <w:jc w:val="left"/>
        <w:rPr>
          <w:rFonts w:ascii="Times New Roman" w:hAnsi="Times New Roman" w:cs="Times New Roman"/>
          <w:sz w:val="24"/>
          <w:szCs w:val="24"/>
        </w:rPr>
      </w:pPr>
      <w:r w:rsidRPr="00880FAE">
        <w:rPr>
          <w:rFonts w:ascii="Times New Roman" w:hAnsi="Times New Roman" w:cs="Times New Roman"/>
          <w:sz w:val="24"/>
          <w:szCs w:val="24"/>
        </w:rPr>
        <w:t xml:space="preserve">Tabela </w:t>
      </w:r>
      <w:r w:rsidR="000E3C01" w:rsidRPr="00880FAE">
        <w:rPr>
          <w:rFonts w:ascii="Times New Roman" w:hAnsi="Times New Roman" w:cs="Times New Roman"/>
          <w:sz w:val="24"/>
          <w:szCs w:val="24"/>
        </w:rPr>
        <w:t>4</w:t>
      </w:r>
      <w:r w:rsidR="00420210">
        <w:rPr>
          <w:rFonts w:ascii="Times New Roman" w:hAnsi="Times New Roman" w:cs="Times New Roman"/>
          <w:sz w:val="24"/>
          <w:szCs w:val="24"/>
        </w:rPr>
        <w:t xml:space="preserve"> </w:t>
      </w:r>
      <w:r w:rsidR="00420210" w:rsidRPr="00420210">
        <w:rPr>
          <w:rFonts w:ascii="Times New Roman" w:hAnsi="Times New Roman" w:cs="Times New Roman"/>
          <w:b/>
          <w:sz w:val="24"/>
          <w:szCs w:val="24"/>
        </w:rPr>
        <w:t>—</w:t>
      </w:r>
      <w:r w:rsidR="00420210">
        <w:rPr>
          <w:rFonts w:ascii="Times New Roman" w:hAnsi="Times New Roman" w:cs="Times New Roman"/>
          <w:b/>
          <w:sz w:val="24"/>
          <w:szCs w:val="24"/>
        </w:rPr>
        <w:t xml:space="preserve"> </w:t>
      </w:r>
      <w:r w:rsidRPr="00880FAE">
        <w:rPr>
          <w:rFonts w:ascii="Times New Roman" w:hAnsi="Times New Roman" w:cs="Times New Roman"/>
          <w:sz w:val="24"/>
          <w:szCs w:val="24"/>
        </w:rPr>
        <w:t>Resultados obtidos na comparação entre as variáveis avaliadas na compreensão de leitura entre grupos e intragrupos</w:t>
      </w:r>
    </w:p>
    <w:p w14:paraId="28DB7617" w14:textId="77777777" w:rsidR="00ED5700" w:rsidRPr="00880FAE" w:rsidRDefault="00ED5700" w:rsidP="00ED5700">
      <w:pPr>
        <w:ind w:firstLine="709"/>
        <w:jc w:val="left"/>
        <w:rPr>
          <w:rFonts w:ascii="Times New Roman" w:hAnsi="Times New Roman" w:cs="Times New Roman"/>
          <w:sz w:val="24"/>
          <w:szCs w:val="24"/>
        </w:rPr>
      </w:pPr>
    </w:p>
    <w:tbl>
      <w:tblPr>
        <w:tblW w:w="9317" w:type="dxa"/>
        <w:tblLayout w:type="fixed"/>
        <w:tblCellMar>
          <w:left w:w="70" w:type="dxa"/>
          <w:right w:w="70" w:type="dxa"/>
        </w:tblCellMar>
        <w:tblLook w:val="04A0" w:firstRow="1" w:lastRow="0" w:firstColumn="1" w:lastColumn="0" w:noHBand="0" w:noVBand="1"/>
      </w:tblPr>
      <w:tblGrid>
        <w:gridCol w:w="2622"/>
        <w:gridCol w:w="2231"/>
        <w:gridCol w:w="2232"/>
        <w:gridCol w:w="2232"/>
      </w:tblGrid>
      <w:tr w:rsidR="00871AF4" w:rsidRPr="00831A7E" w14:paraId="1768899D" w14:textId="77777777" w:rsidTr="006A3D65">
        <w:trPr>
          <w:trHeight w:val="306"/>
        </w:trPr>
        <w:tc>
          <w:tcPr>
            <w:tcW w:w="2622" w:type="dxa"/>
            <w:tcBorders>
              <w:top w:val="single" w:sz="8" w:space="0" w:color="auto"/>
              <w:left w:val="nil"/>
              <w:bottom w:val="single" w:sz="8" w:space="0" w:color="auto"/>
              <w:right w:val="nil"/>
            </w:tcBorders>
            <w:shd w:val="clear" w:color="auto" w:fill="auto"/>
            <w:noWrap/>
            <w:vAlign w:val="center"/>
            <w:hideMark/>
          </w:tcPr>
          <w:p w14:paraId="312E11C3" w14:textId="77777777" w:rsidR="00871AF4" w:rsidRPr="00831A7E" w:rsidRDefault="00871AF4" w:rsidP="00ED5700">
            <w:pPr>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c>
          <w:tcPr>
            <w:tcW w:w="2231" w:type="dxa"/>
            <w:tcBorders>
              <w:top w:val="single" w:sz="8" w:space="0" w:color="auto"/>
              <w:left w:val="nil"/>
              <w:bottom w:val="single" w:sz="8" w:space="0" w:color="auto"/>
              <w:right w:val="nil"/>
            </w:tcBorders>
            <w:shd w:val="clear" w:color="auto" w:fill="auto"/>
            <w:noWrap/>
            <w:vAlign w:val="center"/>
            <w:hideMark/>
          </w:tcPr>
          <w:p w14:paraId="4F6C4573" w14:textId="77777777" w:rsidR="00871AF4" w:rsidRPr="00831A7E" w:rsidRDefault="00871AF4" w:rsidP="00ED5700">
            <w:pPr>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GCXGI</w:t>
            </w:r>
          </w:p>
        </w:tc>
        <w:tc>
          <w:tcPr>
            <w:tcW w:w="2232" w:type="dxa"/>
            <w:tcBorders>
              <w:top w:val="single" w:sz="8" w:space="0" w:color="auto"/>
              <w:left w:val="nil"/>
              <w:bottom w:val="single" w:sz="8" w:space="0" w:color="auto"/>
              <w:right w:val="nil"/>
            </w:tcBorders>
            <w:shd w:val="clear" w:color="auto" w:fill="auto"/>
            <w:noWrap/>
            <w:vAlign w:val="center"/>
            <w:hideMark/>
          </w:tcPr>
          <w:p w14:paraId="07B11DEE" w14:textId="77777777" w:rsidR="00871AF4" w:rsidRPr="00831A7E" w:rsidRDefault="00871AF4" w:rsidP="00ED5700">
            <w:pPr>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GCXGC</w:t>
            </w:r>
          </w:p>
        </w:tc>
        <w:tc>
          <w:tcPr>
            <w:tcW w:w="2232" w:type="dxa"/>
            <w:tcBorders>
              <w:top w:val="single" w:sz="8" w:space="0" w:color="auto"/>
              <w:left w:val="nil"/>
              <w:bottom w:val="single" w:sz="8" w:space="0" w:color="auto"/>
              <w:right w:val="nil"/>
            </w:tcBorders>
            <w:shd w:val="clear" w:color="auto" w:fill="auto"/>
            <w:noWrap/>
            <w:vAlign w:val="center"/>
            <w:hideMark/>
          </w:tcPr>
          <w:p w14:paraId="30D5DC13" w14:textId="77777777" w:rsidR="00871AF4" w:rsidRPr="00831A7E" w:rsidRDefault="00871AF4" w:rsidP="00ED5700">
            <w:pPr>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GIXGI</w:t>
            </w:r>
          </w:p>
        </w:tc>
      </w:tr>
      <w:tr w:rsidR="00871AF4" w:rsidRPr="00831A7E" w14:paraId="4048BF49" w14:textId="77777777" w:rsidTr="006A3D65">
        <w:trPr>
          <w:trHeight w:val="297"/>
        </w:trPr>
        <w:tc>
          <w:tcPr>
            <w:tcW w:w="2622" w:type="dxa"/>
            <w:tcBorders>
              <w:top w:val="nil"/>
              <w:left w:val="nil"/>
              <w:bottom w:val="nil"/>
              <w:right w:val="nil"/>
            </w:tcBorders>
            <w:shd w:val="clear" w:color="auto" w:fill="auto"/>
            <w:noWrap/>
            <w:vAlign w:val="center"/>
            <w:hideMark/>
          </w:tcPr>
          <w:p w14:paraId="2074152B"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Literais x inferenciais</w:t>
            </w:r>
          </w:p>
        </w:tc>
        <w:tc>
          <w:tcPr>
            <w:tcW w:w="2231" w:type="dxa"/>
            <w:tcBorders>
              <w:top w:val="nil"/>
              <w:left w:val="nil"/>
              <w:bottom w:val="nil"/>
              <w:right w:val="nil"/>
            </w:tcBorders>
            <w:shd w:val="clear" w:color="auto" w:fill="auto"/>
            <w:noWrap/>
            <w:vAlign w:val="bottom"/>
            <w:hideMark/>
          </w:tcPr>
          <w:p w14:paraId="205CD0E4"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0,003*</w:t>
            </w:r>
          </w:p>
        </w:tc>
        <w:tc>
          <w:tcPr>
            <w:tcW w:w="2232" w:type="dxa"/>
            <w:tcBorders>
              <w:top w:val="nil"/>
              <w:left w:val="nil"/>
              <w:bottom w:val="nil"/>
              <w:right w:val="nil"/>
            </w:tcBorders>
            <w:shd w:val="clear" w:color="auto" w:fill="auto"/>
            <w:noWrap/>
            <w:vAlign w:val="bottom"/>
            <w:hideMark/>
          </w:tcPr>
          <w:p w14:paraId="23C66C22"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0,003*</w:t>
            </w:r>
          </w:p>
        </w:tc>
        <w:tc>
          <w:tcPr>
            <w:tcW w:w="2232" w:type="dxa"/>
            <w:tcBorders>
              <w:top w:val="nil"/>
              <w:left w:val="nil"/>
              <w:bottom w:val="nil"/>
              <w:right w:val="nil"/>
            </w:tcBorders>
            <w:shd w:val="clear" w:color="auto" w:fill="auto"/>
            <w:noWrap/>
            <w:vAlign w:val="bottom"/>
            <w:hideMark/>
          </w:tcPr>
          <w:p w14:paraId="0E2F1BC3"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0,001*</w:t>
            </w:r>
          </w:p>
        </w:tc>
      </w:tr>
      <w:tr w:rsidR="00871AF4" w:rsidRPr="00831A7E" w14:paraId="297AB509" w14:textId="77777777" w:rsidTr="006A3D65">
        <w:trPr>
          <w:trHeight w:val="297"/>
        </w:trPr>
        <w:tc>
          <w:tcPr>
            <w:tcW w:w="2622" w:type="dxa"/>
            <w:tcBorders>
              <w:top w:val="nil"/>
              <w:left w:val="nil"/>
              <w:bottom w:val="nil"/>
              <w:right w:val="nil"/>
            </w:tcBorders>
            <w:shd w:val="clear" w:color="auto" w:fill="auto"/>
            <w:noWrap/>
            <w:vAlign w:val="center"/>
            <w:hideMark/>
          </w:tcPr>
          <w:p w14:paraId="41DF3D3E"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Literais x literais</w:t>
            </w:r>
          </w:p>
        </w:tc>
        <w:tc>
          <w:tcPr>
            <w:tcW w:w="2231" w:type="dxa"/>
            <w:tcBorders>
              <w:top w:val="nil"/>
              <w:left w:val="nil"/>
              <w:bottom w:val="nil"/>
              <w:right w:val="nil"/>
            </w:tcBorders>
            <w:shd w:val="clear" w:color="auto" w:fill="auto"/>
            <w:noWrap/>
            <w:vAlign w:val="bottom"/>
            <w:hideMark/>
          </w:tcPr>
          <w:p w14:paraId="2C3D58AE"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0,016*</w:t>
            </w:r>
          </w:p>
        </w:tc>
        <w:tc>
          <w:tcPr>
            <w:tcW w:w="2232" w:type="dxa"/>
            <w:tcBorders>
              <w:top w:val="nil"/>
              <w:left w:val="nil"/>
              <w:bottom w:val="nil"/>
              <w:right w:val="nil"/>
            </w:tcBorders>
            <w:shd w:val="clear" w:color="auto" w:fill="auto"/>
            <w:noWrap/>
            <w:vAlign w:val="bottom"/>
            <w:hideMark/>
          </w:tcPr>
          <w:p w14:paraId="487FC6EE"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p>
        </w:tc>
        <w:tc>
          <w:tcPr>
            <w:tcW w:w="2232" w:type="dxa"/>
            <w:tcBorders>
              <w:top w:val="nil"/>
              <w:left w:val="nil"/>
              <w:bottom w:val="nil"/>
              <w:right w:val="nil"/>
            </w:tcBorders>
            <w:shd w:val="clear" w:color="auto" w:fill="auto"/>
            <w:noWrap/>
            <w:vAlign w:val="bottom"/>
            <w:hideMark/>
          </w:tcPr>
          <w:p w14:paraId="68FF6962"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p>
        </w:tc>
      </w:tr>
      <w:tr w:rsidR="00871AF4" w:rsidRPr="00831A7E" w14:paraId="00FF6F64" w14:textId="77777777" w:rsidTr="006A3D65">
        <w:trPr>
          <w:trHeight w:val="297"/>
        </w:trPr>
        <w:tc>
          <w:tcPr>
            <w:tcW w:w="2622" w:type="dxa"/>
            <w:tcBorders>
              <w:top w:val="nil"/>
              <w:left w:val="nil"/>
              <w:bottom w:val="nil"/>
              <w:right w:val="nil"/>
            </w:tcBorders>
            <w:shd w:val="clear" w:color="auto" w:fill="auto"/>
            <w:noWrap/>
            <w:vAlign w:val="center"/>
            <w:hideMark/>
          </w:tcPr>
          <w:p w14:paraId="637FEB57"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Inferenciais x inferenciais</w:t>
            </w:r>
          </w:p>
        </w:tc>
        <w:tc>
          <w:tcPr>
            <w:tcW w:w="2231" w:type="dxa"/>
            <w:tcBorders>
              <w:top w:val="nil"/>
              <w:left w:val="nil"/>
              <w:bottom w:val="nil"/>
              <w:right w:val="nil"/>
            </w:tcBorders>
            <w:shd w:val="clear" w:color="auto" w:fill="auto"/>
            <w:noWrap/>
            <w:vAlign w:val="bottom"/>
            <w:hideMark/>
          </w:tcPr>
          <w:p w14:paraId="3D7456FA"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0,005*</w:t>
            </w:r>
          </w:p>
        </w:tc>
        <w:tc>
          <w:tcPr>
            <w:tcW w:w="2232" w:type="dxa"/>
            <w:tcBorders>
              <w:top w:val="nil"/>
              <w:left w:val="nil"/>
              <w:bottom w:val="nil"/>
              <w:right w:val="nil"/>
            </w:tcBorders>
            <w:shd w:val="clear" w:color="000000" w:fill="FFFFFF"/>
            <w:vAlign w:val="center"/>
            <w:hideMark/>
          </w:tcPr>
          <w:p w14:paraId="33397DA7"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c>
          <w:tcPr>
            <w:tcW w:w="2232" w:type="dxa"/>
            <w:tcBorders>
              <w:top w:val="nil"/>
              <w:left w:val="nil"/>
              <w:bottom w:val="nil"/>
              <w:right w:val="nil"/>
            </w:tcBorders>
            <w:shd w:val="clear" w:color="000000" w:fill="FFFFFF"/>
            <w:vAlign w:val="center"/>
            <w:hideMark/>
          </w:tcPr>
          <w:p w14:paraId="3F96386C"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r>
      <w:tr w:rsidR="00871AF4" w:rsidRPr="00831A7E" w14:paraId="0F5DFC00" w14:textId="77777777" w:rsidTr="006A3D65">
        <w:trPr>
          <w:trHeight w:val="306"/>
        </w:trPr>
        <w:tc>
          <w:tcPr>
            <w:tcW w:w="2622" w:type="dxa"/>
            <w:tcBorders>
              <w:top w:val="nil"/>
              <w:left w:val="nil"/>
              <w:bottom w:val="single" w:sz="8" w:space="0" w:color="auto"/>
              <w:right w:val="nil"/>
            </w:tcBorders>
            <w:shd w:val="clear" w:color="auto" w:fill="auto"/>
            <w:noWrap/>
            <w:vAlign w:val="center"/>
            <w:hideMark/>
          </w:tcPr>
          <w:p w14:paraId="6260EEDF"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Totais x totais</w:t>
            </w:r>
          </w:p>
        </w:tc>
        <w:tc>
          <w:tcPr>
            <w:tcW w:w="2231" w:type="dxa"/>
            <w:tcBorders>
              <w:top w:val="nil"/>
              <w:left w:val="nil"/>
              <w:bottom w:val="single" w:sz="8" w:space="0" w:color="auto"/>
              <w:right w:val="nil"/>
            </w:tcBorders>
            <w:shd w:val="clear" w:color="auto" w:fill="auto"/>
            <w:noWrap/>
            <w:vAlign w:val="bottom"/>
            <w:hideMark/>
          </w:tcPr>
          <w:p w14:paraId="3BB8CCE9"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0,005*</w:t>
            </w:r>
          </w:p>
        </w:tc>
        <w:tc>
          <w:tcPr>
            <w:tcW w:w="2232" w:type="dxa"/>
            <w:tcBorders>
              <w:top w:val="nil"/>
              <w:left w:val="nil"/>
              <w:bottom w:val="single" w:sz="8" w:space="0" w:color="auto"/>
              <w:right w:val="nil"/>
            </w:tcBorders>
            <w:shd w:val="clear" w:color="000000" w:fill="FFFFFF"/>
            <w:vAlign w:val="center"/>
            <w:hideMark/>
          </w:tcPr>
          <w:p w14:paraId="3B99DB2A"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c>
          <w:tcPr>
            <w:tcW w:w="2232" w:type="dxa"/>
            <w:tcBorders>
              <w:top w:val="nil"/>
              <w:left w:val="nil"/>
              <w:bottom w:val="single" w:sz="8" w:space="0" w:color="auto"/>
              <w:right w:val="nil"/>
            </w:tcBorders>
            <w:shd w:val="clear" w:color="000000" w:fill="FFFFFF"/>
            <w:vAlign w:val="center"/>
            <w:hideMark/>
          </w:tcPr>
          <w:p w14:paraId="1879AFE7" w14:textId="77777777" w:rsidR="00871AF4" w:rsidRPr="00831A7E" w:rsidRDefault="00871AF4" w:rsidP="002E100C">
            <w:pPr>
              <w:spacing w:line="240" w:lineRule="auto"/>
              <w:jc w:val="left"/>
              <w:rPr>
                <w:rFonts w:ascii="Times New Roman" w:eastAsia="Times New Roman" w:hAnsi="Times New Roman" w:cs="Times New Roman"/>
                <w:sz w:val="20"/>
                <w:szCs w:val="20"/>
                <w:lang w:eastAsia="pt-BR"/>
              </w:rPr>
            </w:pPr>
            <w:r w:rsidRPr="00831A7E">
              <w:rPr>
                <w:rFonts w:ascii="Times New Roman" w:eastAsia="Times New Roman" w:hAnsi="Times New Roman" w:cs="Times New Roman"/>
                <w:sz w:val="20"/>
                <w:szCs w:val="20"/>
                <w:lang w:eastAsia="pt-BR"/>
              </w:rPr>
              <w:t> </w:t>
            </w:r>
          </w:p>
        </w:tc>
      </w:tr>
    </w:tbl>
    <w:p w14:paraId="23993FA1" w14:textId="77777777" w:rsidR="00871AF4" w:rsidRPr="00831A7E" w:rsidRDefault="00871AF4" w:rsidP="00ED5700">
      <w:pPr>
        <w:spacing w:line="276" w:lineRule="auto"/>
        <w:jc w:val="left"/>
        <w:rPr>
          <w:rFonts w:ascii="Times New Roman" w:eastAsia="Arial" w:hAnsi="Times New Roman" w:cs="Times New Roman"/>
          <w:sz w:val="20"/>
          <w:szCs w:val="20"/>
        </w:rPr>
      </w:pPr>
      <w:r w:rsidRPr="00831A7E">
        <w:rPr>
          <w:rFonts w:ascii="Times New Roman" w:eastAsia="Arial" w:hAnsi="Times New Roman" w:cs="Times New Roman"/>
          <w:sz w:val="20"/>
          <w:szCs w:val="20"/>
        </w:rPr>
        <w:t>*Valores com diferenças estatisticamente significativas com p &lt;0,05</w:t>
      </w:r>
    </w:p>
    <w:p w14:paraId="492ABCBC" w14:textId="77777777" w:rsidR="00871AF4" w:rsidRPr="00831A7E" w:rsidRDefault="00871AF4" w:rsidP="00ED5700">
      <w:pPr>
        <w:jc w:val="left"/>
        <w:rPr>
          <w:rFonts w:ascii="Times New Roman" w:eastAsia="Arial" w:hAnsi="Times New Roman" w:cs="Times New Roman"/>
          <w:sz w:val="20"/>
          <w:szCs w:val="20"/>
        </w:rPr>
      </w:pPr>
      <w:r w:rsidRPr="00831A7E">
        <w:rPr>
          <w:rFonts w:ascii="Times New Roman" w:eastAsia="Arial" w:hAnsi="Times New Roman" w:cs="Times New Roman"/>
          <w:sz w:val="20"/>
          <w:szCs w:val="20"/>
        </w:rPr>
        <w:t xml:space="preserve">Legenda: GC – Grupo Controle; GI – Grupo Interesse </w:t>
      </w:r>
    </w:p>
    <w:p w14:paraId="07974973" w14:textId="77777777" w:rsidR="00871AF4" w:rsidRPr="00831A7E" w:rsidRDefault="00871AF4" w:rsidP="00ED5700">
      <w:pPr>
        <w:jc w:val="left"/>
        <w:rPr>
          <w:rFonts w:ascii="Times New Roman" w:eastAsia="Arial" w:hAnsi="Times New Roman" w:cs="Times New Roman"/>
          <w:sz w:val="24"/>
          <w:szCs w:val="24"/>
        </w:rPr>
      </w:pPr>
    </w:p>
    <w:p w14:paraId="51E96963" w14:textId="77777777" w:rsidR="00871AF4" w:rsidRPr="00831A7E" w:rsidRDefault="00871AF4" w:rsidP="00ED5700">
      <w:pPr>
        <w:jc w:val="left"/>
        <w:rPr>
          <w:rFonts w:ascii="Times New Roman" w:hAnsi="Times New Roman" w:cs="Times New Roman"/>
          <w:sz w:val="24"/>
          <w:szCs w:val="24"/>
        </w:rPr>
      </w:pPr>
      <w:r w:rsidRPr="00831A7E">
        <w:rPr>
          <w:rFonts w:ascii="Times New Roman" w:hAnsi="Times New Roman" w:cs="Times New Roman"/>
          <w:sz w:val="24"/>
          <w:szCs w:val="24"/>
        </w:rPr>
        <w:t>Em todas as comparações foram encontradas diferenças estatisticamente significantes. Nas comparações entre grupos, os resultados foram melhores para os escolares do GC. Assim como nas comparações intragrupos o desempenho dos escolares foi melhor na variável questões literais, quando comparadas as questões inferenciais.</w:t>
      </w:r>
    </w:p>
    <w:p w14:paraId="297A68E7" w14:textId="77777777" w:rsidR="009C5E05" w:rsidRPr="00880FAE" w:rsidRDefault="009C5E05" w:rsidP="00ED5700">
      <w:pPr>
        <w:ind w:firstLine="851"/>
        <w:jc w:val="left"/>
        <w:rPr>
          <w:rFonts w:ascii="Times New Roman" w:hAnsi="Times New Roman" w:cs="Times New Roman"/>
          <w:sz w:val="24"/>
          <w:szCs w:val="24"/>
        </w:rPr>
      </w:pPr>
    </w:p>
    <w:p w14:paraId="0C91D6C4" w14:textId="46BDA7CA" w:rsidR="00871AF4" w:rsidRDefault="00871AF4" w:rsidP="003A22A2">
      <w:pPr>
        <w:pStyle w:val="ListParagraph"/>
        <w:numPr>
          <w:ilvl w:val="0"/>
          <w:numId w:val="4"/>
        </w:numPr>
        <w:ind w:left="0" w:firstLine="0"/>
        <w:jc w:val="left"/>
        <w:rPr>
          <w:rFonts w:ascii="Times New Roman" w:hAnsi="Times New Roman" w:cs="Times New Roman"/>
          <w:b/>
          <w:bCs/>
          <w:sz w:val="24"/>
          <w:szCs w:val="24"/>
        </w:rPr>
      </w:pPr>
      <w:r w:rsidRPr="00420210">
        <w:rPr>
          <w:rFonts w:ascii="Times New Roman" w:hAnsi="Times New Roman" w:cs="Times New Roman"/>
          <w:b/>
          <w:bCs/>
          <w:sz w:val="24"/>
          <w:szCs w:val="24"/>
        </w:rPr>
        <w:t>D</w:t>
      </w:r>
      <w:r w:rsidR="00420210" w:rsidRPr="00420210">
        <w:rPr>
          <w:rFonts w:ascii="Times New Roman" w:hAnsi="Times New Roman" w:cs="Times New Roman"/>
          <w:b/>
          <w:bCs/>
          <w:sz w:val="24"/>
          <w:szCs w:val="24"/>
        </w:rPr>
        <w:t>iscussão</w:t>
      </w:r>
    </w:p>
    <w:p w14:paraId="74DABF0E" w14:textId="77777777" w:rsidR="00420210" w:rsidRPr="00420210" w:rsidRDefault="00420210" w:rsidP="003A22A2">
      <w:pPr>
        <w:pStyle w:val="ListParagraph"/>
        <w:ind w:left="0"/>
        <w:jc w:val="left"/>
        <w:rPr>
          <w:rFonts w:ascii="Times New Roman" w:hAnsi="Times New Roman" w:cs="Times New Roman"/>
          <w:b/>
          <w:bCs/>
          <w:sz w:val="24"/>
          <w:szCs w:val="24"/>
        </w:rPr>
      </w:pPr>
    </w:p>
    <w:p w14:paraId="51E8DB78" w14:textId="161ED3AC" w:rsidR="00871AF4" w:rsidRDefault="00871AF4" w:rsidP="003A22A2">
      <w:pPr>
        <w:jc w:val="left"/>
        <w:rPr>
          <w:rFonts w:ascii="Times New Roman" w:hAnsi="Times New Roman" w:cs="Times New Roman"/>
          <w:sz w:val="24"/>
          <w:szCs w:val="24"/>
          <w:shd w:val="clear" w:color="auto" w:fill="FFFFFF"/>
        </w:rPr>
      </w:pPr>
      <w:r w:rsidRPr="00831A7E">
        <w:rPr>
          <w:rFonts w:ascii="Times New Roman" w:hAnsi="Times New Roman" w:cs="Times New Roman"/>
          <w:sz w:val="24"/>
          <w:szCs w:val="24"/>
          <w:shd w:val="clear" w:color="auto" w:fill="FFFFFF"/>
        </w:rPr>
        <w:t xml:space="preserve">Este estudo teve como objetivo avaliar a utilização da fluência de leitura como um indicador de competência </w:t>
      </w:r>
      <w:r w:rsidR="00FF1573" w:rsidRPr="00831A7E">
        <w:rPr>
          <w:rFonts w:ascii="Times New Roman" w:hAnsi="Times New Roman" w:cs="Times New Roman"/>
          <w:sz w:val="24"/>
          <w:szCs w:val="24"/>
          <w:shd w:val="clear" w:color="auto" w:fill="FFFFFF"/>
        </w:rPr>
        <w:t xml:space="preserve">de leitura </w:t>
      </w:r>
      <w:r w:rsidRPr="00831A7E">
        <w:rPr>
          <w:rFonts w:ascii="Times New Roman" w:hAnsi="Times New Roman" w:cs="Times New Roman"/>
          <w:sz w:val="24"/>
          <w:szCs w:val="24"/>
          <w:shd w:val="clear" w:color="auto" w:fill="FFFFFF"/>
        </w:rPr>
        <w:t xml:space="preserve">da educação inclusiva </w:t>
      </w:r>
      <w:r w:rsidR="00AF0A2E" w:rsidRPr="00831A7E">
        <w:rPr>
          <w:rFonts w:ascii="Times New Roman" w:hAnsi="Times New Roman" w:cs="Times New Roman"/>
          <w:sz w:val="24"/>
          <w:szCs w:val="24"/>
          <w:shd w:val="clear" w:color="auto" w:fill="FFFFFF"/>
        </w:rPr>
        <w:t xml:space="preserve">e avaliou </w:t>
      </w:r>
      <w:r w:rsidRPr="00831A7E">
        <w:rPr>
          <w:rFonts w:ascii="Times New Roman" w:hAnsi="Times New Roman" w:cs="Times New Roman"/>
          <w:sz w:val="24"/>
          <w:szCs w:val="24"/>
          <w:shd w:val="clear" w:color="auto" w:fill="FFFFFF"/>
        </w:rPr>
        <w:t>de forma individual o desempenho dos alunos do público-alvo da educação especial e a média de cada subgrupo avaliado. De acordo com os resultados, a fluência de leitura permitiu a obtenção de dados objetivos extraídos da leitura dos escolares avaliados. Como têm demonstrado estudos em escolares sem queixas (</w:t>
      </w:r>
      <w:r w:rsidR="000A5BFA" w:rsidRPr="00831A7E">
        <w:rPr>
          <w:rFonts w:ascii="Times New Roman" w:hAnsi="Times New Roman" w:cs="Times New Roman"/>
          <w:sz w:val="24"/>
          <w:szCs w:val="24"/>
          <w:shd w:val="clear" w:color="auto" w:fill="FFFFFF"/>
        </w:rPr>
        <w:t xml:space="preserve">Martins </w:t>
      </w:r>
      <w:r w:rsidR="000A5BFA">
        <w:rPr>
          <w:rFonts w:ascii="Times New Roman" w:hAnsi="Times New Roman" w:cs="Times New Roman"/>
          <w:sz w:val="24"/>
          <w:szCs w:val="24"/>
          <w:shd w:val="clear" w:color="auto" w:fill="FFFFFF"/>
        </w:rPr>
        <w:t>&amp;</w:t>
      </w:r>
      <w:r w:rsidR="000A5BFA" w:rsidRPr="00831A7E">
        <w:rPr>
          <w:rFonts w:ascii="Times New Roman" w:hAnsi="Times New Roman" w:cs="Times New Roman"/>
          <w:sz w:val="24"/>
          <w:szCs w:val="24"/>
          <w:shd w:val="clear" w:color="auto" w:fill="FFFFFF"/>
        </w:rPr>
        <w:t xml:space="preserve"> </w:t>
      </w:r>
      <w:r w:rsidR="000A5BFA">
        <w:rPr>
          <w:rFonts w:ascii="Times New Roman" w:hAnsi="Times New Roman" w:cs="Times New Roman"/>
          <w:sz w:val="24"/>
          <w:szCs w:val="24"/>
          <w:shd w:val="clear" w:color="auto" w:fill="FFFFFF"/>
        </w:rPr>
        <w:t>C</w:t>
      </w:r>
      <w:r w:rsidR="000A5BFA" w:rsidRPr="00831A7E">
        <w:rPr>
          <w:rFonts w:ascii="Times New Roman" w:hAnsi="Times New Roman" w:cs="Times New Roman"/>
          <w:sz w:val="24"/>
          <w:szCs w:val="24"/>
          <w:shd w:val="clear" w:color="auto" w:fill="FFFFFF"/>
        </w:rPr>
        <w:t xml:space="preserve">apellini, </w:t>
      </w:r>
      <w:r w:rsidRPr="00831A7E">
        <w:rPr>
          <w:rFonts w:ascii="Times New Roman" w:hAnsi="Times New Roman" w:cs="Times New Roman"/>
          <w:sz w:val="24"/>
          <w:szCs w:val="24"/>
          <w:shd w:val="clear" w:color="auto" w:fill="FFFFFF"/>
        </w:rPr>
        <w:t>2014; L</w:t>
      </w:r>
      <w:r w:rsidR="000A5BFA" w:rsidRPr="00831A7E">
        <w:rPr>
          <w:rFonts w:ascii="Times New Roman" w:hAnsi="Times New Roman" w:cs="Times New Roman"/>
          <w:sz w:val="24"/>
          <w:szCs w:val="24"/>
          <w:shd w:val="clear" w:color="auto" w:fill="FFFFFF"/>
        </w:rPr>
        <w:t>ópez</w:t>
      </w:r>
      <w:r w:rsidRPr="00831A7E">
        <w:rPr>
          <w:rFonts w:ascii="Times New Roman" w:hAnsi="Times New Roman" w:cs="Times New Roman"/>
          <w:sz w:val="24"/>
          <w:szCs w:val="24"/>
          <w:shd w:val="clear" w:color="auto" w:fill="FFFFFF"/>
        </w:rPr>
        <w:t>, 2014; C</w:t>
      </w:r>
      <w:r w:rsidR="000A5BFA" w:rsidRPr="00831A7E">
        <w:rPr>
          <w:rFonts w:ascii="Times New Roman" w:hAnsi="Times New Roman" w:cs="Times New Roman"/>
          <w:sz w:val="24"/>
          <w:szCs w:val="24"/>
          <w:shd w:val="clear" w:color="auto" w:fill="FFFFFF"/>
        </w:rPr>
        <w:t>eleste</w:t>
      </w:r>
      <w:r w:rsidRPr="00831A7E">
        <w:rPr>
          <w:rFonts w:ascii="Times New Roman" w:hAnsi="Times New Roman" w:cs="Times New Roman"/>
          <w:sz w:val="24"/>
          <w:szCs w:val="24"/>
          <w:shd w:val="clear" w:color="auto" w:fill="FFFFFF"/>
        </w:rPr>
        <w:t xml:space="preserve">, et al., 2018; </w:t>
      </w:r>
      <w:r w:rsidR="000A5BFA" w:rsidRPr="00831A7E">
        <w:rPr>
          <w:rFonts w:ascii="Times New Roman" w:hAnsi="Times New Roman" w:cs="Times New Roman"/>
          <w:sz w:val="24"/>
          <w:szCs w:val="24"/>
          <w:shd w:val="clear" w:color="auto" w:fill="FFFFFF"/>
        </w:rPr>
        <w:t>Martins</w:t>
      </w:r>
      <w:r w:rsidR="000A5BFA">
        <w:rPr>
          <w:rFonts w:ascii="Times New Roman" w:hAnsi="Times New Roman" w:cs="Times New Roman"/>
          <w:sz w:val="24"/>
          <w:szCs w:val="24"/>
          <w:shd w:val="clear" w:color="auto" w:fill="FFFFFF"/>
        </w:rPr>
        <w:t xml:space="preserve"> &amp;</w:t>
      </w:r>
      <w:r w:rsidR="000A5BFA" w:rsidRPr="00831A7E">
        <w:rPr>
          <w:rFonts w:ascii="Times New Roman" w:hAnsi="Times New Roman" w:cs="Times New Roman"/>
          <w:sz w:val="24"/>
          <w:szCs w:val="24"/>
          <w:shd w:val="clear" w:color="auto" w:fill="FFFFFF"/>
        </w:rPr>
        <w:t xml:space="preserve"> Capellini</w:t>
      </w:r>
      <w:r w:rsidRPr="00831A7E">
        <w:rPr>
          <w:rFonts w:ascii="Times New Roman" w:hAnsi="Times New Roman" w:cs="Times New Roman"/>
          <w:sz w:val="24"/>
          <w:szCs w:val="24"/>
          <w:shd w:val="clear" w:color="auto" w:fill="FFFFFF"/>
        </w:rPr>
        <w:t>, 2019) os resultados da presente pesquisa indicam que a medida fluência de leitura é válida na avaliação dos escolares do público-alvo da educação especial.</w:t>
      </w:r>
    </w:p>
    <w:p w14:paraId="37AB224F" w14:textId="77777777" w:rsidR="003A22A2" w:rsidRPr="00831A7E" w:rsidRDefault="003A22A2" w:rsidP="003A22A2">
      <w:pPr>
        <w:jc w:val="left"/>
        <w:rPr>
          <w:rFonts w:ascii="Times New Roman" w:hAnsi="Times New Roman" w:cs="Times New Roman"/>
          <w:sz w:val="24"/>
          <w:szCs w:val="24"/>
          <w:shd w:val="clear" w:color="auto" w:fill="FFFFFF"/>
        </w:rPr>
      </w:pPr>
    </w:p>
    <w:p w14:paraId="6D387940" w14:textId="3B500CB6"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 xml:space="preserve">Na avaliação coletiva dos escolares, a fim de avaliar os prováveis déficits nas tarefas de leitura e compreensão foi utilizado o escore Z com ponto de corte de </w:t>
      </w:r>
      <m:oMath>
        <m:r>
          <w:rPr>
            <w:rFonts w:ascii="Cambria Math" w:hAnsi="Cambria Math" w:cs="Times New Roman"/>
            <w:sz w:val="24"/>
            <w:szCs w:val="24"/>
          </w:rPr>
          <m:t>≤</m:t>
        </m:r>
      </m:oMath>
      <w:r w:rsidRPr="00831A7E">
        <w:rPr>
          <w:rFonts w:ascii="Times New Roman" w:eastAsiaTheme="minorEastAsia" w:hAnsi="Times New Roman" w:cs="Times New Roman"/>
          <w:sz w:val="24"/>
          <w:szCs w:val="24"/>
        </w:rPr>
        <w:t xml:space="preserve"> -1,5 dp. O desempenho dos escolares foi classificado como: não sugestivo de déficit, Z </w:t>
      </w:r>
      <m:oMath>
        <m:r>
          <w:rPr>
            <w:rFonts w:ascii="Cambria Math" w:hAnsi="Cambria Math" w:cs="Times New Roman"/>
            <w:sz w:val="24"/>
            <w:szCs w:val="24"/>
          </w:rPr>
          <m:t>≤</m:t>
        </m:r>
      </m:oMath>
      <w:r w:rsidRPr="00831A7E">
        <w:rPr>
          <w:rFonts w:ascii="Times New Roman" w:eastAsiaTheme="minorEastAsia" w:hAnsi="Times New Roman" w:cs="Times New Roman"/>
          <w:sz w:val="24"/>
          <w:szCs w:val="24"/>
        </w:rPr>
        <w:t xml:space="preserve"> -1,0 dp; </w:t>
      </w:r>
      <w:r w:rsidRPr="00831A7E">
        <w:rPr>
          <w:rFonts w:ascii="Times New Roman" w:eastAsiaTheme="minorEastAsia" w:hAnsi="Times New Roman" w:cs="Times New Roman"/>
          <w:sz w:val="24"/>
          <w:szCs w:val="24"/>
        </w:rPr>
        <w:lastRenderedPageBreak/>
        <w:t xml:space="preserve">sugestivo de alerta para déficit, Z entre -1,0 e -1,5 dp; sugestivo de déficit, Z </w:t>
      </w:r>
      <m:oMath>
        <m:r>
          <w:rPr>
            <w:rFonts w:ascii="Cambria Math" w:hAnsi="Cambria Math" w:cs="Times New Roman"/>
            <w:sz w:val="24"/>
            <w:szCs w:val="24"/>
          </w:rPr>
          <m:t>≤</m:t>
        </m:r>
      </m:oMath>
      <w:r w:rsidRPr="00831A7E">
        <w:rPr>
          <w:rFonts w:ascii="Times New Roman" w:hAnsi="Times New Roman" w:cs="Times New Roman"/>
          <w:sz w:val="24"/>
          <w:szCs w:val="24"/>
        </w:rPr>
        <w:t xml:space="preserve">1,5 dp; sugestivo de déficit moderado à severo, Z entre -1,6 e -2,0 dp e sugestivo de déficit importante Z </w:t>
      </w:r>
      <m:oMath>
        <m:r>
          <w:rPr>
            <w:rFonts w:ascii="Cambria Math" w:hAnsi="Cambria Math" w:cs="Times New Roman"/>
            <w:sz w:val="24"/>
            <w:szCs w:val="24"/>
          </w:rPr>
          <m:t>≤</m:t>
        </m:r>
      </m:oMath>
      <w:r w:rsidRPr="00831A7E">
        <w:rPr>
          <w:rFonts w:ascii="Times New Roman" w:hAnsi="Times New Roman" w:cs="Times New Roman"/>
          <w:sz w:val="24"/>
          <w:szCs w:val="24"/>
        </w:rPr>
        <w:t xml:space="preserve"> -2,0 dp. Dessa forma, foi possível observar desempenhos variados a depender da medida avaliada na leitura de cada escolar.</w:t>
      </w:r>
    </w:p>
    <w:p w14:paraId="09047E0F" w14:textId="77777777" w:rsidR="003A22A2" w:rsidRPr="00831A7E" w:rsidRDefault="003A22A2" w:rsidP="003A22A2">
      <w:pPr>
        <w:jc w:val="left"/>
        <w:rPr>
          <w:rFonts w:ascii="Times New Roman" w:hAnsi="Times New Roman" w:cs="Times New Roman"/>
          <w:sz w:val="24"/>
          <w:szCs w:val="24"/>
        </w:rPr>
      </w:pPr>
    </w:p>
    <w:p w14:paraId="2A908808" w14:textId="0C64B40F" w:rsidR="00871AF4" w:rsidRDefault="00871AF4" w:rsidP="003A22A2">
      <w:pPr>
        <w:jc w:val="left"/>
        <w:rPr>
          <w:rFonts w:ascii="Times New Roman" w:hAnsi="Times New Roman" w:cs="Times New Roman"/>
          <w:bCs/>
          <w:sz w:val="24"/>
          <w:szCs w:val="24"/>
        </w:rPr>
      </w:pPr>
      <w:r w:rsidRPr="00831A7E">
        <w:rPr>
          <w:rFonts w:ascii="Times New Roman" w:hAnsi="Times New Roman" w:cs="Times New Roman"/>
          <w:sz w:val="24"/>
          <w:szCs w:val="24"/>
        </w:rPr>
        <w:t>Após a comparação dos resultados do GC com GI utiliz</w:t>
      </w:r>
      <w:r w:rsidR="00781E5A" w:rsidRPr="00831A7E">
        <w:rPr>
          <w:rFonts w:ascii="Times New Roman" w:hAnsi="Times New Roman" w:cs="Times New Roman"/>
          <w:sz w:val="24"/>
          <w:szCs w:val="24"/>
        </w:rPr>
        <w:t xml:space="preserve">ou-se </w:t>
      </w:r>
      <w:r w:rsidRPr="00831A7E">
        <w:rPr>
          <w:rFonts w:ascii="Times New Roman" w:hAnsi="Times New Roman" w:cs="Times New Roman"/>
          <w:sz w:val="24"/>
          <w:szCs w:val="24"/>
        </w:rPr>
        <w:t xml:space="preserve">o </w:t>
      </w:r>
      <w:r w:rsidRPr="00831A7E">
        <w:rPr>
          <w:rFonts w:ascii="Times New Roman" w:hAnsi="Times New Roman" w:cs="Times New Roman"/>
          <w:i/>
          <w:sz w:val="24"/>
          <w:szCs w:val="24"/>
        </w:rPr>
        <w:t>Test t de Student</w:t>
      </w:r>
      <w:r w:rsidRPr="00831A7E">
        <w:rPr>
          <w:rFonts w:ascii="Times New Roman" w:hAnsi="Times New Roman" w:cs="Times New Roman"/>
          <w:sz w:val="24"/>
          <w:szCs w:val="24"/>
        </w:rPr>
        <w:t xml:space="preserve"> para amostras independentes, foi demonstrado </w:t>
      </w:r>
      <w:r w:rsidRPr="00520B42">
        <w:rPr>
          <w:rFonts w:ascii="Times New Roman" w:hAnsi="Times New Roman" w:cs="Times New Roman"/>
          <w:sz w:val="24"/>
          <w:szCs w:val="24"/>
        </w:rPr>
        <w:t>resultados superiores para o GC, o nível de significância foi de 5%. Tais resultados foram esperados</w:t>
      </w:r>
      <w:r w:rsidR="00DF208C" w:rsidRPr="00520B42">
        <w:rPr>
          <w:rFonts w:ascii="Times New Roman" w:hAnsi="Times New Roman" w:cs="Times New Roman"/>
          <w:sz w:val="24"/>
          <w:szCs w:val="24"/>
        </w:rPr>
        <w:t>,</w:t>
      </w:r>
      <w:r w:rsidRPr="00520B42">
        <w:rPr>
          <w:rFonts w:ascii="Times New Roman" w:hAnsi="Times New Roman" w:cs="Times New Roman"/>
          <w:sz w:val="24"/>
          <w:szCs w:val="24"/>
        </w:rPr>
        <w:t xml:space="preserve"> pois se trata</w:t>
      </w:r>
      <w:r w:rsidR="00DF208C" w:rsidRPr="00520B42">
        <w:rPr>
          <w:rFonts w:ascii="Times New Roman" w:hAnsi="Times New Roman" w:cs="Times New Roman"/>
          <w:sz w:val="24"/>
          <w:szCs w:val="24"/>
        </w:rPr>
        <w:t>-se</w:t>
      </w:r>
      <w:r w:rsidRPr="00520B42">
        <w:rPr>
          <w:rFonts w:ascii="Times New Roman" w:hAnsi="Times New Roman" w:cs="Times New Roman"/>
          <w:sz w:val="24"/>
          <w:szCs w:val="24"/>
        </w:rPr>
        <w:t xml:space="preserve"> da comparação de escolares sem transtornos e escolares com diagnóstico que</w:t>
      </w:r>
      <w:r w:rsidR="00DF208C" w:rsidRPr="00520B42">
        <w:rPr>
          <w:rFonts w:ascii="Times New Roman" w:hAnsi="Times New Roman" w:cs="Times New Roman"/>
          <w:sz w:val="24"/>
          <w:szCs w:val="24"/>
        </w:rPr>
        <w:t>,</w:t>
      </w:r>
      <w:r w:rsidRPr="00520B42">
        <w:rPr>
          <w:rFonts w:ascii="Times New Roman" w:hAnsi="Times New Roman" w:cs="Times New Roman"/>
          <w:sz w:val="24"/>
          <w:szCs w:val="24"/>
        </w:rPr>
        <w:t xml:space="preserve"> na maioria das vezes</w:t>
      </w:r>
      <w:r w:rsidR="00DF208C" w:rsidRPr="00520B42">
        <w:rPr>
          <w:rFonts w:ascii="Times New Roman" w:hAnsi="Times New Roman" w:cs="Times New Roman"/>
          <w:sz w:val="24"/>
          <w:szCs w:val="24"/>
        </w:rPr>
        <w:t>,</w:t>
      </w:r>
      <w:r w:rsidRPr="00520B42">
        <w:rPr>
          <w:rFonts w:ascii="Times New Roman" w:hAnsi="Times New Roman" w:cs="Times New Roman"/>
          <w:sz w:val="24"/>
          <w:szCs w:val="24"/>
        </w:rPr>
        <w:t xml:space="preserve"> interferem no aprendizado escolar. Esses achados estão de acordo com o</w:t>
      </w:r>
      <w:r w:rsidR="00DF208C" w:rsidRPr="00520B42">
        <w:rPr>
          <w:rFonts w:ascii="Times New Roman" w:hAnsi="Times New Roman" w:cs="Times New Roman"/>
          <w:sz w:val="24"/>
          <w:szCs w:val="24"/>
        </w:rPr>
        <w:t>s</w:t>
      </w:r>
      <w:r w:rsidRPr="00520B42">
        <w:rPr>
          <w:rFonts w:ascii="Times New Roman" w:hAnsi="Times New Roman" w:cs="Times New Roman"/>
          <w:sz w:val="24"/>
          <w:szCs w:val="24"/>
        </w:rPr>
        <w:t xml:space="preserve"> de outros estudos que compararam grupos de escolares com diagnósticos de necessidades especiais educacionais e escolares típicos (</w:t>
      </w:r>
      <w:r w:rsidRPr="00520B42">
        <w:rPr>
          <w:rFonts w:ascii="Times New Roman" w:hAnsi="Times New Roman" w:cs="Times New Roman"/>
          <w:bCs/>
          <w:sz w:val="24"/>
          <w:szCs w:val="24"/>
        </w:rPr>
        <w:t>F</w:t>
      </w:r>
      <w:r w:rsidR="00297B93" w:rsidRPr="00520B42">
        <w:rPr>
          <w:rFonts w:ascii="Times New Roman" w:hAnsi="Times New Roman" w:cs="Times New Roman"/>
          <w:bCs/>
          <w:sz w:val="24"/>
          <w:szCs w:val="24"/>
        </w:rPr>
        <w:t>erreira</w:t>
      </w:r>
      <w:r w:rsidRPr="00520B42">
        <w:rPr>
          <w:rFonts w:ascii="Times New Roman" w:hAnsi="Times New Roman" w:cs="Times New Roman"/>
          <w:bCs/>
          <w:sz w:val="24"/>
          <w:szCs w:val="24"/>
        </w:rPr>
        <w:t>, 2009; A</w:t>
      </w:r>
      <w:r w:rsidR="00297B93" w:rsidRPr="00520B42">
        <w:rPr>
          <w:rFonts w:ascii="Times New Roman" w:hAnsi="Times New Roman" w:cs="Times New Roman"/>
          <w:bCs/>
          <w:sz w:val="24"/>
          <w:szCs w:val="24"/>
        </w:rPr>
        <w:t>lves</w:t>
      </w:r>
      <w:r w:rsidRPr="00520B42">
        <w:rPr>
          <w:rFonts w:ascii="Times New Roman" w:hAnsi="Times New Roman" w:cs="Times New Roman"/>
          <w:bCs/>
          <w:sz w:val="24"/>
          <w:szCs w:val="24"/>
        </w:rPr>
        <w:t xml:space="preserve"> et al., 2015).</w:t>
      </w:r>
    </w:p>
    <w:p w14:paraId="0E5C562E" w14:textId="77777777" w:rsidR="003A22A2" w:rsidRPr="00520B42" w:rsidRDefault="003A22A2" w:rsidP="003A22A2">
      <w:pPr>
        <w:jc w:val="left"/>
        <w:rPr>
          <w:rFonts w:ascii="Times New Roman" w:hAnsi="Times New Roman" w:cs="Times New Roman"/>
          <w:bCs/>
          <w:sz w:val="24"/>
          <w:szCs w:val="24"/>
        </w:rPr>
      </w:pPr>
    </w:p>
    <w:p w14:paraId="05BF7772" w14:textId="0762D511" w:rsidR="00871AF4" w:rsidRDefault="00871AF4" w:rsidP="003A22A2">
      <w:pPr>
        <w:jc w:val="left"/>
        <w:rPr>
          <w:rFonts w:ascii="Times New Roman" w:hAnsi="Times New Roman" w:cs="Times New Roman"/>
          <w:sz w:val="24"/>
          <w:szCs w:val="24"/>
        </w:rPr>
      </w:pPr>
      <w:r w:rsidRPr="00520B42">
        <w:rPr>
          <w:rFonts w:ascii="Times New Roman" w:hAnsi="Times New Roman" w:cs="Times New Roman"/>
          <w:sz w:val="24"/>
          <w:szCs w:val="24"/>
        </w:rPr>
        <w:t xml:space="preserve">Na avaliação dos escolares com o diagnóstico de DI, presentes no 4° e 5° anos, observou-se desempenho não sugestivo de déficit nas variáveis “Texto completo” e “Acurácia” do texto completo, palavras e pseudopalavras, para os escolares do 4°ano. No entanto, na análise das mesmas variáveis no 5° ano, os resultados foram sugestivos de déficits para quase todas as variáveis observadas. No caso do grupo de escolares com TGD, presentes no 3° e 5° anos, os resultados foram piores para o 5° ano, especificamente na tarefa de leitura de palavras, no qual o desempenho foi sugestivo de déficit moderado à severo.  Sugere-se mais estudos sobre a evolução escolar de escolares com diagnóstico de TGD </w:t>
      </w:r>
      <w:r w:rsidR="00355C32" w:rsidRPr="00520B42">
        <w:rPr>
          <w:rFonts w:ascii="Times New Roman" w:hAnsi="Times New Roman" w:cs="Times New Roman"/>
          <w:sz w:val="24"/>
          <w:szCs w:val="24"/>
        </w:rPr>
        <w:t xml:space="preserve">e DI </w:t>
      </w:r>
      <w:r w:rsidRPr="00520B42">
        <w:rPr>
          <w:rFonts w:ascii="Times New Roman" w:hAnsi="Times New Roman" w:cs="Times New Roman"/>
          <w:sz w:val="24"/>
          <w:szCs w:val="24"/>
        </w:rPr>
        <w:t>para verificar se existe uma tendência de distanciamento entre os resultados de crianças desse público-alvo da educação especial e escolares sem queixas com o avanço da escolaridade.</w:t>
      </w:r>
    </w:p>
    <w:p w14:paraId="7594A30C" w14:textId="77777777" w:rsidR="003A22A2" w:rsidRPr="00520B42" w:rsidRDefault="003A22A2" w:rsidP="003A22A2">
      <w:pPr>
        <w:jc w:val="left"/>
        <w:rPr>
          <w:rFonts w:ascii="Times New Roman" w:hAnsi="Times New Roman" w:cs="Times New Roman"/>
          <w:sz w:val="24"/>
          <w:szCs w:val="24"/>
        </w:rPr>
      </w:pPr>
    </w:p>
    <w:p w14:paraId="1D561068" w14:textId="1BADF48D" w:rsidR="00871AF4" w:rsidRDefault="00355C32" w:rsidP="003A22A2">
      <w:pPr>
        <w:jc w:val="left"/>
        <w:rPr>
          <w:rFonts w:ascii="Times New Roman" w:hAnsi="Times New Roman" w:cs="Times New Roman"/>
          <w:sz w:val="24"/>
          <w:szCs w:val="24"/>
        </w:rPr>
      </w:pPr>
      <w:r w:rsidRPr="00520B42">
        <w:rPr>
          <w:rFonts w:ascii="Times New Roman" w:hAnsi="Times New Roman" w:cs="Times New Roman"/>
          <w:sz w:val="24"/>
          <w:szCs w:val="24"/>
        </w:rPr>
        <w:t>Desta forma</w:t>
      </w:r>
      <w:r w:rsidR="00DF208C" w:rsidRPr="00520B42">
        <w:rPr>
          <w:rFonts w:ascii="Times New Roman" w:hAnsi="Times New Roman" w:cs="Times New Roman"/>
          <w:sz w:val="24"/>
          <w:szCs w:val="24"/>
        </w:rPr>
        <w:t>, os</w:t>
      </w:r>
      <w:r w:rsidRPr="00520B42">
        <w:rPr>
          <w:rFonts w:ascii="Times New Roman" w:hAnsi="Times New Roman" w:cs="Times New Roman"/>
          <w:sz w:val="24"/>
          <w:szCs w:val="24"/>
        </w:rPr>
        <w:t xml:space="preserve"> </w:t>
      </w:r>
      <w:r w:rsidR="00871AF4" w:rsidRPr="00520B42">
        <w:rPr>
          <w:rFonts w:ascii="Times New Roman" w:hAnsi="Times New Roman" w:cs="Times New Roman"/>
          <w:sz w:val="24"/>
          <w:szCs w:val="24"/>
        </w:rPr>
        <w:t xml:space="preserve">resultados dos escolares com DI e TGD foram bem </w:t>
      </w:r>
      <w:r w:rsidR="00871AF4" w:rsidRPr="00831A7E">
        <w:rPr>
          <w:rFonts w:ascii="Times New Roman" w:hAnsi="Times New Roman" w:cs="Times New Roman"/>
          <w:sz w:val="24"/>
          <w:szCs w:val="24"/>
        </w:rPr>
        <w:t>variáveis, no</w:t>
      </w:r>
      <w:r w:rsidR="00D619B5" w:rsidRPr="00831A7E">
        <w:rPr>
          <w:rFonts w:ascii="Times New Roman" w:hAnsi="Times New Roman" w:cs="Times New Roman"/>
          <w:sz w:val="24"/>
          <w:szCs w:val="24"/>
        </w:rPr>
        <w:t>s</w:t>
      </w:r>
      <w:r w:rsidR="00871AF4" w:rsidRPr="00831A7E">
        <w:rPr>
          <w:rFonts w:ascii="Times New Roman" w:hAnsi="Times New Roman" w:cs="Times New Roman"/>
          <w:sz w:val="24"/>
          <w:szCs w:val="24"/>
        </w:rPr>
        <w:t xml:space="preserve"> qua</w:t>
      </w:r>
      <w:r w:rsidR="00D619B5" w:rsidRPr="00831A7E">
        <w:rPr>
          <w:rFonts w:ascii="Times New Roman" w:hAnsi="Times New Roman" w:cs="Times New Roman"/>
          <w:sz w:val="24"/>
          <w:szCs w:val="24"/>
        </w:rPr>
        <w:t>is</w:t>
      </w:r>
      <w:r w:rsidR="00871AF4" w:rsidRPr="00831A7E">
        <w:rPr>
          <w:rFonts w:ascii="Times New Roman" w:hAnsi="Times New Roman" w:cs="Times New Roman"/>
          <w:sz w:val="24"/>
          <w:szCs w:val="24"/>
        </w:rPr>
        <w:t xml:space="preserve"> alguns indivíduos apresentaram desempenho não sugestivo de déficit, enquanto outros apresentaram desempenho sugestivo de déficit importante. A pesquisa de </w:t>
      </w:r>
      <w:r w:rsidR="00871AF4" w:rsidRPr="00373682">
        <w:rPr>
          <w:rFonts w:ascii="Times New Roman" w:hAnsi="Times New Roman" w:cs="Times New Roman"/>
          <w:sz w:val="24"/>
          <w:szCs w:val="24"/>
          <w:shd w:val="clear" w:color="auto" w:fill="FFFFFF"/>
        </w:rPr>
        <w:t>Huemer</w:t>
      </w:r>
      <w:r w:rsidR="00F37958" w:rsidRPr="00373682">
        <w:rPr>
          <w:rFonts w:ascii="Times New Roman" w:hAnsi="Times New Roman" w:cs="Times New Roman"/>
          <w:sz w:val="24"/>
          <w:szCs w:val="24"/>
          <w:shd w:val="clear" w:color="auto" w:fill="FFFFFF"/>
        </w:rPr>
        <w:t xml:space="preserve"> e </w:t>
      </w:r>
      <w:r w:rsidR="00F37958" w:rsidRPr="00373682">
        <w:rPr>
          <w:rFonts w:ascii="Times New Roman" w:hAnsi="Times New Roman" w:cs="Times New Roman"/>
          <w:bCs/>
          <w:sz w:val="24"/>
          <w:szCs w:val="24"/>
        </w:rPr>
        <w:t>Mann</w:t>
      </w:r>
      <w:r w:rsidR="00F37958" w:rsidRPr="00373682">
        <w:rPr>
          <w:rFonts w:ascii="Times New Roman" w:hAnsi="Times New Roman" w:cs="Times New Roman"/>
          <w:sz w:val="24"/>
          <w:szCs w:val="24"/>
          <w:shd w:val="clear" w:color="auto" w:fill="FFFFFF"/>
        </w:rPr>
        <w:t xml:space="preserve"> </w:t>
      </w:r>
      <w:r w:rsidR="00871AF4" w:rsidRPr="00373682">
        <w:rPr>
          <w:rFonts w:ascii="Times New Roman" w:hAnsi="Times New Roman" w:cs="Times New Roman"/>
          <w:sz w:val="24"/>
          <w:szCs w:val="24"/>
          <w:shd w:val="clear" w:color="auto" w:fill="FFFFFF"/>
        </w:rPr>
        <w:t xml:space="preserve"> (2010) </w:t>
      </w:r>
      <w:r w:rsidR="00871AF4" w:rsidRPr="00373682">
        <w:rPr>
          <w:rFonts w:ascii="Times New Roman" w:hAnsi="Times New Roman" w:cs="Times New Roman"/>
          <w:sz w:val="24"/>
          <w:szCs w:val="24"/>
        </w:rPr>
        <w:t>forneceu dados importantes para o estudo do desempenho em fluência de leitura de alunos com TGD. Os resultados obtidos nas tarefas de compreensão demonstraram melhores resultados nas tarefas de decodificação e resultados muito aquém nas tarefas de compreensão. Acredita-se então que as dificuldades relacionadas a baixa compreensão ultrapassem a associação da compreensão e do desempenho em habilidades fonológicas. Estudos sugerem que a habilidade de decodificar palavras ou ler oralmente seja mais facilmente demonstrada do que o desenvolvimento de leitura com compreensão (N</w:t>
      </w:r>
      <w:r w:rsidR="00297B93" w:rsidRPr="00373682">
        <w:rPr>
          <w:rFonts w:ascii="Times New Roman" w:hAnsi="Times New Roman" w:cs="Times New Roman"/>
          <w:sz w:val="24"/>
          <w:szCs w:val="24"/>
        </w:rPr>
        <w:t>ation</w:t>
      </w:r>
      <w:r w:rsidR="00871AF4" w:rsidRPr="00373682">
        <w:rPr>
          <w:rFonts w:ascii="Times New Roman" w:hAnsi="Times New Roman" w:cs="Times New Roman"/>
          <w:sz w:val="24"/>
          <w:szCs w:val="24"/>
        </w:rPr>
        <w:t xml:space="preserve"> </w:t>
      </w:r>
      <w:r w:rsidR="00871AF4" w:rsidRPr="00A91FBD">
        <w:rPr>
          <w:rFonts w:ascii="Times New Roman" w:hAnsi="Times New Roman" w:cs="Times New Roman"/>
          <w:sz w:val="24"/>
          <w:szCs w:val="24"/>
        </w:rPr>
        <w:t>et al</w:t>
      </w:r>
      <w:r w:rsidR="00871AF4" w:rsidRPr="00373682">
        <w:rPr>
          <w:rFonts w:ascii="Times New Roman" w:hAnsi="Times New Roman" w:cs="Times New Roman"/>
          <w:i/>
          <w:iCs/>
          <w:sz w:val="24"/>
          <w:szCs w:val="24"/>
        </w:rPr>
        <w:t>.</w:t>
      </w:r>
      <w:r w:rsidR="00871AF4" w:rsidRPr="00373682">
        <w:rPr>
          <w:rFonts w:ascii="Times New Roman" w:hAnsi="Times New Roman" w:cs="Times New Roman"/>
          <w:sz w:val="24"/>
          <w:szCs w:val="24"/>
        </w:rPr>
        <w:t xml:space="preserve"> 2006; O’C</w:t>
      </w:r>
      <w:r w:rsidR="00297B93" w:rsidRPr="00373682">
        <w:rPr>
          <w:rFonts w:ascii="Times New Roman" w:hAnsi="Times New Roman" w:cs="Times New Roman"/>
          <w:sz w:val="24"/>
          <w:szCs w:val="24"/>
        </w:rPr>
        <w:t>onnor</w:t>
      </w:r>
      <w:r w:rsidR="00A91FBD">
        <w:rPr>
          <w:rFonts w:ascii="Times New Roman" w:hAnsi="Times New Roman" w:cs="Times New Roman"/>
          <w:sz w:val="24"/>
          <w:szCs w:val="24"/>
        </w:rPr>
        <w:t xml:space="preserve"> &amp;</w:t>
      </w:r>
      <w:r w:rsidR="00871AF4" w:rsidRPr="00373682">
        <w:rPr>
          <w:rFonts w:ascii="Times New Roman" w:hAnsi="Times New Roman" w:cs="Times New Roman"/>
          <w:sz w:val="24"/>
          <w:szCs w:val="24"/>
        </w:rPr>
        <w:t xml:space="preserve"> </w:t>
      </w:r>
      <w:r w:rsidR="00871AF4" w:rsidRPr="00373682">
        <w:rPr>
          <w:rFonts w:ascii="Times New Roman" w:hAnsi="Times New Roman" w:cs="Times New Roman"/>
          <w:sz w:val="24"/>
          <w:szCs w:val="24"/>
        </w:rPr>
        <w:lastRenderedPageBreak/>
        <w:t>K</w:t>
      </w:r>
      <w:r w:rsidR="00297B93" w:rsidRPr="00373682">
        <w:rPr>
          <w:rFonts w:ascii="Times New Roman" w:hAnsi="Times New Roman" w:cs="Times New Roman"/>
          <w:sz w:val="24"/>
          <w:szCs w:val="24"/>
        </w:rPr>
        <w:t>lein</w:t>
      </w:r>
      <w:r w:rsidR="00871AF4" w:rsidRPr="00373682">
        <w:rPr>
          <w:rFonts w:ascii="Times New Roman" w:hAnsi="Times New Roman" w:cs="Times New Roman"/>
          <w:sz w:val="24"/>
          <w:szCs w:val="24"/>
        </w:rPr>
        <w:t>, 2004). No entanto, sabe-se que as pessoas com esses tipos de transtornos apresentam uma variabilidade de desempenhos, por se tratar de um espectro (N</w:t>
      </w:r>
      <w:r w:rsidR="00297B93" w:rsidRPr="00373682">
        <w:rPr>
          <w:rFonts w:ascii="Times New Roman" w:hAnsi="Times New Roman" w:cs="Times New Roman"/>
          <w:sz w:val="24"/>
          <w:szCs w:val="24"/>
        </w:rPr>
        <w:t>ation</w:t>
      </w:r>
      <w:r w:rsidR="00871AF4" w:rsidRPr="00373682">
        <w:rPr>
          <w:rFonts w:ascii="Times New Roman" w:hAnsi="Times New Roman" w:cs="Times New Roman"/>
          <w:sz w:val="24"/>
          <w:szCs w:val="24"/>
        </w:rPr>
        <w:t xml:space="preserve"> </w:t>
      </w:r>
      <w:r w:rsidR="00DF208C" w:rsidRPr="00A91FBD">
        <w:rPr>
          <w:rFonts w:ascii="Times New Roman" w:hAnsi="Times New Roman" w:cs="Times New Roman"/>
          <w:sz w:val="24"/>
          <w:szCs w:val="24"/>
        </w:rPr>
        <w:t>et al</w:t>
      </w:r>
      <w:r w:rsidR="00DF208C" w:rsidRPr="00373682">
        <w:rPr>
          <w:rFonts w:ascii="Times New Roman" w:hAnsi="Times New Roman" w:cs="Times New Roman"/>
          <w:i/>
          <w:iCs/>
          <w:sz w:val="24"/>
          <w:szCs w:val="24"/>
        </w:rPr>
        <w:t>.</w:t>
      </w:r>
      <w:r w:rsidR="00871AF4" w:rsidRPr="00373682">
        <w:rPr>
          <w:rFonts w:ascii="Times New Roman" w:hAnsi="Times New Roman" w:cs="Times New Roman"/>
          <w:sz w:val="24"/>
          <w:szCs w:val="24"/>
        </w:rPr>
        <w:t xml:space="preserve"> 2006). Quanto aos escolares com DI, não foram encontrados estudos relacionados a fluência de leitura com esse público-alvo da educação especial, no entanto, </w:t>
      </w:r>
      <w:r w:rsidR="00DF208C" w:rsidRPr="00373682">
        <w:rPr>
          <w:rFonts w:ascii="Times New Roman" w:hAnsi="Times New Roman" w:cs="Times New Roman"/>
          <w:sz w:val="24"/>
          <w:szCs w:val="24"/>
        </w:rPr>
        <w:t xml:space="preserve">trata-se </w:t>
      </w:r>
      <w:r w:rsidR="00871AF4" w:rsidRPr="00373682">
        <w:rPr>
          <w:rFonts w:ascii="Times New Roman" w:hAnsi="Times New Roman" w:cs="Times New Roman"/>
          <w:sz w:val="24"/>
          <w:szCs w:val="24"/>
        </w:rPr>
        <w:t>de um grupo heterogêneo de crianças</w:t>
      </w:r>
      <w:r w:rsidR="00DF208C" w:rsidRPr="00373682">
        <w:rPr>
          <w:rFonts w:ascii="Times New Roman" w:hAnsi="Times New Roman" w:cs="Times New Roman"/>
          <w:sz w:val="24"/>
          <w:szCs w:val="24"/>
        </w:rPr>
        <w:t>,</w:t>
      </w:r>
      <w:r w:rsidR="00871AF4" w:rsidRPr="00373682">
        <w:rPr>
          <w:rFonts w:ascii="Times New Roman" w:hAnsi="Times New Roman" w:cs="Times New Roman"/>
          <w:sz w:val="24"/>
          <w:szCs w:val="24"/>
        </w:rPr>
        <w:t xml:space="preserve"> às quais as respostas variam de acordo com fatores orgânicos adquiridos ou herdados (B</w:t>
      </w:r>
      <w:r w:rsidR="00297B93" w:rsidRPr="00373682">
        <w:rPr>
          <w:rFonts w:ascii="Times New Roman" w:hAnsi="Times New Roman" w:cs="Times New Roman"/>
          <w:sz w:val="24"/>
          <w:szCs w:val="24"/>
        </w:rPr>
        <w:t>raun</w:t>
      </w:r>
      <w:r w:rsidR="00871AF4" w:rsidRPr="00831A7E">
        <w:rPr>
          <w:rFonts w:ascii="Times New Roman" w:hAnsi="Times New Roman" w:cs="Times New Roman"/>
          <w:sz w:val="24"/>
          <w:szCs w:val="24"/>
        </w:rPr>
        <w:t xml:space="preserve">, 2012). </w:t>
      </w:r>
    </w:p>
    <w:p w14:paraId="4A8837A5" w14:textId="77777777" w:rsidR="003A22A2" w:rsidRPr="00831A7E" w:rsidRDefault="003A22A2" w:rsidP="003A22A2">
      <w:pPr>
        <w:jc w:val="left"/>
        <w:rPr>
          <w:rFonts w:ascii="Times New Roman" w:hAnsi="Times New Roman" w:cs="Times New Roman"/>
          <w:sz w:val="24"/>
          <w:szCs w:val="24"/>
        </w:rPr>
      </w:pPr>
    </w:p>
    <w:p w14:paraId="09C01DE8" w14:textId="66CB9D17" w:rsidR="00871AF4" w:rsidRDefault="00871AF4" w:rsidP="003A22A2">
      <w:pPr>
        <w:jc w:val="left"/>
        <w:rPr>
          <w:rFonts w:ascii="Times New Roman" w:hAnsi="Times New Roman" w:cs="Times New Roman"/>
          <w:sz w:val="24"/>
          <w:szCs w:val="24"/>
          <w:shd w:val="clear" w:color="auto" w:fill="FFFFFF"/>
        </w:rPr>
      </w:pPr>
      <w:r w:rsidRPr="00831A7E">
        <w:rPr>
          <w:rFonts w:ascii="Times New Roman" w:hAnsi="Times New Roman" w:cs="Times New Roman"/>
          <w:sz w:val="24"/>
          <w:szCs w:val="24"/>
        </w:rPr>
        <w:t xml:space="preserve">Ao avaliar os escolares com TDAH, os resultados em grupo demonstram escores não sugestivos de déficit, para todas as variáveis avaliadas em todas as séries. No entanto, na análise individual, os resultados demonstraram grande variedade no desempenho dos escolares. Tais resultados demonstram que o desempenho superior de escolares pode mascarar o desempenho inadequado de outros, uma vez que na análise em grupo </w:t>
      </w:r>
      <w:r w:rsidR="00BF1B1C" w:rsidRPr="00831A7E">
        <w:rPr>
          <w:rFonts w:ascii="Times New Roman" w:hAnsi="Times New Roman" w:cs="Times New Roman"/>
          <w:sz w:val="24"/>
          <w:szCs w:val="24"/>
        </w:rPr>
        <w:t xml:space="preserve">se </w:t>
      </w:r>
      <w:r w:rsidRPr="00831A7E">
        <w:rPr>
          <w:rFonts w:ascii="Times New Roman" w:hAnsi="Times New Roman" w:cs="Times New Roman"/>
          <w:sz w:val="24"/>
          <w:szCs w:val="24"/>
        </w:rPr>
        <w:t xml:space="preserve">considera a média obtida por todos os escolares. Estudos têm demonstrado que há variabilidade nos resultados relacionados a leitura dos escolares com TDAH devido a fatores característicos a esse diagnóstico. </w:t>
      </w:r>
      <w:r w:rsidRPr="00831A7E">
        <w:rPr>
          <w:rFonts w:ascii="Times New Roman" w:hAnsi="Times New Roman" w:cs="Times New Roman"/>
          <w:sz w:val="24"/>
          <w:szCs w:val="24"/>
          <w:shd w:val="clear" w:color="auto" w:fill="FFFFFF"/>
        </w:rPr>
        <w:t>Isso é particularmente importante na fluência de leitura, pois algumas crianças podem ler impulsivamente uma palavra incorretamente, oralmente ou silenciosamente, o que, por sua vez, pode afetar sua interpretação ou compreensão do texto (P</w:t>
      </w:r>
      <w:r w:rsidR="00297B93" w:rsidRPr="00831A7E">
        <w:rPr>
          <w:rFonts w:ascii="Times New Roman" w:hAnsi="Times New Roman" w:cs="Times New Roman"/>
          <w:sz w:val="24"/>
          <w:szCs w:val="24"/>
          <w:shd w:val="clear" w:color="auto" w:fill="FFFFFF"/>
        </w:rPr>
        <w:t>ham</w:t>
      </w:r>
      <w:r w:rsidRPr="00831A7E">
        <w:rPr>
          <w:rFonts w:ascii="Times New Roman" w:hAnsi="Times New Roman" w:cs="Times New Roman"/>
          <w:sz w:val="24"/>
          <w:szCs w:val="24"/>
          <w:shd w:val="clear" w:color="auto" w:fill="FFFFFF"/>
        </w:rPr>
        <w:t xml:space="preserve">, 2016). </w:t>
      </w:r>
    </w:p>
    <w:p w14:paraId="2C5667A1" w14:textId="77777777" w:rsidR="003A22A2" w:rsidRPr="00831A7E" w:rsidRDefault="003A22A2" w:rsidP="003A22A2">
      <w:pPr>
        <w:jc w:val="left"/>
        <w:rPr>
          <w:rFonts w:ascii="Times New Roman" w:hAnsi="Times New Roman" w:cs="Times New Roman"/>
          <w:color w:val="FF0000"/>
          <w:sz w:val="24"/>
          <w:szCs w:val="24"/>
        </w:rPr>
      </w:pPr>
    </w:p>
    <w:p w14:paraId="2A4802A2" w14:textId="5EED6B56"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Quanto ao desempenho dos escolares com BV, apenas no 4° ano do ensino fundamental há um escolar com esse diagnóstico que demonstrou desempenho adequado em todas as variáveis avaliadas</w:t>
      </w:r>
      <w:r w:rsidR="00A91FBD" w:rsidRPr="00A91FBD">
        <w:rPr>
          <w:rFonts w:ascii="Times New Roman" w:hAnsi="Times New Roman" w:cs="Times New Roman"/>
          <w:color w:val="000000" w:themeColor="text1"/>
          <w:sz w:val="24"/>
          <w:szCs w:val="24"/>
        </w:rPr>
        <w:t xml:space="preserve">, </w:t>
      </w:r>
      <w:r w:rsidRPr="00831A7E">
        <w:rPr>
          <w:rFonts w:ascii="Times New Roman" w:hAnsi="Times New Roman" w:cs="Times New Roman"/>
          <w:sz w:val="24"/>
          <w:szCs w:val="24"/>
        </w:rPr>
        <w:t xml:space="preserve">exceto na leitura de palavras, no qual o desempenho foi sugestivo de déficit. Tal resultado pode ser explicado por uma dificuldade individual da criança, já que a amostra foi composta apenas por 1 escolar. </w:t>
      </w:r>
    </w:p>
    <w:p w14:paraId="647B1C3C" w14:textId="77777777" w:rsidR="003A22A2" w:rsidRPr="00831A7E" w:rsidRDefault="003A22A2" w:rsidP="003A22A2">
      <w:pPr>
        <w:jc w:val="left"/>
        <w:rPr>
          <w:rFonts w:ascii="Times New Roman" w:hAnsi="Times New Roman" w:cs="Times New Roman"/>
          <w:sz w:val="24"/>
          <w:szCs w:val="24"/>
        </w:rPr>
      </w:pPr>
    </w:p>
    <w:p w14:paraId="2799C0EB" w14:textId="61F70775" w:rsidR="00871AF4" w:rsidRDefault="00871AF4" w:rsidP="003A22A2">
      <w:pPr>
        <w:jc w:val="left"/>
        <w:rPr>
          <w:rFonts w:ascii="Times New Roman" w:hAnsi="Times New Roman" w:cs="Times New Roman"/>
          <w:sz w:val="24"/>
          <w:szCs w:val="24"/>
          <w:shd w:val="clear" w:color="auto" w:fill="FFFFFF"/>
        </w:rPr>
      </w:pPr>
      <w:r w:rsidRPr="00831A7E">
        <w:rPr>
          <w:rFonts w:ascii="Times New Roman" w:hAnsi="Times New Roman" w:cs="Times New Roman"/>
          <w:sz w:val="24"/>
          <w:szCs w:val="24"/>
        </w:rPr>
        <w:t>Quanto ao desempenho dos escolares com DF, o desempenho das crianças foi diversificado principalmente nas variáveis relacionadas a leitura do texto e palavras, bem como com as questões de compreensão, que demonstraram escores sugestivos de déficit. Uma possível justificativa para os achados relacionados as crianças com DF seria a presença de apraxia de fala infantil, uma vez que a fluência tem impacto na compreensão de leitura. A apraxia de fala infantil é marcada principalmente por alterações na produção de palavras, marcadas por distorções e erros fonêmicos ou alterações na prosódia (</w:t>
      </w:r>
      <w:r w:rsidRPr="00831A7E">
        <w:rPr>
          <w:rFonts w:ascii="Times New Roman" w:hAnsi="Times New Roman" w:cs="Times New Roman"/>
          <w:sz w:val="24"/>
          <w:szCs w:val="24"/>
          <w:shd w:val="clear" w:color="auto" w:fill="FFFFFF"/>
        </w:rPr>
        <w:t>S</w:t>
      </w:r>
      <w:r w:rsidR="00297B93" w:rsidRPr="00831A7E">
        <w:rPr>
          <w:rFonts w:ascii="Times New Roman" w:hAnsi="Times New Roman" w:cs="Times New Roman"/>
          <w:sz w:val="24"/>
          <w:szCs w:val="24"/>
          <w:shd w:val="clear" w:color="auto" w:fill="FFFFFF"/>
        </w:rPr>
        <w:t>antos</w:t>
      </w:r>
      <w:r w:rsidRPr="00831A7E">
        <w:rPr>
          <w:rFonts w:ascii="Times New Roman" w:hAnsi="Times New Roman" w:cs="Times New Roman"/>
          <w:sz w:val="24"/>
          <w:szCs w:val="24"/>
          <w:shd w:val="clear" w:color="auto" w:fill="FFFFFF"/>
        </w:rPr>
        <w:t>, 2019). Ressalta-se aqui a importância de estudos que avaliem também a apraxia de fala nesse público para que se possa fazer uma separação clara entre dificuldade de planejamento e programação motora e fluência de leitura.</w:t>
      </w:r>
    </w:p>
    <w:p w14:paraId="5CE5EF4A" w14:textId="77777777" w:rsidR="003A22A2" w:rsidRPr="00831A7E" w:rsidRDefault="003A22A2" w:rsidP="003A22A2">
      <w:pPr>
        <w:jc w:val="left"/>
        <w:rPr>
          <w:rFonts w:ascii="Times New Roman" w:hAnsi="Times New Roman" w:cs="Times New Roman"/>
          <w:sz w:val="24"/>
          <w:szCs w:val="24"/>
        </w:rPr>
      </w:pPr>
    </w:p>
    <w:p w14:paraId="508AB676" w14:textId="7C19D746"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 xml:space="preserve">O grupo de AH foi composto por apenas um escolar matriculado no 4° ano, que demonstrou resultados não </w:t>
      </w:r>
      <w:r w:rsidRPr="00373682">
        <w:rPr>
          <w:rFonts w:ascii="Times New Roman" w:hAnsi="Times New Roman" w:cs="Times New Roman"/>
          <w:sz w:val="24"/>
          <w:szCs w:val="24"/>
        </w:rPr>
        <w:t>sugestivos de déficit em todas as tarefas</w:t>
      </w:r>
      <w:r w:rsidR="00781E5A" w:rsidRPr="00373682">
        <w:rPr>
          <w:rFonts w:ascii="Times New Roman" w:hAnsi="Times New Roman" w:cs="Times New Roman"/>
          <w:sz w:val="24"/>
          <w:szCs w:val="24"/>
        </w:rPr>
        <w:t xml:space="preserve"> e foi evidenciado </w:t>
      </w:r>
      <w:r w:rsidRPr="00373682">
        <w:rPr>
          <w:rFonts w:ascii="Times New Roman" w:hAnsi="Times New Roman" w:cs="Times New Roman"/>
          <w:sz w:val="24"/>
          <w:szCs w:val="24"/>
        </w:rPr>
        <w:t>o que era esperado pelos pesquisadores do presente estudo, pois o bom desempenho acadêmico é esperado em escolares com AH. Mettrau</w:t>
      </w:r>
      <w:r w:rsidR="00F37958" w:rsidRPr="00373682">
        <w:rPr>
          <w:rFonts w:ascii="Times New Roman" w:hAnsi="Times New Roman" w:cs="Times New Roman"/>
          <w:sz w:val="24"/>
          <w:szCs w:val="24"/>
        </w:rPr>
        <w:t xml:space="preserve"> e Reis</w:t>
      </w:r>
      <w:r w:rsidRPr="00373682">
        <w:rPr>
          <w:rFonts w:ascii="Times New Roman" w:hAnsi="Times New Roman" w:cs="Times New Roman"/>
          <w:sz w:val="24"/>
          <w:szCs w:val="24"/>
        </w:rPr>
        <w:t xml:space="preserve"> (2007) traz em seus estudos diversas definições acerca das pessoas com AH em uma delas ele aborda evidência da aptidão acadêmica específica, com atenção, concentração, aprendizagem rápida, facilidade em memorizar e motivação no aprendizado de disciplinas acadêmicas as quais os alunos se interesse.</w:t>
      </w:r>
    </w:p>
    <w:p w14:paraId="0664A021" w14:textId="77777777" w:rsidR="003A22A2" w:rsidRPr="00373682" w:rsidRDefault="003A22A2" w:rsidP="003A22A2">
      <w:pPr>
        <w:jc w:val="left"/>
        <w:rPr>
          <w:rFonts w:ascii="Times New Roman" w:hAnsi="Times New Roman" w:cs="Times New Roman"/>
          <w:sz w:val="24"/>
          <w:szCs w:val="24"/>
        </w:rPr>
      </w:pPr>
    </w:p>
    <w:p w14:paraId="50FB8820" w14:textId="77777777" w:rsidR="004601B0" w:rsidRDefault="00871AF4" w:rsidP="003A22A2">
      <w:pPr>
        <w:jc w:val="left"/>
        <w:rPr>
          <w:rFonts w:ascii="Times New Roman" w:hAnsi="Times New Roman" w:cs="Times New Roman"/>
          <w:sz w:val="24"/>
          <w:szCs w:val="24"/>
        </w:rPr>
      </w:pPr>
      <w:r w:rsidRPr="00373682">
        <w:rPr>
          <w:rFonts w:ascii="Times New Roman" w:hAnsi="Times New Roman" w:cs="Times New Roman"/>
          <w:sz w:val="24"/>
          <w:szCs w:val="24"/>
        </w:rPr>
        <w:t xml:space="preserve">Os escolares com </w:t>
      </w:r>
      <w:r w:rsidR="000B6548" w:rsidRPr="00373682">
        <w:rPr>
          <w:rFonts w:ascii="Times New Roman" w:hAnsi="Times New Roman" w:cs="Times New Roman"/>
          <w:sz w:val="24"/>
          <w:szCs w:val="24"/>
        </w:rPr>
        <w:t>TPA</w:t>
      </w:r>
      <w:r w:rsidRPr="00373682">
        <w:rPr>
          <w:rFonts w:ascii="Times New Roman" w:hAnsi="Times New Roman" w:cs="Times New Roman"/>
          <w:sz w:val="24"/>
          <w:szCs w:val="24"/>
        </w:rPr>
        <w:t xml:space="preserve"> demonstraram desempenhos variados nas tarefas avaliadas, com escores inferiores na leitura do texto, palavras e pseudopalavras. Esses achados vão </w:t>
      </w:r>
      <w:r w:rsidR="00373682" w:rsidRPr="00373682">
        <w:rPr>
          <w:rFonts w:ascii="Times New Roman" w:hAnsi="Times New Roman" w:cs="Times New Roman"/>
          <w:sz w:val="24"/>
          <w:szCs w:val="24"/>
        </w:rPr>
        <w:t>ao</w:t>
      </w:r>
      <w:r w:rsidR="000B6548" w:rsidRPr="00373682">
        <w:rPr>
          <w:rFonts w:ascii="Times New Roman" w:hAnsi="Times New Roman" w:cs="Times New Roman"/>
          <w:sz w:val="24"/>
          <w:szCs w:val="24"/>
        </w:rPr>
        <w:t xml:space="preserve"> </w:t>
      </w:r>
      <w:r w:rsidRPr="00373682">
        <w:rPr>
          <w:rFonts w:ascii="Times New Roman" w:hAnsi="Times New Roman" w:cs="Times New Roman"/>
          <w:sz w:val="24"/>
          <w:szCs w:val="24"/>
        </w:rPr>
        <w:t xml:space="preserve"> </w:t>
      </w:r>
    </w:p>
    <w:p w14:paraId="7486A475" w14:textId="423A487C" w:rsidR="00871AF4" w:rsidRDefault="00871AF4" w:rsidP="003A22A2">
      <w:pPr>
        <w:jc w:val="left"/>
        <w:rPr>
          <w:rFonts w:ascii="Times New Roman" w:hAnsi="Times New Roman" w:cs="Times New Roman"/>
          <w:sz w:val="24"/>
          <w:szCs w:val="24"/>
          <w:shd w:val="clear" w:color="auto" w:fill="FFFFFF"/>
        </w:rPr>
      </w:pPr>
      <w:r w:rsidRPr="00373682">
        <w:rPr>
          <w:rFonts w:ascii="Times New Roman" w:hAnsi="Times New Roman" w:cs="Times New Roman"/>
          <w:sz w:val="24"/>
          <w:szCs w:val="24"/>
        </w:rPr>
        <w:t xml:space="preserve">encontro </w:t>
      </w:r>
      <w:r w:rsidR="00373682" w:rsidRPr="00373682">
        <w:rPr>
          <w:rFonts w:ascii="Times New Roman" w:hAnsi="Times New Roman" w:cs="Times New Roman"/>
          <w:sz w:val="24"/>
          <w:szCs w:val="24"/>
        </w:rPr>
        <w:t>dos</w:t>
      </w:r>
      <w:r w:rsidRPr="00373682">
        <w:rPr>
          <w:rFonts w:ascii="Times New Roman" w:hAnsi="Times New Roman" w:cs="Times New Roman"/>
          <w:sz w:val="24"/>
          <w:szCs w:val="24"/>
        </w:rPr>
        <w:t xml:space="preserve"> encontrados no estudo de </w:t>
      </w:r>
      <w:r w:rsidRPr="00373682">
        <w:rPr>
          <w:rFonts w:ascii="Times New Roman" w:hAnsi="Times New Roman" w:cs="Times New Roman"/>
          <w:sz w:val="24"/>
          <w:szCs w:val="24"/>
          <w:shd w:val="clear" w:color="auto" w:fill="FFFFFF"/>
        </w:rPr>
        <w:t xml:space="preserve">Sharma </w:t>
      </w:r>
      <w:r w:rsidR="00500460" w:rsidRPr="00373682">
        <w:rPr>
          <w:rFonts w:ascii="Times New Roman" w:hAnsi="Times New Roman" w:cs="Times New Roman"/>
          <w:i/>
          <w:iCs/>
          <w:sz w:val="24"/>
          <w:szCs w:val="24"/>
        </w:rPr>
        <w:t>et al.</w:t>
      </w:r>
      <w:r w:rsidR="00500460" w:rsidRPr="00373682">
        <w:rPr>
          <w:rFonts w:ascii="Times New Roman" w:hAnsi="Times New Roman" w:cs="Times New Roman"/>
          <w:sz w:val="24"/>
          <w:szCs w:val="24"/>
          <w:shd w:val="clear" w:color="auto" w:fill="FFFFFF"/>
        </w:rPr>
        <w:t xml:space="preserve"> </w:t>
      </w:r>
      <w:r w:rsidRPr="00373682">
        <w:rPr>
          <w:rFonts w:ascii="Times New Roman" w:hAnsi="Times New Roman" w:cs="Times New Roman"/>
          <w:sz w:val="24"/>
          <w:szCs w:val="24"/>
          <w:shd w:val="clear" w:color="auto" w:fill="FFFFFF"/>
        </w:rPr>
        <w:t>(2006</w:t>
      </w:r>
      <w:r w:rsidRPr="00831A7E">
        <w:rPr>
          <w:rFonts w:ascii="Times New Roman" w:hAnsi="Times New Roman" w:cs="Times New Roman"/>
          <w:sz w:val="24"/>
          <w:szCs w:val="24"/>
          <w:shd w:val="clear" w:color="auto" w:fill="FFFFFF"/>
        </w:rPr>
        <w:t>) no qual, houve associação entre distúrbios da leitura e distúrbios no processamento auditivo central, as variáveis avaliadas no estudo em questão, foi a leitura de palavras e pseudopalavras.</w:t>
      </w:r>
    </w:p>
    <w:p w14:paraId="3DE23B02" w14:textId="77777777" w:rsidR="003A22A2" w:rsidRPr="00831A7E" w:rsidRDefault="003A22A2" w:rsidP="003A22A2">
      <w:pPr>
        <w:jc w:val="left"/>
        <w:rPr>
          <w:rFonts w:ascii="Times New Roman" w:hAnsi="Times New Roman" w:cs="Times New Roman"/>
          <w:sz w:val="24"/>
          <w:szCs w:val="24"/>
        </w:rPr>
      </w:pPr>
    </w:p>
    <w:p w14:paraId="6C60034E" w14:textId="2AFE84EF"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Na avaliação da compreensão foi possível observar melhores desempenho para o GC do que para o GI. Tanto o GC quanto o GI apresentaram escores significativamente maiores na compreensão das questões literais, quando comparadas às inferenciais. O estudo de Baretta e Pereira (2018) que avaliou o desempenho de escolares sem queixas do Ensino Fundamental obtiveram resultados similares ao do presente estudo, no qual o desempenho foi significativamente melhor nas questões literais. E ainda, o estudo concluiu que o nível de seriação interfere no desempenho dos escolares, pois os escolares de séries mais avançadas conseguiram fazer mais inferências do que os dos anos anteriores.</w:t>
      </w:r>
    </w:p>
    <w:p w14:paraId="013E8A10" w14:textId="77777777" w:rsidR="003A22A2" w:rsidRPr="00831A7E" w:rsidRDefault="003A22A2" w:rsidP="003A22A2">
      <w:pPr>
        <w:jc w:val="left"/>
        <w:rPr>
          <w:rFonts w:ascii="Times New Roman" w:hAnsi="Times New Roman" w:cs="Times New Roman"/>
          <w:sz w:val="24"/>
          <w:szCs w:val="24"/>
        </w:rPr>
      </w:pPr>
    </w:p>
    <w:p w14:paraId="3A6BA945" w14:textId="574334FE"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De modo geral, ao comparar o desempenho dos escolares nas análises individuais e em grupo foi possível verificar que a maioria dos grupos de necessidades especiais do PAEE se comportam de forma heterogênea, uma vez que os resultados encontrados nas análises em grupos diferiram dos resultados encontrados na análise individual.</w:t>
      </w:r>
    </w:p>
    <w:p w14:paraId="4854E26B" w14:textId="77777777" w:rsidR="003A22A2" w:rsidRPr="00831A7E" w:rsidRDefault="003A22A2" w:rsidP="003A22A2">
      <w:pPr>
        <w:jc w:val="left"/>
        <w:rPr>
          <w:rFonts w:ascii="Times New Roman" w:hAnsi="Times New Roman" w:cs="Times New Roman"/>
          <w:sz w:val="24"/>
          <w:szCs w:val="24"/>
        </w:rPr>
      </w:pPr>
    </w:p>
    <w:p w14:paraId="56132AD6" w14:textId="7B7F089F" w:rsidR="00FE726C"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Isso demonstra a importância de avaliações individuais que permitam quantificar e acompanhar de forma objetiva o desempenho dos escolares. Um importante resultado desta pesquisa foi a evidência de que a análise apenas em grupo pode mascarar o desempenho individual dos alunos.</w:t>
      </w:r>
      <w:r w:rsidRPr="00831A7E">
        <w:rPr>
          <w:rFonts w:ascii="Times New Roman" w:eastAsia="Arial" w:hAnsi="Times New Roman" w:cs="Times New Roman"/>
          <w:sz w:val="24"/>
          <w:szCs w:val="24"/>
        </w:rPr>
        <w:t xml:space="preserve"> </w:t>
      </w:r>
      <w:r w:rsidRPr="00831A7E">
        <w:rPr>
          <w:rFonts w:ascii="Times New Roman" w:hAnsi="Times New Roman" w:cs="Times New Roman"/>
          <w:sz w:val="24"/>
          <w:szCs w:val="24"/>
        </w:rPr>
        <w:t xml:space="preserve">A avaliação individual permite que o professor identifique a variável de </w:t>
      </w:r>
      <w:r w:rsidRPr="00831A7E">
        <w:rPr>
          <w:rFonts w:ascii="Times New Roman" w:hAnsi="Times New Roman" w:cs="Times New Roman"/>
          <w:sz w:val="24"/>
          <w:szCs w:val="24"/>
        </w:rPr>
        <w:lastRenderedPageBreak/>
        <w:t xml:space="preserve">maior dificuldade para o escolar, </w:t>
      </w:r>
      <w:r w:rsidR="002A749D" w:rsidRPr="00831A7E">
        <w:rPr>
          <w:rFonts w:ascii="Times New Roman" w:hAnsi="Times New Roman" w:cs="Times New Roman"/>
          <w:sz w:val="24"/>
          <w:szCs w:val="24"/>
        </w:rPr>
        <w:t xml:space="preserve">que possibilita </w:t>
      </w:r>
      <w:r w:rsidRPr="00831A7E">
        <w:rPr>
          <w:rFonts w:ascii="Times New Roman" w:hAnsi="Times New Roman" w:cs="Times New Roman"/>
          <w:sz w:val="24"/>
          <w:szCs w:val="24"/>
        </w:rPr>
        <w:t xml:space="preserve">um trabalho direcionado em favor das habilidades mais difíceis para os escolares. </w:t>
      </w:r>
    </w:p>
    <w:p w14:paraId="537AAF3A" w14:textId="77777777" w:rsidR="003A22A2" w:rsidRPr="00831A7E" w:rsidRDefault="003A22A2" w:rsidP="003A22A2">
      <w:pPr>
        <w:jc w:val="left"/>
        <w:rPr>
          <w:rFonts w:ascii="Times New Roman" w:hAnsi="Times New Roman" w:cs="Times New Roman"/>
          <w:sz w:val="24"/>
          <w:szCs w:val="24"/>
        </w:rPr>
      </w:pPr>
    </w:p>
    <w:p w14:paraId="2E1F8607" w14:textId="24A11A77" w:rsidR="00FE726C" w:rsidRDefault="00FE726C" w:rsidP="003A22A2">
      <w:pPr>
        <w:jc w:val="left"/>
        <w:rPr>
          <w:rFonts w:ascii="Times New Roman" w:hAnsi="Times New Roman" w:cs="Times New Roman"/>
          <w:sz w:val="24"/>
          <w:szCs w:val="24"/>
        </w:rPr>
      </w:pPr>
      <w:r w:rsidRPr="00831A7E">
        <w:rPr>
          <w:rFonts w:ascii="Times New Roman" w:hAnsi="Times New Roman" w:cs="Times New Roman"/>
          <w:sz w:val="24"/>
          <w:szCs w:val="24"/>
        </w:rPr>
        <w:t xml:space="preserve">A metodologia abordada no estudo demonstrou que é possível avaliar a fluência de leitura dos escolares do </w:t>
      </w:r>
      <w:r w:rsidR="00F928B5" w:rsidRPr="00831A7E">
        <w:rPr>
          <w:rFonts w:ascii="Times New Roman" w:hAnsi="Times New Roman" w:cs="Times New Roman"/>
          <w:sz w:val="24"/>
          <w:szCs w:val="24"/>
        </w:rPr>
        <w:t xml:space="preserve">PAAE </w:t>
      </w:r>
      <w:r w:rsidRPr="00831A7E">
        <w:rPr>
          <w:rFonts w:ascii="Times New Roman" w:hAnsi="Times New Roman" w:cs="Times New Roman"/>
          <w:sz w:val="24"/>
          <w:szCs w:val="24"/>
        </w:rPr>
        <w:t xml:space="preserve">dispendendo de poucos minutos durante as aulas. No entanto, o deslocamento dos escolares para a sala na qual a leitura foi realizada de forma individual, aumentou o tempo gasto nas coletas de dados, visto que, sempre havia um dos pesquisadores acompanhando os escolares no percurso de ida e volta do local em que as coletas ocorreram. Dessa forma, se a avaliação fosse realizada em local que dispusesse de mais de um computador, como em uma sala de informática, a avaliação seria realizada de forma mais rápida. </w:t>
      </w:r>
    </w:p>
    <w:p w14:paraId="53810B44" w14:textId="77777777" w:rsidR="003A22A2" w:rsidRPr="00831A7E" w:rsidRDefault="003A22A2" w:rsidP="003A22A2">
      <w:pPr>
        <w:jc w:val="left"/>
        <w:rPr>
          <w:rFonts w:ascii="Times New Roman" w:hAnsi="Times New Roman" w:cs="Times New Roman"/>
          <w:sz w:val="24"/>
          <w:szCs w:val="24"/>
        </w:rPr>
      </w:pPr>
    </w:p>
    <w:p w14:paraId="61D11BAC" w14:textId="5C11760E" w:rsidR="00FE726C" w:rsidRDefault="00FE726C" w:rsidP="003A22A2">
      <w:pPr>
        <w:jc w:val="left"/>
        <w:rPr>
          <w:rFonts w:ascii="Times New Roman" w:hAnsi="Times New Roman" w:cs="Times New Roman"/>
          <w:sz w:val="24"/>
          <w:szCs w:val="24"/>
        </w:rPr>
      </w:pPr>
      <w:r w:rsidRPr="00831A7E">
        <w:rPr>
          <w:rFonts w:ascii="Times New Roman" w:hAnsi="Times New Roman" w:cs="Times New Roman"/>
          <w:sz w:val="24"/>
          <w:szCs w:val="24"/>
        </w:rPr>
        <w:t xml:space="preserve">O uso do </w:t>
      </w:r>
      <w:r w:rsidR="003943F7" w:rsidRPr="00831A7E">
        <w:rPr>
          <w:rFonts w:ascii="Times New Roman" w:hAnsi="Times New Roman" w:cs="Times New Roman"/>
          <w:i/>
          <w:sz w:val="24"/>
          <w:szCs w:val="24"/>
        </w:rPr>
        <w:t xml:space="preserve">software </w:t>
      </w:r>
      <w:r w:rsidR="003943F7" w:rsidRPr="00831A7E">
        <w:rPr>
          <w:rFonts w:ascii="Times New Roman" w:hAnsi="Times New Roman" w:cs="Times New Roman"/>
          <w:i/>
          <w:iCs/>
          <w:sz w:val="24"/>
          <w:szCs w:val="24"/>
        </w:rPr>
        <w:t>LEPIC</w:t>
      </w:r>
      <w:r w:rsidR="0000441D" w:rsidRPr="00831A7E">
        <w:rPr>
          <w:rFonts w:ascii="Times New Roman" w:hAnsi="Times New Roman" w:cs="Times New Roman"/>
          <w:i/>
          <w:iCs/>
          <w:sz w:val="24"/>
          <w:szCs w:val="24"/>
        </w:rPr>
        <w:t xml:space="preserve"> </w:t>
      </w:r>
      <w:r w:rsidR="003943F7" w:rsidRPr="00831A7E">
        <w:rPr>
          <w:rFonts w:ascii="Times New Roman" w:hAnsi="Times New Roman" w:cs="Times New Roman"/>
          <w:i/>
          <w:sz w:val="24"/>
          <w:szCs w:val="24"/>
        </w:rPr>
        <w:t xml:space="preserve">® </w:t>
      </w:r>
      <w:r w:rsidRPr="00831A7E">
        <w:rPr>
          <w:rFonts w:ascii="Times New Roman" w:hAnsi="Times New Roman" w:cs="Times New Roman"/>
          <w:sz w:val="24"/>
          <w:szCs w:val="24"/>
        </w:rPr>
        <w:t>proporcionou maior rapidez na avaliação dos escolares, bem como, na obtenção dos resultados alcançados por cada estudante. Porém, cálculo do escore Z utilizado para quantificar o risco de déficit na leitura dos escolares é uma tarefa difícil de ser realizada</w:t>
      </w:r>
      <w:r w:rsidR="00F271D2" w:rsidRPr="00831A7E">
        <w:rPr>
          <w:rFonts w:ascii="Times New Roman" w:hAnsi="Times New Roman" w:cs="Times New Roman"/>
          <w:sz w:val="24"/>
          <w:szCs w:val="24"/>
        </w:rPr>
        <w:t>, q</w:t>
      </w:r>
      <w:r w:rsidRPr="00831A7E">
        <w:rPr>
          <w:rFonts w:ascii="Times New Roman" w:hAnsi="Times New Roman" w:cs="Times New Roman"/>
          <w:sz w:val="24"/>
          <w:szCs w:val="24"/>
        </w:rPr>
        <w:t>ue demanda tempo e necessidade de armazenamento dos dados em banco de dados</w:t>
      </w:r>
      <w:r w:rsidR="00F271D2" w:rsidRPr="00831A7E">
        <w:rPr>
          <w:rFonts w:ascii="Times New Roman" w:hAnsi="Times New Roman" w:cs="Times New Roman"/>
          <w:sz w:val="24"/>
          <w:szCs w:val="24"/>
        </w:rPr>
        <w:t>. Dessa forma</w:t>
      </w:r>
      <w:r w:rsidRPr="00831A7E">
        <w:rPr>
          <w:rFonts w:ascii="Times New Roman" w:hAnsi="Times New Roman" w:cs="Times New Roman"/>
          <w:sz w:val="24"/>
          <w:szCs w:val="24"/>
        </w:rPr>
        <w:t xml:space="preserve">, seria interessante </w:t>
      </w:r>
      <w:r w:rsidR="00F271D2" w:rsidRPr="00831A7E">
        <w:rPr>
          <w:rFonts w:ascii="Times New Roman" w:hAnsi="Times New Roman" w:cs="Times New Roman"/>
          <w:sz w:val="24"/>
          <w:szCs w:val="24"/>
        </w:rPr>
        <w:t xml:space="preserve">a implementação do cálculo do escore Z em </w:t>
      </w:r>
      <w:r w:rsidR="00F271D2" w:rsidRPr="00831A7E">
        <w:rPr>
          <w:rFonts w:ascii="Times New Roman" w:hAnsi="Times New Roman" w:cs="Times New Roman"/>
          <w:i/>
          <w:iCs/>
          <w:sz w:val="24"/>
          <w:szCs w:val="24"/>
        </w:rPr>
        <w:t>softwares</w:t>
      </w:r>
      <w:r w:rsidR="00F271D2" w:rsidRPr="00831A7E">
        <w:rPr>
          <w:rFonts w:ascii="Times New Roman" w:hAnsi="Times New Roman" w:cs="Times New Roman"/>
          <w:sz w:val="24"/>
          <w:szCs w:val="24"/>
        </w:rPr>
        <w:t xml:space="preserve"> que preexistentes como o </w:t>
      </w:r>
      <w:r w:rsidR="0000441D" w:rsidRPr="00831A7E">
        <w:rPr>
          <w:rFonts w:ascii="Times New Roman" w:hAnsi="Times New Roman" w:cs="Times New Roman"/>
          <w:i/>
          <w:iCs/>
          <w:sz w:val="24"/>
          <w:szCs w:val="24"/>
        </w:rPr>
        <w:t xml:space="preserve">LEPIC </w:t>
      </w:r>
      <w:r w:rsidR="0000441D" w:rsidRPr="00831A7E">
        <w:rPr>
          <w:rFonts w:ascii="Times New Roman" w:hAnsi="Times New Roman" w:cs="Times New Roman"/>
          <w:i/>
          <w:sz w:val="24"/>
          <w:szCs w:val="24"/>
        </w:rPr>
        <w:t>®</w:t>
      </w:r>
      <w:r w:rsidR="00F271D2" w:rsidRPr="00831A7E">
        <w:rPr>
          <w:rFonts w:ascii="Times New Roman" w:hAnsi="Times New Roman" w:cs="Times New Roman"/>
          <w:sz w:val="24"/>
          <w:szCs w:val="24"/>
        </w:rPr>
        <w:t xml:space="preserve">, ou até mesmo o </w:t>
      </w:r>
      <w:r w:rsidRPr="00831A7E">
        <w:rPr>
          <w:rFonts w:ascii="Times New Roman" w:hAnsi="Times New Roman" w:cs="Times New Roman"/>
          <w:sz w:val="24"/>
          <w:szCs w:val="24"/>
        </w:rPr>
        <w:t xml:space="preserve">desenvolvimento de </w:t>
      </w:r>
      <w:r w:rsidR="00F271D2" w:rsidRPr="00831A7E">
        <w:rPr>
          <w:rFonts w:ascii="Times New Roman" w:hAnsi="Times New Roman" w:cs="Times New Roman"/>
          <w:sz w:val="24"/>
          <w:szCs w:val="24"/>
        </w:rPr>
        <w:t>novos</w:t>
      </w:r>
      <w:r w:rsidRPr="00831A7E">
        <w:rPr>
          <w:rFonts w:ascii="Times New Roman" w:hAnsi="Times New Roman" w:cs="Times New Roman"/>
          <w:sz w:val="24"/>
          <w:szCs w:val="24"/>
        </w:rPr>
        <w:t xml:space="preserve"> instrumento</w:t>
      </w:r>
      <w:r w:rsidR="00F271D2" w:rsidRPr="00831A7E">
        <w:rPr>
          <w:rFonts w:ascii="Times New Roman" w:hAnsi="Times New Roman" w:cs="Times New Roman"/>
          <w:sz w:val="24"/>
          <w:szCs w:val="24"/>
        </w:rPr>
        <w:t>s</w:t>
      </w:r>
      <w:r w:rsidRPr="00831A7E">
        <w:rPr>
          <w:rFonts w:ascii="Times New Roman" w:hAnsi="Times New Roman" w:cs="Times New Roman"/>
          <w:sz w:val="24"/>
          <w:szCs w:val="24"/>
        </w:rPr>
        <w:t xml:space="preserve"> que </w:t>
      </w:r>
      <w:r w:rsidR="00F271D2" w:rsidRPr="00831A7E">
        <w:rPr>
          <w:rFonts w:ascii="Times New Roman" w:hAnsi="Times New Roman" w:cs="Times New Roman"/>
          <w:sz w:val="24"/>
          <w:szCs w:val="24"/>
        </w:rPr>
        <w:t xml:space="preserve">capazes de quantificar os riscos de déficits de leitura de forma automática ou semiautomática. </w:t>
      </w:r>
    </w:p>
    <w:p w14:paraId="24EAE143" w14:textId="77777777" w:rsidR="003A22A2" w:rsidRPr="00831A7E" w:rsidRDefault="003A22A2" w:rsidP="003A22A2">
      <w:pPr>
        <w:jc w:val="left"/>
        <w:rPr>
          <w:rFonts w:ascii="Times New Roman" w:hAnsi="Times New Roman" w:cs="Times New Roman"/>
          <w:sz w:val="24"/>
          <w:szCs w:val="24"/>
        </w:rPr>
      </w:pPr>
    </w:p>
    <w:p w14:paraId="519EDE44" w14:textId="5E9982C2" w:rsidR="00871AF4" w:rsidRDefault="00F271D2" w:rsidP="003A22A2">
      <w:pPr>
        <w:jc w:val="left"/>
        <w:rPr>
          <w:rFonts w:ascii="Times New Roman" w:hAnsi="Times New Roman" w:cs="Times New Roman"/>
          <w:sz w:val="24"/>
          <w:szCs w:val="24"/>
        </w:rPr>
      </w:pPr>
      <w:r w:rsidRPr="00831A7E">
        <w:rPr>
          <w:rFonts w:ascii="Times New Roman" w:hAnsi="Times New Roman" w:cs="Times New Roman"/>
          <w:sz w:val="24"/>
          <w:szCs w:val="24"/>
        </w:rPr>
        <w:t>Para resultados mais precisos s</w:t>
      </w:r>
      <w:r w:rsidR="00871AF4" w:rsidRPr="00831A7E">
        <w:rPr>
          <w:rFonts w:ascii="Times New Roman" w:hAnsi="Times New Roman" w:cs="Times New Roman"/>
          <w:sz w:val="24"/>
          <w:szCs w:val="24"/>
        </w:rPr>
        <w:t xml:space="preserve">eria interessante a ampliação do número de escolares do PAEE na amostra total e em cada série. Além disso, é necessário a realização de estudos longitudinais com a mesma proposta a fim de verificar se a fluência de leitura se apresenta como uma medida válida não só na avaliação de tais escolares, mas também no acompanhamento </w:t>
      </w:r>
      <w:r w:rsidR="004601B0" w:rsidRPr="00831A7E">
        <w:rPr>
          <w:rFonts w:ascii="Times New Roman" w:hAnsi="Times New Roman" w:cs="Times New Roman"/>
          <w:sz w:val="24"/>
          <w:szCs w:val="24"/>
        </w:rPr>
        <w:t>deles</w:t>
      </w:r>
      <w:r w:rsidR="00871AF4" w:rsidRPr="00831A7E">
        <w:rPr>
          <w:rFonts w:ascii="Times New Roman" w:hAnsi="Times New Roman" w:cs="Times New Roman"/>
          <w:sz w:val="24"/>
          <w:szCs w:val="24"/>
        </w:rPr>
        <w:t>.</w:t>
      </w:r>
    </w:p>
    <w:p w14:paraId="5A80D167" w14:textId="77777777" w:rsidR="003A22A2" w:rsidRPr="00831A7E" w:rsidRDefault="003A22A2" w:rsidP="003A22A2">
      <w:pPr>
        <w:jc w:val="left"/>
        <w:rPr>
          <w:rFonts w:ascii="Times New Roman" w:hAnsi="Times New Roman" w:cs="Times New Roman"/>
          <w:sz w:val="24"/>
          <w:szCs w:val="24"/>
        </w:rPr>
      </w:pPr>
    </w:p>
    <w:p w14:paraId="56C1C944" w14:textId="5D558BC5" w:rsidR="00871AF4" w:rsidRDefault="00871AF4" w:rsidP="003A22A2">
      <w:pPr>
        <w:pStyle w:val="ListParagraph"/>
        <w:numPr>
          <w:ilvl w:val="0"/>
          <w:numId w:val="4"/>
        </w:numPr>
        <w:ind w:left="0" w:firstLine="0"/>
        <w:jc w:val="left"/>
        <w:rPr>
          <w:rFonts w:ascii="Times New Roman" w:hAnsi="Times New Roman" w:cs="Times New Roman"/>
          <w:b/>
          <w:bCs/>
          <w:sz w:val="24"/>
          <w:szCs w:val="24"/>
        </w:rPr>
      </w:pPr>
      <w:r w:rsidRPr="00420210">
        <w:rPr>
          <w:rFonts w:ascii="Times New Roman" w:hAnsi="Times New Roman" w:cs="Times New Roman"/>
          <w:b/>
          <w:bCs/>
          <w:sz w:val="24"/>
          <w:szCs w:val="24"/>
        </w:rPr>
        <w:t>C</w:t>
      </w:r>
      <w:r w:rsidR="00420210" w:rsidRPr="00420210">
        <w:rPr>
          <w:rFonts w:ascii="Times New Roman" w:hAnsi="Times New Roman" w:cs="Times New Roman"/>
          <w:b/>
          <w:bCs/>
          <w:sz w:val="24"/>
          <w:szCs w:val="24"/>
        </w:rPr>
        <w:t>onclusão</w:t>
      </w:r>
    </w:p>
    <w:p w14:paraId="35DFDA0F" w14:textId="77777777" w:rsidR="003A22A2" w:rsidRPr="003A22A2" w:rsidRDefault="003A22A2" w:rsidP="003A22A2">
      <w:pPr>
        <w:jc w:val="left"/>
        <w:rPr>
          <w:rFonts w:ascii="Times New Roman" w:hAnsi="Times New Roman" w:cs="Times New Roman"/>
          <w:b/>
          <w:bCs/>
          <w:sz w:val="24"/>
          <w:szCs w:val="24"/>
        </w:rPr>
      </w:pPr>
    </w:p>
    <w:p w14:paraId="63532B7D" w14:textId="61D08993" w:rsidR="00871AF4" w:rsidRDefault="00871AF4" w:rsidP="003A22A2">
      <w:pPr>
        <w:jc w:val="left"/>
        <w:rPr>
          <w:rFonts w:ascii="Times New Roman" w:hAnsi="Times New Roman" w:cs="Times New Roman"/>
          <w:sz w:val="24"/>
          <w:szCs w:val="24"/>
        </w:rPr>
      </w:pPr>
      <w:r w:rsidRPr="00831A7E">
        <w:rPr>
          <w:rFonts w:ascii="Times New Roman" w:hAnsi="Times New Roman" w:cs="Times New Roman"/>
          <w:sz w:val="24"/>
          <w:szCs w:val="24"/>
        </w:rPr>
        <w:t xml:space="preserve">A fluência de leitura demonstrou ser um bom indicador de competência leitora, principalmente na análise individual dos alunos, pois permitiu a avaliação de variáveis importantes para o desenvolvimento da escolaridade. A diversidade encontrada dentro dos subgrupos do público-alvo da educação especial mostrou que a avaliação de fluência de leitura individual é essencial tanto para </w:t>
      </w:r>
      <w:r w:rsidRPr="00373682">
        <w:rPr>
          <w:rFonts w:ascii="Times New Roman" w:hAnsi="Times New Roman" w:cs="Times New Roman"/>
          <w:sz w:val="24"/>
          <w:szCs w:val="24"/>
        </w:rPr>
        <w:t xml:space="preserve">pesquisas quanto para a prática pedagógica. </w:t>
      </w:r>
    </w:p>
    <w:p w14:paraId="183ABC20" w14:textId="77777777" w:rsidR="003A22A2" w:rsidRPr="00373682" w:rsidRDefault="003A22A2" w:rsidP="003A22A2">
      <w:pPr>
        <w:jc w:val="left"/>
        <w:rPr>
          <w:rFonts w:ascii="Times New Roman" w:hAnsi="Times New Roman" w:cs="Times New Roman"/>
          <w:sz w:val="24"/>
          <w:szCs w:val="24"/>
        </w:rPr>
      </w:pPr>
    </w:p>
    <w:p w14:paraId="08B848EF" w14:textId="1499AA0C" w:rsidR="00871AF4" w:rsidRPr="00831A7E" w:rsidRDefault="00871AF4" w:rsidP="003A22A2">
      <w:pPr>
        <w:jc w:val="left"/>
        <w:rPr>
          <w:rFonts w:ascii="Times New Roman" w:hAnsi="Times New Roman" w:cs="Times New Roman"/>
          <w:sz w:val="24"/>
          <w:szCs w:val="24"/>
        </w:rPr>
      </w:pPr>
      <w:r w:rsidRPr="00373682">
        <w:rPr>
          <w:rFonts w:ascii="Times New Roman" w:hAnsi="Times New Roman" w:cs="Times New Roman"/>
          <w:sz w:val="24"/>
          <w:szCs w:val="24"/>
        </w:rPr>
        <w:t>As avali</w:t>
      </w:r>
      <w:r w:rsidR="000B6548" w:rsidRPr="00373682">
        <w:rPr>
          <w:rFonts w:ascii="Times New Roman" w:hAnsi="Times New Roman" w:cs="Times New Roman"/>
          <w:sz w:val="24"/>
          <w:szCs w:val="24"/>
        </w:rPr>
        <w:t>a</w:t>
      </w:r>
      <w:r w:rsidRPr="00373682">
        <w:rPr>
          <w:rFonts w:ascii="Times New Roman" w:hAnsi="Times New Roman" w:cs="Times New Roman"/>
          <w:sz w:val="24"/>
          <w:szCs w:val="24"/>
        </w:rPr>
        <w:t>ções demonstraram o desempenho dos escolares do GC foi superior aos do GI. Além disso, os escolares do GI avaliados apresentaram desempenhos muito heterogêneos, nos quais os escolares com DI, TGD, TDAH, TPA e DF demonstr</w:t>
      </w:r>
      <w:r w:rsidR="00BF1B1C" w:rsidRPr="00373682">
        <w:rPr>
          <w:rFonts w:ascii="Times New Roman" w:hAnsi="Times New Roman" w:cs="Times New Roman"/>
          <w:sz w:val="24"/>
          <w:szCs w:val="24"/>
        </w:rPr>
        <w:t xml:space="preserve">aram </w:t>
      </w:r>
      <w:r w:rsidRPr="00373682">
        <w:rPr>
          <w:rFonts w:ascii="Times New Roman" w:hAnsi="Times New Roman" w:cs="Times New Roman"/>
          <w:sz w:val="24"/>
          <w:szCs w:val="24"/>
        </w:rPr>
        <w:t>nas análises individuais escores variados mesmo para escolares do mesmo subgrupo. Os escolares com AH, TOD e BV com visão corrigida, apresentaram desempenho adequado em praticamente todas as tarefas avaliadas, no entanto</w:t>
      </w:r>
      <w:r w:rsidR="000B6548" w:rsidRPr="00373682">
        <w:rPr>
          <w:rFonts w:ascii="Times New Roman" w:hAnsi="Times New Roman" w:cs="Times New Roman"/>
          <w:sz w:val="24"/>
          <w:szCs w:val="24"/>
        </w:rPr>
        <w:t>,</w:t>
      </w:r>
      <w:r w:rsidRPr="00373682">
        <w:rPr>
          <w:rFonts w:ascii="Times New Roman" w:hAnsi="Times New Roman" w:cs="Times New Roman"/>
          <w:sz w:val="24"/>
          <w:szCs w:val="24"/>
        </w:rPr>
        <w:t xml:space="preserve"> o número </w:t>
      </w:r>
      <w:r w:rsidRPr="00831A7E">
        <w:rPr>
          <w:rFonts w:ascii="Times New Roman" w:hAnsi="Times New Roman" w:cs="Times New Roman"/>
          <w:sz w:val="24"/>
          <w:szCs w:val="24"/>
        </w:rPr>
        <w:t xml:space="preserve">desses escolares da amostra foi reduzido. </w:t>
      </w:r>
    </w:p>
    <w:p w14:paraId="20D2A93B" w14:textId="77777777" w:rsidR="00871AF4" w:rsidRPr="00831A7E" w:rsidRDefault="00871AF4" w:rsidP="003A22A2">
      <w:pPr>
        <w:jc w:val="left"/>
        <w:rPr>
          <w:rFonts w:ascii="Times New Roman" w:hAnsi="Times New Roman" w:cs="Times New Roman"/>
          <w:sz w:val="24"/>
          <w:szCs w:val="24"/>
        </w:rPr>
      </w:pPr>
    </w:p>
    <w:p w14:paraId="58BDAC6F" w14:textId="5CB8B771" w:rsidR="00D80469" w:rsidRDefault="00D80469" w:rsidP="003A22A2">
      <w:pPr>
        <w:jc w:val="left"/>
        <w:rPr>
          <w:rFonts w:ascii="Times New Roman" w:hAnsi="Times New Roman" w:cs="Times New Roman"/>
          <w:b/>
          <w:bCs/>
          <w:sz w:val="24"/>
          <w:szCs w:val="24"/>
        </w:rPr>
      </w:pPr>
      <w:bookmarkStart w:id="5" w:name="_Hlk51603547"/>
      <w:r>
        <w:rPr>
          <w:rFonts w:ascii="Times New Roman" w:hAnsi="Times New Roman" w:cs="Times New Roman"/>
          <w:b/>
          <w:bCs/>
          <w:sz w:val="24"/>
          <w:szCs w:val="24"/>
        </w:rPr>
        <w:t>A</w:t>
      </w:r>
      <w:r w:rsidR="00420210">
        <w:rPr>
          <w:rFonts w:ascii="Times New Roman" w:hAnsi="Times New Roman" w:cs="Times New Roman"/>
          <w:b/>
          <w:bCs/>
          <w:sz w:val="24"/>
          <w:szCs w:val="24"/>
        </w:rPr>
        <w:t>gradecimentos</w:t>
      </w:r>
    </w:p>
    <w:p w14:paraId="35625666" w14:textId="77777777" w:rsidR="003A22A2" w:rsidRDefault="003A22A2" w:rsidP="003A22A2">
      <w:pPr>
        <w:jc w:val="left"/>
        <w:rPr>
          <w:rFonts w:ascii="Times New Roman" w:hAnsi="Times New Roman" w:cs="Times New Roman"/>
          <w:b/>
          <w:bCs/>
          <w:sz w:val="24"/>
          <w:szCs w:val="24"/>
        </w:rPr>
      </w:pPr>
    </w:p>
    <w:p w14:paraId="65CD8CBF" w14:textId="56D2CD1F" w:rsidR="00D80469" w:rsidRDefault="00D80469" w:rsidP="003A22A2">
      <w:pPr>
        <w:jc w:val="left"/>
        <w:rPr>
          <w:rFonts w:ascii="Times New Roman" w:hAnsi="Times New Roman" w:cs="Times New Roman"/>
          <w:sz w:val="24"/>
          <w:szCs w:val="24"/>
        </w:rPr>
      </w:pPr>
      <w:r w:rsidRPr="00D80469">
        <w:rPr>
          <w:rFonts w:ascii="Times New Roman" w:hAnsi="Times New Roman" w:cs="Times New Roman"/>
          <w:sz w:val="24"/>
          <w:szCs w:val="24"/>
        </w:rPr>
        <w:t>Agradecemos à Função de Apoio à Pesquisa do Distrito Federal pelo financiamento parcial da presente pesquisa.</w:t>
      </w:r>
    </w:p>
    <w:p w14:paraId="70140F7A" w14:textId="77777777" w:rsidR="003A22A2" w:rsidRDefault="003A22A2" w:rsidP="003A22A2">
      <w:pPr>
        <w:jc w:val="left"/>
        <w:rPr>
          <w:rFonts w:ascii="Times New Roman" w:hAnsi="Times New Roman" w:cs="Times New Roman"/>
          <w:sz w:val="24"/>
          <w:szCs w:val="24"/>
        </w:rPr>
      </w:pPr>
    </w:p>
    <w:p w14:paraId="20B0E126" w14:textId="4CA2A6C4" w:rsidR="00420210" w:rsidRDefault="00420210" w:rsidP="003A22A2">
      <w:pPr>
        <w:jc w:val="left"/>
        <w:rPr>
          <w:rFonts w:ascii="Times New Roman" w:hAnsi="Times New Roman" w:cs="Times New Roman"/>
          <w:b/>
          <w:sz w:val="24"/>
          <w:szCs w:val="24"/>
        </w:rPr>
      </w:pPr>
      <w:r w:rsidRPr="00420210">
        <w:rPr>
          <w:rFonts w:ascii="Times New Roman" w:hAnsi="Times New Roman" w:cs="Times New Roman"/>
          <w:b/>
          <w:sz w:val="24"/>
          <w:szCs w:val="24"/>
        </w:rPr>
        <w:t>Conflito de interesses</w:t>
      </w:r>
    </w:p>
    <w:p w14:paraId="16E49954" w14:textId="77777777" w:rsidR="003A22A2" w:rsidRPr="00420210" w:rsidRDefault="003A22A2" w:rsidP="003A22A2">
      <w:pPr>
        <w:jc w:val="left"/>
        <w:rPr>
          <w:rFonts w:ascii="Times New Roman" w:hAnsi="Times New Roman" w:cs="Times New Roman"/>
          <w:b/>
          <w:sz w:val="24"/>
          <w:szCs w:val="24"/>
        </w:rPr>
      </w:pPr>
    </w:p>
    <w:p w14:paraId="3CBA2295" w14:textId="705FA6CA" w:rsidR="00420210" w:rsidRPr="00420210" w:rsidRDefault="00420210" w:rsidP="003A22A2">
      <w:pPr>
        <w:jc w:val="left"/>
        <w:rPr>
          <w:rFonts w:ascii="Times New Roman" w:hAnsi="Times New Roman" w:cs="Times New Roman"/>
          <w:i/>
          <w:sz w:val="24"/>
          <w:szCs w:val="24"/>
        </w:rPr>
      </w:pPr>
      <w:r w:rsidRPr="00420210">
        <w:rPr>
          <w:rFonts w:ascii="Times New Roman" w:hAnsi="Times New Roman" w:cs="Times New Roman"/>
          <w:i/>
          <w:sz w:val="24"/>
          <w:szCs w:val="24"/>
        </w:rPr>
        <w:t xml:space="preserve"> Declaramos não ter qualquer conflito de interesse, em potencial, neste estudo.</w:t>
      </w:r>
    </w:p>
    <w:p w14:paraId="26E33220" w14:textId="77777777" w:rsidR="00420210" w:rsidRPr="00D80469" w:rsidRDefault="00420210" w:rsidP="003A22A2">
      <w:pPr>
        <w:jc w:val="left"/>
        <w:rPr>
          <w:rFonts w:ascii="Times New Roman" w:hAnsi="Times New Roman" w:cs="Times New Roman"/>
          <w:sz w:val="24"/>
          <w:szCs w:val="24"/>
        </w:rPr>
      </w:pPr>
    </w:p>
    <w:p w14:paraId="467DCE9C" w14:textId="5ADAE31C" w:rsidR="00420210" w:rsidRDefault="00420210" w:rsidP="003A22A2">
      <w:pPr>
        <w:jc w:val="left"/>
        <w:rPr>
          <w:rFonts w:ascii="Times New Roman" w:hAnsi="Times New Roman" w:cs="Times New Roman"/>
          <w:b/>
          <w:bCs/>
          <w:sz w:val="24"/>
          <w:szCs w:val="24"/>
        </w:rPr>
      </w:pPr>
      <w:r w:rsidRPr="00420210">
        <w:rPr>
          <w:rFonts w:ascii="Times New Roman" w:hAnsi="Times New Roman" w:cs="Times New Roman"/>
          <w:b/>
          <w:bCs/>
          <w:sz w:val="24"/>
          <w:szCs w:val="24"/>
        </w:rPr>
        <w:t>Contribuição dos autores</w:t>
      </w:r>
    </w:p>
    <w:p w14:paraId="1A47A0D6" w14:textId="77777777" w:rsidR="003A22A2" w:rsidRPr="00420210" w:rsidRDefault="003A22A2" w:rsidP="003A22A2">
      <w:pPr>
        <w:jc w:val="left"/>
        <w:rPr>
          <w:rFonts w:ascii="Times New Roman" w:hAnsi="Times New Roman" w:cs="Times New Roman"/>
          <w:b/>
          <w:bCs/>
          <w:sz w:val="24"/>
          <w:szCs w:val="24"/>
        </w:rPr>
      </w:pPr>
    </w:p>
    <w:p w14:paraId="636C0A37" w14:textId="1853450D" w:rsidR="00420210" w:rsidRPr="00420210" w:rsidRDefault="00420210" w:rsidP="003A22A2">
      <w:pPr>
        <w:jc w:val="left"/>
        <w:rPr>
          <w:rFonts w:ascii="Times New Roman" w:hAnsi="Times New Roman" w:cs="Times New Roman"/>
          <w:i/>
          <w:sz w:val="24"/>
          <w:szCs w:val="24"/>
        </w:rPr>
      </w:pPr>
      <w:r w:rsidRPr="00420210">
        <w:rPr>
          <w:rFonts w:ascii="Times New Roman" w:hAnsi="Times New Roman" w:cs="Times New Roman"/>
          <w:i/>
          <w:sz w:val="24"/>
          <w:szCs w:val="24"/>
        </w:rPr>
        <w:t xml:space="preserve">Nós, </w:t>
      </w:r>
      <w:r>
        <w:rPr>
          <w:rFonts w:ascii="Times New Roman" w:hAnsi="Times New Roman" w:cs="Times New Roman"/>
          <w:i/>
          <w:sz w:val="24"/>
          <w:szCs w:val="24"/>
        </w:rPr>
        <w:t>Edlaine Souza Pereira</w:t>
      </w:r>
      <w:r w:rsidRPr="00420210">
        <w:rPr>
          <w:rFonts w:ascii="Times New Roman" w:hAnsi="Times New Roman" w:cs="Times New Roman"/>
          <w:i/>
          <w:sz w:val="24"/>
          <w:szCs w:val="24"/>
        </w:rPr>
        <w:t xml:space="preserve">, </w:t>
      </w:r>
      <w:r>
        <w:rPr>
          <w:rFonts w:ascii="Times New Roman" w:hAnsi="Times New Roman" w:cs="Times New Roman"/>
          <w:i/>
          <w:sz w:val="24"/>
          <w:szCs w:val="24"/>
        </w:rPr>
        <w:t>Luciana Mendonça Alves, Vanessa de Oliveira Martins-Reis e Leticia Correa Celeste</w:t>
      </w:r>
      <w:r w:rsidRPr="00420210">
        <w:rPr>
          <w:rFonts w:ascii="Times New Roman" w:hAnsi="Times New Roman" w:cs="Times New Roman"/>
          <w:i/>
          <w:sz w:val="24"/>
          <w:szCs w:val="24"/>
        </w:rPr>
        <w:t xml:space="preserve">, declaramos, para os devidos fins, que não temos qualquer conflito de interesse, em potencial, neste estudo. </w:t>
      </w:r>
      <w:r>
        <w:rPr>
          <w:rFonts w:ascii="Times New Roman" w:hAnsi="Times New Roman" w:cs="Times New Roman"/>
          <w:i/>
          <w:sz w:val="24"/>
          <w:szCs w:val="24"/>
        </w:rPr>
        <w:t xml:space="preserve">A primeira autora realizou a coleta de dados e </w:t>
      </w:r>
      <w:r w:rsidRPr="00420210">
        <w:rPr>
          <w:rFonts w:ascii="Times New Roman" w:hAnsi="Times New Roman" w:cs="Times New Roman"/>
          <w:i/>
          <w:sz w:val="24"/>
          <w:szCs w:val="24"/>
        </w:rPr>
        <w:t>todos nós participamos da conceptualização do estudo, metodologia, desenho do estudo, análise formal dos dados, análise estatística dos dados, aquisição de financiamento, administração do projeto, supervisão do projeto, geração dos dados, validação e edição dos dados. Todos os autores aprovam a versão final do manuscrito e são responsáveis por todos os aspectos, incluindo a garantia de sua veracidade e integridade.</w:t>
      </w:r>
    </w:p>
    <w:p w14:paraId="17D81C2D" w14:textId="77777777" w:rsidR="00D80469" w:rsidRDefault="00D80469" w:rsidP="003A22A2">
      <w:pPr>
        <w:rPr>
          <w:rFonts w:ascii="Times New Roman" w:hAnsi="Times New Roman" w:cs="Times New Roman"/>
          <w:b/>
          <w:bCs/>
          <w:sz w:val="24"/>
          <w:szCs w:val="24"/>
        </w:rPr>
      </w:pPr>
    </w:p>
    <w:p w14:paraId="4CB2FCF2" w14:textId="13CC77A0" w:rsidR="00871AF4" w:rsidRDefault="00871AF4" w:rsidP="003A22A2">
      <w:pPr>
        <w:jc w:val="left"/>
        <w:rPr>
          <w:rFonts w:ascii="Times New Roman" w:hAnsi="Times New Roman" w:cs="Times New Roman"/>
          <w:b/>
          <w:bCs/>
          <w:sz w:val="24"/>
          <w:szCs w:val="24"/>
        </w:rPr>
      </w:pPr>
      <w:r w:rsidRPr="00831A7E">
        <w:rPr>
          <w:rFonts w:ascii="Times New Roman" w:hAnsi="Times New Roman" w:cs="Times New Roman"/>
          <w:b/>
          <w:bCs/>
          <w:sz w:val="24"/>
          <w:szCs w:val="24"/>
        </w:rPr>
        <w:t>R</w:t>
      </w:r>
      <w:r w:rsidR="007D5DAF" w:rsidRPr="00831A7E">
        <w:rPr>
          <w:rFonts w:ascii="Times New Roman" w:hAnsi="Times New Roman" w:cs="Times New Roman"/>
          <w:b/>
          <w:bCs/>
          <w:sz w:val="24"/>
          <w:szCs w:val="24"/>
        </w:rPr>
        <w:t>eferências</w:t>
      </w:r>
    </w:p>
    <w:p w14:paraId="2615E0E3" w14:textId="77777777" w:rsidR="003A22A2" w:rsidRPr="00831A7E" w:rsidRDefault="003A22A2" w:rsidP="003A22A2">
      <w:pPr>
        <w:jc w:val="left"/>
        <w:rPr>
          <w:rFonts w:ascii="Times New Roman" w:hAnsi="Times New Roman" w:cs="Times New Roman"/>
          <w:sz w:val="24"/>
          <w:szCs w:val="24"/>
        </w:rPr>
      </w:pPr>
    </w:p>
    <w:p w14:paraId="37070583" w14:textId="6E3344C5" w:rsidR="00610AF6" w:rsidRPr="00610AF6" w:rsidRDefault="00297B93" w:rsidP="00FC2D36">
      <w:pPr>
        <w:jc w:val="left"/>
      </w:pPr>
      <w:r w:rsidRPr="00297B93">
        <w:rPr>
          <w:rFonts w:ascii="Times New Roman" w:eastAsia="Arial" w:hAnsi="Times New Roman" w:cs="Times New Roman"/>
          <w:bCs/>
          <w:sz w:val="24"/>
          <w:szCs w:val="24"/>
        </w:rPr>
        <w:t>Alves, L. M., Lalain, M., Ghio, A., &amp; Celeste, L. C. (2015). Escala multidimensional de fluência em leitura: avaliação perceptive da leitura em escolares com e sem dislexia do desenvolvimento. </w:t>
      </w:r>
      <w:r w:rsidR="00FC2D36">
        <w:rPr>
          <w:rFonts w:ascii="Times New Roman" w:eastAsia="Arial" w:hAnsi="Times New Roman" w:cs="Times New Roman"/>
          <w:bCs/>
          <w:sz w:val="24"/>
          <w:szCs w:val="24"/>
        </w:rPr>
        <w:t>In R. Mousinho</w:t>
      </w:r>
      <w:r w:rsidR="009916C4">
        <w:rPr>
          <w:rFonts w:ascii="Times New Roman" w:eastAsia="Arial" w:hAnsi="Times New Roman" w:cs="Times New Roman"/>
          <w:bCs/>
          <w:sz w:val="24"/>
          <w:szCs w:val="24"/>
        </w:rPr>
        <w:t xml:space="preserve">, L. M. Alves, &amp; S. A. Capellini (Eds.), </w:t>
      </w:r>
      <w:r w:rsidRPr="00297B93">
        <w:rPr>
          <w:rFonts w:ascii="Times New Roman" w:eastAsia="Arial" w:hAnsi="Times New Roman" w:cs="Times New Roman"/>
          <w:bCs/>
          <w:i/>
          <w:iCs/>
          <w:sz w:val="24"/>
          <w:szCs w:val="24"/>
        </w:rPr>
        <w:t>Dislexia: novos temas, novas perspectivas</w:t>
      </w:r>
      <w:r w:rsidR="009916C4">
        <w:rPr>
          <w:rFonts w:ascii="Times New Roman" w:eastAsia="Arial" w:hAnsi="Times New Roman" w:cs="Times New Roman"/>
          <w:bCs/>
          <w:i/>
          <w:iCs/>
          <w:sz w:val="24"/>
          <w:szCs w:val="24"/>
        </w:rPr>
        <w:t xml:space="preserve"> </w:t>
      </w:r>
      <w:r w:rsidR="009916C4">
        <w:rPr>
          <w:rFonts w:ascii="Times New Roman" w:eastAsia="Arial" w:hAnsi="Times New Roman" w:cs="Times New Roman"/>
          <w:bCs/>
          <w:sz w:val="24"/>
          <w:szCs w:val="24"/>
        </w:rPr>
        <w:t>(pp.</w:t>
      </w:r>
      <w:r w:rsidR="009916C4" w:rsidRPr="00297B93">
        <w:rPr>
          <w:rFonts w:ascii="Times New Roman" w:eastAsia="Arial" w:hAnsi="Times New Roman" w:cs="Times New Roman"/>
          <w:bCs/>
          <w:sz w:val="24"/>
          <w:szCs w:val="24"/>
        </w:rPr>
        <w:t>151-</w:t>
      </w:r>
      <w:r w:rsidR="009916C4">
        <w:rPr>
          <w:rFonts w:ascii="Times New Roman" w:eastAsia="Arial" w:hAnsi="Times New Roman" w:cs="Times New Roman"/>
          <w:bCs/>
          <w:sz w:val="24"/>
          <w:szCs w:val="24"/>
        </w:rPr>
        <w:t>1</w:t>
      </w:r>
      <w:r w:rsidR="009916C4" w:rsidRPr="00297B93">
        <w:rPr>
          <w:rFonts w:ascii="Times New Roman" w:eastAsia="Arial" w:hAnsi="Times New Roman" w:cs="Times New Roman"/>
          <w:bCs/>
          <w:sz w:val="24"/>
          <w:szCs w:val="24"/>
        </w:rPr>
        <w:t>64</w:t>
      </w:r>
      <w:r w:rsidR="009916C4">
        <w:rPr>
          <w:rFonts w:ascii="Times New Roman" w:eastAsia="Arial" w:hAnsi="Times New Roman" w:cs="Times New Roman"/>
          <w:bCs/>
          <w:sz w:val="24"/>
          <w:szCs w:val="24"/>
        </w:rPr>
        <w:t>)</w:t>
      </w:r>
      <w:r w:rsidR="009916C4">
        <w:rPr>
          <w:rFonts w:ascii="Times New Roman" w:eastAsia="Arial" w:hAnsi="Times New Roman" w:cs="Times New Roman"/>
          <w:bCs/>
          <w:i/>
          <w:iCs/>
          <w:sz w:val="24"/>
          <w:szCs w:val="24"/>
        </w:rPr>
        <w:t xml:space="preserve">. </w:t>
      </w:r>
      <w:r w:rsidRPr="009916C4">
        <w:rPr>
          <w:rFonts w:ascii="Times New Roman" w:eastAsia="Arial" w:hAnsi="Times New Roman" w:cs="Times New Roman"/>
          <w:bCs/>
          <w:sz w:val="24"/>
          <w:szCs w:val="24"/>
        </w:rPr>
        <w:t>Wak</w:t>
      </w:r>
      <w:r w:rsidR="00026F41" w:rsidRPr="009916C4">
        <w:rPr>
          <w:rFonts w:ascii="Times New Roman" w:eastAsia="Arial" w:hAnsi="Times New Roman" w:cs="Times New Roman"/>
          <w:bCs/>
          <w:sz w:val="24"/>
          <w:szCs w:val="24"/>
        </w:rPr>
        <w:t>.</w:t>
      </w:r>
      <w:r w:rsidR="00026F41">
        <w:rPr>
          <w:rFonts w:ascii="Times New Roman" w:eastAsia="Arial" w:hAnsi="Times New Roman" w:cs="Times New Roman"/>
          <w:bCs/>
          <w:sz w:val="24"/>
          <w:szCs w:val="24"/>
        </w:rPr>
        <w:t xml:space="preserve"> </w:t>
      </w:r>
      <w:r w:rsidR="00610AF6" w:rsidRPr="00610AF6">
        <w:t xml:space="preserve"> </w:t>
      </w:r>
    </w:p>
    <w:p w14:paraId="6A608A31" w14:textId="7EBCE340" w:rsidR="006E6FA7" w:rsidRDefault="00AF4FEE" w:rsidP="00FC2D36">
      <w:pPr>
        <w:jc w:val="left"/>
        <w:rPr>
          <w:rFonts w:ascii="Times New Roman" w:hAnsi="Times New Roman" w:cs="Times New Roman"/>
          <w:sz w:val="24"/>
          <w:szCs w:val="24"/>
        </w:rPr>
      </w:pPr>
      <w:hyperlink r:id="rId16" w:tgtFrame="_blank" w:history="1">
        <w:r w:rsidR="006E6FA7" w:rsidRPr="006E6FA7">
          <w:rPr>
            <w:rFonts w:ascii="Times New Roman" w:eastAsia="Arial" w:hAnsi="Times New Roman" w:cs="Times New Roman"/>
            <w:bCs/>
            <w:sz w:val="24"/>
            <w:szCs w:val="24"/>
          </w:rPr>
          <w:t xml:space="preserve">Alves, </w:t>
        </w:r>
        <w:r w:rsidR="006E6FA7">
          <w:rPr>
            <w:rFonts w:ascii="Times New Roman" w:eastAsia="Arial" w:hAnsi="Times New Roman" w:cs="Times New Roman"/>
            <w:bCs/>
            <w:sz w:val="24"/>
            <w:szCs w:val="24"/>
          </w:rPr>
          <w:t>L</w:t>
        </w:r>
        <w:r w:rsidR="006E6FA7" w:rsidRPr="006E6FA7">
          <w:rPr>
            <w:rFonts w:ascii="Times New Roman" w:eastAsia="Arial" w:hAnsi="Times New Roman" w:cs="Times New Roman"/>
            <w:bCs/>
            <w:sz w:val="24"/>
            <w:szCs w:val="24"/>
          </w:rPr>
          <w:t>. M.</w:t>
        </w:r>
      </w:hyperlink>
      <w:r w:rsidR="009916C4">
        <w:rPr>
          <w:rFonts w:ascii="Times New Roman" w:eastAsia="Arial" w:hAnsi="Times New Roman" w:cs="Times New Roman"/>
          <w:bCs/>
          <w:sz w:val="24"/>
          <w:szCs w:val="24"/>
        </w:rPr>
        <w:t xml:space="preserve">, </w:t>
      </w:r>
      <w:r w:rsidR="006E6FA7">
        <w:rPr>
          <w:rFonts w:ascii="Times New Roman" w:eastAsia="Arial" w:hAnsi="Times New Roman" w:cs="Times New Roman"/>
          <w:bCs/>
          <w:sz w:val="24"/>
          <w:szCs w:val="24"/>
        </w:rPr>
        <w:t>M</w:t>
      </w:r>
      <w:r w:rsidR="006E6FA7" w:rsidRPr="006E6FA7">
        <w:rPr>
          <w:rFonts w:ascii="Times New Roman" w:eastAsia="Arial" w:hAnsi="Times New Roman" w:cs="Times New Roman"/>
          <w:bCs/>
          <w:sz w:val="24"/>
          <w:szCs w:val="24"/>
        </w:rPr>
        <w:t xml:space="preserve">artins, </w:t>
      </w:r>
      <w:r w:rsidR="006E6FA7">
        <w:rPr>
          <w:rFonts w:ascii="Times New Roman" w:eastAsia="Arial" w:hAnsi="Times New Roman" w:cs="Times New Roman"/>
          <w:bCs/>
          <w:sz w:val="24"/>
          <w:szCs w:val="24"/>
        </w:rPr>
        <w:t>F</w:t>
      </w:r>
      <w:r w:rsidR="006E6FA7" w:rsidRPr="006E6FA7">
        <w:rPr>
          <w:rFonts w:ascii="Times New Roman" w:eastAsia="Arial" w:hAnsi="Times New Roman" w:cs="Times New Roman"/>
          <w:bCs/>
          <w:sz w:val="24"/>
          <w:szCs w:val="24"/>
        </w:rPr>
        <w:t>. S.</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w:t>
      </w:r>
      <w:r w:rsidR="006E6FA7">
        <w:rPr>
          <w:rFonts w:ascii="Times New Roman" w:eastAsia="Arial" w:hAnsi="Times New Roman" w:cs="Times New Roman"/>
          <w:bCs/>
          <w:sz w:val="24"/>
          <w:szCs w:val="24"/>
        </w:rPr>
        <w:t>&amp; C</w:t>
      </w:r>
      <w:r w:rsidR="006E6FA7" w:rsidRPr="006E6FA7">
        <w:rPr>
          <w:rFonts w:ascii="Times New Roman" w:eastAsia="Arial" w:hAnsi="Times New Roman" w:cs="Times New Roman"/>
          <w:bCs/>
          <w:sz w:val="24"/>
          <w:szCs w:val="24"/>
        </w:rPr>
        <w:t>eleste, L.C. </w:t>
      </w:r>
      <w:r w:rsidR="006E6FA7">
        <w:rPr>
          <w:rFonts w:ascii="Times New Roman" w:eastAsia="Arial" w:hAnsi="Times New Roman" w:cs="Times New Roman"/>
          <w:bCs/>
          <w:sz w:val="24"/>
          <w:szCs w:val="24"/>
        </w:rPr>
        <w:t>(2018)</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xml:space="preserve"> LEPIC - software de análise de leitura. In L</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xml:space="preserve"> M</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xml:space="preserve"> Alves</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xml:space="preserve"> R</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xml:space="preserve"> Mousinho</w:t>
      </w:r>
      <w:r w:rsidR="009916C4">
        <w:rPr>
          <w:rFonts w:ascii="Times New Roman" w:eastAsia="Arial" w:hAnsi="Times New Roman" w:cs="Times New Roman"/>
          <w:bCs/>
          <w:sz w:val="24"/>
          <w:szCs w:val="24"/>
        </w:rPr>
        <w:t xml:space="preserve">, </w:t>
      </w:r>
      <w:r w:rsidR="006E6FA7" w:rsidRPr="006E6FA7">
        <w:rPr>
          <w:rFonts w:ascii="Times New Roman" w:eastAsia="Arial" w:hAnsi="Times New Roman" w:cs="Times New Roman"/>
          <w:bCs/>
          <w:sz w:val="24"/>
          <w:szCs w:val="24"/>
        </w:rPr>
        <w:t>S</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xml:space="preserve"> </w:t>
      </w:r>
      <w:r w:rsidR="009916C4">
        <w:rPr>
          <w:rFonts w:ascii="Times New Roman" w:eastAsia="Arial" w:hAnsi="Times New Roman" w:cs="Times New Roman"/>
          <w:bCs/>
          <w:sz w:val="24"/>
          <w:szCs w:val="24"/>
        </w:rPr>
        <w:t>A.</w:t>
      </w:r>
      <w:r w:rsidR="006E6FA7" w:rsidRPr="006E6FA7">
        <w:rPr>
          <w:rFonts w:ascii="Times New Roman" w:eastAsia="Arial" w:hAnsi="Times New Roman" w:cs="Times New Roman"/>
          <w:bCs/>
          <w:sz w:val="24"/>
          <w:szCs w:val="24"/>
        </w:rPr>
        <w:t xml:space="preserve"> Capellini. (</w:t>
      </w:r>
      <w:r w:rsidR="009916C4">
        <w:rPr>
          <w:rFonts w:ascii="Times New Roman" w:eastAsia="Arial" w:hAnsi="Times New Roman" w:cs="Times New Roman"/>
          <w:bCs/>
          <w:sz w:val="24"/>
          <w:szCs w:val="24"/>
        </w:rPr>
        <w:t>Eds</w:t>
      </w:r>
      <w:r w:rsidR="006E6FA7" w:rsidRPr="006E6FA7">
        <w:rPr>
          <w:rFonts w:ascii="Times New Roman" w:eastAsia="Arial" w:hAnsi="Times New Roman" w:cs="Times New Roman"/>
          <w:bCs/>
          <w:sz w:val="24"/>
          <w:szCs w:val="24"/>
        </w:rPr>
        <w:t>.)</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sz w:val="24"/>
          <w:szCs w:val="24"/>
        </w:rPr>
        <w:t xml:space="preserve"> </w:t>
      </w:r>
      <w:r w:rsidR="006E6FA7" w:rsidRPr="006E6FA7">
        <w:rPr>
          <w:rFonts w:ascii="Times New Roman" w:eastAsia="Arial" w:hAnsi="Times New Roman" w:cs="Times New Roman"/>
          <w:bCs/>
          <w:i/>
          <w:iCs/>
          <w:sz w:val="24"/>
          <w:szCs w:val="24"/>
        </w:rPr>
        <w:t>Dislexia: novos temas, novas perspectivas</w:t>
      </w:r>
      <w:r w:rsidR="009916C4">
        <w:rPr>
          <w:rFonts w:ascii="Times New Roman" w:eastAsia="Arial" w:hAnsi="Times New Roman" w:cs="Times New Roman"/>
          <w:bCs/>
          <w:i/>
          <w:iCs/>
          <w:sz w:val="24"/>
          <w:szCs w:val="24"/>
        </w:rPr>
        <w:t xml:space="preserve"> </w:t>
      </w:r>
      <w:r w:rsidR="009916C4">
        <w:rPr>
          <w:rFonts w:ascii="Times New Roman" w:eastAsia="Arial" w:hAnsi="Times New Roman" w:cs="Times New Roman"/>
          <w:bCs/>
          <w:sz w:val="24"/>
          <w:szCs w:val="24"/>
        </w:rPr>
        <w:t>(</w:t>
      </w:r>
      <w:r w:rsidR="009916C4" w:rsidRPr="006E6FA7">
        <w:rPr>
          <w:rFonts w:ascii="Times New Roman" w:eastAsia="Arial" w:hAnsi="Times New Roman" w:cs="Times New Roman"/>
          <w:bCs/>
          <w:sz w:val="24"/>
          <w:szCs w:val="24"/>
        </w:rPr>
        <w:t>p</w:t>
      </w:r>
      <w:r w:rsidR="009916C4">
        <w:rPr>
          <w:rFonts w:ascii="Times New Roman" w:eastAsia="Arial" w:hAnsi="Times New Roman" w:cs="Times New Roman"/>
          <w:bCs/>
          <w:sz w:val="24"/>
          <w:szCs w:val="24"/>
        </w:rPr>
        <w:t>p.</w:t>
      </w:r>
      <w:r w:rsidR="009916C4" w:rsidRPr="006E6FA7">
        <w:rPr>
          <w:rFonts w:ascii="Times New Roman" w:eastAsia="Arial" w:hAnsi="Times New Roman" w:cs="Times New Roman"/>
          <w:bCs/>
          <w:sz w:val="24"/>
          <w:szCs w:val="24"/>
        </w:rPr>
        <w:t>71-82</w:t>
      </w:r>
      <w:r w:rsidR="009916C4">
        <w:rPr>
          <w:rFonts w:ascii="Times New Roman" w:eastAsia="Arial" w:hAnsi="Times New Roman" w:cs="Times New Roman"/>
          <w:bCs/>
          <w:sz w:val="24"/>
          <w:szCs w:val="24"/>
        </w:rPr>
        <w:t>)</w:t>
      </w:r>
      <w:r w:rsidR="006E6FA7" w:rsidRPr="006E6FA7">
        <w:rPr>
          <w:rFonts w:ascii="Times New Roman" w:eastAsia="Arial" w:hAnsi="Times New Roman" w:cs="Times New Roman"/>
          <w:bCs/>
          <w:i/>
          <w:iCs/>
          <w:sz w:val="24"/>
          <w:szCs w:val="24"/>
        </w:rPr>
        <w:t xml:space="preserve">. </w:t>
      </w:r>
      <w:r w:rsidR="006E6FA7" w:rsidRPr="009916C4">
        <w:rPr>
          <w:rFonts w:ascii="Times New Roman" w:eastAsia="Arial" w:hAnsi="Times New Roman" w:cs="Times New Roman"/>
          <w:bCs/>
          <w:sz w:val="24"/>
          <w:szCs w:val="24"/>
        </w:rPr>
        <w:t>Volume IV</w:t>
      </w:r>
      <w:r w:rsidR="006E6FA7" w:rsidRPr="006E6FA7">
        <w:rPr>
          <w:rFonts w:ascii="Times New Roman" w:eastAsia="Arial" w:hAnsi="Times New Roman" w:cs="Times New Roman"/>
          <w:bCs/>
          <w:i/>
          <w:iCs/>
          <w:sz w:val="24"/>
          <w:szCs w:val="24"/>
        </w:rPr>
        <w:t>.</w:t>
      </w:r>
      <w:r w:rsidR="006E6FA7" w:rsidRPr="006E6FA7">
        <w:rPr>
          <w:rFonts w:ascii="Times New Roman" w:eastAsia="Arial" w:hAnsi="Times New Roman" w:cs="Times New Roman"/>
          <w:bCs/>
          <w:sz w:val="24"/>
          <w:szCs w:val="24"/>
        </w:rPr>
        <w:t xml:space="preserve"> 4ed.</w:t>
      </w:r>
      <w:r w:rsidR="009916C4">
        <w:rPr>
          <w:rFonts w:ascii="Times New Roman" w:eastAsia="Arial" w:hAnsi="Times New Roman" w:cs="Times New Roman"/>
          <w:bCs/>
          <w:sz w:val="24"/>
          <w:szCs w:val="24"/>
        </w:rPr>
        <w:t xml:space="preserve"> </w:t>
      </w:r>
      <w:r w:rsidR="006E6FA7" w:rsidRPr="00026F41">
        <w:rPr>
          <w:rFonts w:ascii="Times New Roman" w:eastAsia="Arial" w:hAnsi="Times New Roman" w:cs="Times New Roman"/>
          <w:bCs/>
          <w:i/>
          <w:iCs/>
          <w:sz w:val="24"/>
          <w:szCs w:val="24"/>
        </w:rPr>
        <w:t>Wak</w:t>
      </w:r>
      <w:r w:rsidR="00026F41">
        <w:rPr>
          <w:rFonts w:ascii="Times New Roman" w:eastAsia="Arial" w:hAnsi="Times New Roman" w:cs="Times New Roman"/>
          <w:bCs/>
          <w:sz w:val="24"/>
          <w:szCs w:val="24"/>
        </w:rPr>
        <w:t xml:space="preserve">. </w:t>
      </w:r>
    </w:p>
    <w:p w14:paraId="45FECFCD" w14:textId="77777777" w:rsidR="00FC2D36" w:rsidRDefault="00FC2D36" w:rsidP="00FC2D36">
      <w:pPr>
        <w:jc w:val="left"/>
        <w:rPr>
          <w:rFonts w:ascii="Times New Roman" w:eastAsia="Arial" w:hAnsi="Times New Roman" w:cs="Times New Roman"/>
          <w:bCs/>
          <w:sz w:val="24"/>
          <w:szCs w:val="24"/>
        </w:rPr>
      </w:pPr>
    </w:p>
    <w:p w14:paraId="5807D418" w14:textId="5B76CF80" w:rsidR="00297B93" w:rsidRDefault="00297B93" w:rsidP="00FC2D36">
      <w:pPr>
        <w:jc w:val="left"/>
        <w:rPr>
          <w:rStyle w:val="Hyperlink"/>
          <w:rFonts w:ascii="Times New Roman" w:eastAsia="Arial" w:hAnsi="Times New Roman" w:cs="Times New Roman"/>
          <w:bCs/>
          <w:color w:val="250EB2"/>
          <w:sz w:val="24"/>
          <w:szCs w:val="24"/>
        </w:rPr>
      </w:pPr>
      <w:r w:rsidRPr="00297B93">
        <w:rPr>
          <w:rFonts w:ascii="Times New Roman" w:eastAsia="Arial" w:hAnsi="Times New Roman" w:cs="Times New Roman"/>
          <w:bCs/>
          <w:sz w:val="24"/>
          <w:szCs w:val="24"/>
        </w:rPr>
        <w:t>Baretta, D., &amp; Pereira, V. W. (2018). Compreensão literal e inferencial em alunos do Ensino Fundamental. </w:t>
      </w:r>
      <w:r w:rsidRPr="00297B93">
        <w:rPr>
          <w:rFonts w:ascii="Times New Roman" w:eastAsia="Arial" w:hAnsi="Times New Roman" w:cs="Times New Roman"/>
          <w:bCs/>
          <w:i/>
          <w:iCs/>
          <w:sz w:val="24"/>
          <w:szCs w:val="24"/>
        </w:rPr>
        <w:t>Signo</w:t>
      </w:r>
      <w:r w:rsidRPr="00297B93">
        <w:rPr>
          <w:rFonts w:ascii="Times New Roman" w:eastAsia="Arial" w:hAnsi="Times New Roman" w:cs="Times New Roman"/>
          <w:bCs/>
          <w:sz w:val="24"/>
          <w:szCs w:val="24"/>
        </w:rPr>
        <w:t>, </w:t>
      </w:r>
      <w:r w:rsidRPr="00297B93">
        <w:rPr>
          <w:rFonts w:ascii="Times New Roman" w:eastAsia="Arial" w:hAnsi="Times New Roman" w:cs="Times New Roman"/>
          <w:bCs/>
          <w:i/>
          <w:iCs/>
          <w:sz w:val="24"/>
          <w:szCs w:val="24"/>
        </w:rPr>
        <w:t>43</w:t>
      </w:r>
      <w:r w:rsidRPr="00297B93">
        <w:rPr>
          <w:rFonts w:ascii="Times New Roman" w:eastAsia="Arial" w:hAnsi="Times New Roman" w:cs="Times New Roman"/>
          <w:bCs/>
          <w:sz w:val="24"/>
          <w:szCs w:val="24"/>
        </w:rPr>
        <w:t>(77), 53-61.</w:t>
      </w:r>
      <w:r w:rsidR="00031E11" w:rsidRPr="00031E11">
        <w:rPr>
          <w:rFonts w:ascii="Times New Roman" w:eastAsia="Arial" w:hAnsi="Times New Roman" w:cs="Times New Roman"/>
          <w:bCs/>
          <w:sz w:val="24"/>
          <w:szCs w:val="24"/>
        </w:rPr>
        <w:t xml:space="preserve"> </w:t>
      </w:r>
      <w:hyperlink r:id="rId17" w:history="1">
        <w:r w:rsidR="00031E11" w:rsidRPr="00031E11">
          <w:rPr>
            <w:rStyle w:val="Hyperlink"/>
            <w:rFonts w:ascii="Times New Roman" w:eastAsia="Arial" w:hAnsi="Times New Roman" w:cs="Times New Roman"/>
            <w:bCs/>
            <w:color w:val="250EB2"/>
            <w:sz w:val="24"/>
            <w:szCs w:val="24"/>
          </w:rPr>
          <w:t>http://dx.doi.org/10.17058/signo.v43i77.11533</w:t>
        </w:r>
      </w:hyperlink>
    </w:p>
    <w:p w14:paraId="78034E25" w14:textId="77777777" w:rsidR="00FC2D36" w:rsidRDefault="00FC2D36" w:rsidP="00FC2D36">
      <w:pPr>
        <w:jc w:val="left"/>
        <w:rPr>
          <w:rFonts w:ascii="Times New Roman" w:eastAsia="Arial" w:hAnsi="Times New Roman" w:cs="Times New Roman"/>
          <w:bCs/>
          <w:sz w:val="24"/>
          <w:szCs w:val="24"/>
        </w:rPr>
      </w:pPr>
    </w:p>
    <w:p w14:paraId="59F5E95F" w14:textId="7C6EB116" w:rsidR="00297B93" w:rsidRDefault="00297B93" w:rsidP="00FC2D36">
      <w:pPr>
        <w:jc w:val="left"/>
        <w:rPr>
          <w:rFonts w:ascii="Times New Roman" w:eastAsia="Arial" w:hAnsi="Times New Roman" w:cs="Times New Roman"/>
          <w:bCs/>
          <w:sz w:val="24"/>
          <w:szCs w:val="24"/>
        </w:rPr>
      </w:pPr>
      <w:r w:rsidRPr="00297B93">
        <w:rPr>
          <w:rFonts w:ascii="Times New Roman" w:eastAsia="Arial" w:hAnsi="Times New Roman" w:cs="Times New Roman"/>
          <w:bCs/>
          <w:sz w:val="24"/>
          <w:szCs w:val="24"/>
        </w:rPr>
        <w:t>Braun, P. (2012). </w:t>
      </w:r>
      <w:r w:rsidRPr="00297B93">
        <w:rPr>
          <w:rFonts w:ascii="Times New Roman" w:eastAsia="Arial" w:hAnsi="Times New Roman" w:cs="Times New Roman"/>
          <w:bCs/>
          <w:i/>
          <w:iCs/>
          <w:sz w:val="24"/>
          <w:szCs w:val="24"/>
        </w:rPr>
        <w:t>Uma intervenção colaborativa sobre os processos de ensino e aprendizagem do aluno com deficiência intelectual</w:t>
      </w:r>
      <w:r w:rsidRPr="00297B93">
        <w:rPr>
          <w:rFonts w:ascii="Times New Roman" w:eastAsia="Arial" w:hAnsi="Times New Roman" w:cs="Times New Roman"/>
          <w:bCs/>
          <w:sz w:val="24"/>
          <w:szCs w:val="24"/>
        </w:rPr>
        <w:t> </w:t>
      </w:r>
      <w:r w:rsidR="00864235">
        <w:rPr>
          <w:rFonts w:ascii="Times New Roman" w:eastAsia="Arial" w:hAnsi="Times New Roman" w:cs="Times New Roman"/>
          <w:bCs/>
          <w:sz w:val="24"/>
          <w:szCs w:val="24"/>
        </w:rPr>
        <w:t>[Tese de doutorado].</w:t>
      </w:r>
      <w:r w:rsidRPr="00297B93">
        <w:rPr>
          <w:rFonts w:ascii="Times New Roman" w:eastAsia="Arial" w:hAnsi="Times New Roman" w:cs="Times New Roman"/>
          <w:bCs/>
          <w:sz w:val="24"/>
          <w:szCs w:val="24"/>
        </w:rPr>
        <w:t xml:space="preserve"> Universidade do Estado do Rio de Janeiro).</w:t>
      </w:r>
      <w:r w:rsidR="00864235">
        <w:rPr>
          <w:rFonts w:ascii="Times New Roman" w:eastAsia="Arial" w:hAnsi="Times New Roman" w:cs="Times New Roman"/>
          <w:bCs/>
          <w:sz w:val="24"/>
          <w:szCs w:val="24"/>
        </w:rPr>
        <w:t xml:space="preserve"> </w:t>
      </w:r>
      <w:hyperlink r:id="rId18" w:history="1">
        <w:r w:rsidR="00864235" w:rsidRPr="005F6663">
          <w:rPr>
            <w:rStyle w:val="Hyperlink"/>
            <w:rFonts w:ascii="Times New Roman" w:eastAsia="Arial" w:hAnsi="Times New Roman" w:cs="Times New Roman"/>
            <w:bCs/>
            <w:sz w:val="24"/>
            <w:szCs w:val="24"/>
          </w:rPr>
          <w:t>https://www.bdtd.uerj.br:8443/handle/1/10337</w:t>
        </w:r>
      </w:hyperlink>
      <w:r w:rsidR="00864235">
        <w:rPr>
          <w:rFonts w:ascii="Times New Roman" w:eastAsia="Arial" w:hAnsi="Times New Roman" w:cs="Times New Roman"/>
          <w:bCs/>
          <w:sz w:val="24"/>
          <w:szCs w:val="24"/>
        </w:rPr>
        <w:t xml:space="preserve"> (acesso em 01 de dezembro, 2021)</w:t>
      </w:r>
    </w:p>
    <w:p w14:paraId="0B2031D1" w14:textId="77777777" w:rsidR="00FC2D36" w:rsidRDefault="00FC2D36" w:rsidP="00FC2D36">
      <w:pPr>
        <w:jc w:val="left"/>
        <w:rPr>
          <w:rFonts w:ascii="Times New Roman" w:eastAsia="Arial" w:hAnsi="Times New Roman" w:cs="Times New Roman"/>
          <w:bCs/>
          <w:sz w:val="24"/>
          <w:szCs w:val="24"/>
        </w:rPr>
      </w:pPr>
    </w:p>
    <w:p w14:paraId="02268C1A" w14:textId="42031167" w:rsidR="00297B93" w:rsidRDefault="00297B93" w:rsidP="00FC2D36">
      <w:pPr>
        <w:jc w:val="left"/>
        <w:rPr>
          <w:rStyle w:val="Hyperlink"/>
          <w:rFonts w:ascii="Times New Roman" w:hAnsi="Times New Roman" w:cs="Times New Roman"/>
          <w:color w:val="0070C0"/>
          <w:sz w:val="24"/>
          <w:szCs w:val="24"/>
          <w:shd w:val="clear" w:color="auto" w:fill="FFFFFF"/>
        </w:rPr>
      </w:pPr>
      <w:r w:rsidRPr="00297B93">
        <w:rPr>
          <w:rFonts w:ascii="Times New Roman" w:eastAsia="Arial" w:hAnsi="Times New Roman" w:cs="Times New Roman"/>
          <w:bCs/>
          <w:sz w:val="24"/>
          <w:szCs w:val="24"/>
        </w:rPr>
        <w:t>Campos, J. A. D. P. P., Duarte, M., &amp; Cia, F. (2012). A prática pedagógica de professores do ensino regular junto aos alunos com necessidades educacionais especiais. </w:t>
      </w:r>
      <w:r w:rsidRPr="00297B93">
        <w:rPr>
          <w:rFonts w:ascii="Times New Roman" w:eastAsia="Arial" w:hAnsi="Times New Roman" w:cs="Times New Roman"/>
          <w:bCs/>
          <w:i/>
          <w:iCs/>
          <w:sz w:val="24"/>
          <w:szCs w:val="24"/>
        </w:rPr>
        <w:t xml:space="preserve">Teoria e </w:t>
      </w:r>
      <w:r w:rsidR="00864235">
        <w:rPr>
          <w:rFonts w:ascii="Times New Roman" w:eastAsia="Arial" w:hAnsi="Times New Roman" w:cs="Times New Roman"/>
          <w:bCs/>
          <w:i/>
          <w:iCs/>
          <w:sz w:val="24"/>
          <w:szCs w:val="24"/>
        </w:rPr>
        <w:t>P</w:t>
      </w:r>
      <w:r w:rsidRPr="00297B93">
        <w:rPr>
          <w:rFonts w:ascii="Times New Roman" w:eastAsia="Arial" w:hAnsi="Times New Roman" w:cs="Times New Roman"/>
          <w:bCs/>
          <w:i/>
          <w:iCs/>
          <w:sz w:val="24"/>
          <w:szCs w:val="24"/>
        </w:rPr>
        <w:t xml:space="preserve">rática da </w:t>
      </w:r>
      <w:r w:rsidR="00864235">
        <w:rPr>
          <w:rFonts w:ascii="Times New Roman" w:eastAsia="Arial" w:hAnsi="Times New Roman" w:cs="Times New Roman"/>
          <w:bCs/>
          <w:i/>
          <w:iCs/>
          <w:sz w:val="24"/>
          <w:szCs w:val="24"/>
        </w:rPr>
        <w:t>E</w:t>
      </w:r>
      <w:r w:rsidRPr="00297B93">
        <w:rPr>
          <w:rFonts w:ascii="Times New Roman" w:eastAsia="Arial" w:hAnsi="Times New Roman" w:cs="Times New Roman"/>
          <w:bCs/>
          <w:i/>
          <w:iCs/>
          <w:sz w:val="24"/>
          <w:szCs w:val="24"/>
        </w:rPr>
        <w:t>ducação</w:t>
      </w:r>
      <w:r w:rsidRPr="00297B93">
        <w:rPr>
          <w:rFonts w:ascii="Times New Roman" w:eastAsia="Arial" w:hAnsi="Times New Roman" w:cs="Times New Roman"/>
          <w:bCs/>
          <w:sz w:val="24"/>
          <w:szCs w:val="24"/>
        </w:rPr>
        <w:t>, </w:t>
      </w:r>
      <w:r w:rsidRPr="00297B93">
        <w:rPr>
          <w:rFonts w:ascii="Times New Roman" w:eastAsia="Arial" w:hAnsi="Times New Roman" w:cs="Times New Roman"/>
          <w:bCs/>
          <w:i/>
          <w:iCs/>
          <w:sz w:val="24"/>
          <w:szCs w:val="24"/>
        </w:rPr>
        <w:t>15</w:t>
      </w:r>
      <w:r w:rsidRPr="00297B93">
        <w:rPr>
          <w:rFonts w:ascii="Times New Roman" w:eastAsia="Arial" w:hAnsi="Times New Roman" w:cs="Times New Roman"/>
          <w:bCs/>
          <w:sz w:val="24"/>
          <w:szCs w:val="24"/>
        </w:rPr>
        <w:t>(1), 19-24.</w:t>
      </w:r>
      <w:hyperlink r:id="rId19" w:history="1">
        <w:r w:rsidR="00031E11" w:rsidRPr="00031E11">
          <w:rPr>
            <w:rStyle w:val="Hyperlink"/>
          </w:rPr>
          <w:t xml:space="preserve"> </w:t>
        </w:r>
        <w:r w:rsidR="00031E11" w:rsidRPr="00FD7430">
          <w:rPr>
            <w:rStyle w:val="Hyperlink"/>
            <w:rFonts w:ascii="Times New Roman" w:hAnsi="Times New Roman" w:cs="Times New Roman"/>
            <w:color w:val="0070C0"/>
            <w:sz w:val="24"/>
            <w:szCs w:val="24"/>
            <w:shd w:val="clear" w:color="auto" w:fill="FFFFFF"/>
          </w:rPr>
          <w:t>https://doi.org/10.4025/tpe.v15i1.18545</w:t>
        </w:r>
      </w:hyperlink>
    </w:p>
    <w:p w14:paraId="1431553D" w14:textId="77777777" w:rsidR="00FC2D36" w:rsidRDefault="00FC2D36" w:rsidP="00FC2D36">
      <w:pPr>
        <w:jc w:val="left"/>
        <w:rPr>
          <w:rFonts w:ascii="Times New Roman" w:eastAsia="Arial" w:hAnsi="Times New Roman" w:cs="Times New Roman"/>
          <w:bCs/>
          <w:sz w:val="24"/>
          <w:szCs w:val="24"/>
        </w:rPr>
      </w:pPr>
    </w:p>
    <w:p w14:paraId="141C3B31" w14:textId="48F55E8A" w:rsidR="00297B93" w:rsidRDefault="00297B93" w:rsidP="00FC2D36">
      <w:pPr>
        <w:jc w:val="left"/>
        <w:rPr>
          <w:rFonts w:ascii="Times New Roman" w:eastAsia="Arial" w:hAnsi="Times New Roman" w:cs="Times New Roman"/>
          <w:bCs/>
          <w:sz w:val="24"/>
          <w:szCs w:val="24"/>
        </w:rPr>
      </w:pPr>
      <w:r w:rsidRPr="00297B93">
        <w:rPr>
          <w:rFonts w:ascii="Times New Roman" w:eastAsia="Arial" w:hAnsi="Times New Roman" w:cs="Times New Roman"/>
          <w:bCs/>
          <w:sz w:val="24"/>
          <w:szCs w:val="24"/>
        </w:rPr>
        <w:t>Castro, A. M. D. (2007). </w:t>
      </w:r>
      <w:r w:rsidRPr="00297B93">
        <w:rPr>
          <w:rFonts w:ascii="Times New Roman" w:eastAsia="Arial" w:hAnsi="Times New Roman" w:cs="Times New Roman"/>
          <w:bCs/>
          <w:i/>
          <w:iCs/>
          <w:sz w:val="24"/>
          <w:szCs w:val="24"/>
        </w:rPr>
        <w:t>A avaliação da aprendizagem no contexto da inclusão de alunos com necessidades educacionais especiais na escola pública</w:t>
      </w:r>
      <w:r w:rsidRPr="00297B93">
        <w:rPr>
          <w:rFonts w:ascii="Times New Roman" w:eastAsia="Arial" w:hAnsi="Times New Roman" w:cs="Times New Roman"/>
          <w:bCs/>
          <w:sz w:val="24"/>
          <w:szCs w:val="24"/>
        </w:rPr>
        <w:t> </w:t>
      </w:r>
      <w:r w:rsidR="00864235">
        <w:rPr>
          <w:rFonts w:ascii="Times New Roman" w:eastAsia="Arial" w:hAnsi="Times New Roman" w:cs="Times New Roman"/>
          <w:bCs/>
          <w:sz w:val="24"/>
          <w:szCs w:val="24"/>
        </w:rPr>
        <w:t xml:space="preserve">[Tese de doutorado]. </w:t>
      </w:r>
      <w:r w:rsidRPr="00297B93">
        <w:rPr>
          <w:rFonts w:ascii="Times New Roman" w:eastAsia="Arial" w:hAnsi="Times New Roman" w:cs="Times New Roman"/>
          <w:bCs/>
          <w:sz w:val="24"/>
          <w:szCs w:val="24"/>
        </w:rPr>
        <w:t>Universidade de São Paulo.</w:t>
      </w:r>
    </w:p>
    <w:p w14:paraId="6089A1C0" w14:textId="77777777" w:rsidR="00FC2D36" w:rsidRPr="007D5DAF" w:rsidRDefault="00FC2D36" w:rsidP="00FC2D36">
      <w:pPr>
        <w:jc w:val="left"/>
        <w:rPr>
          <w:rFonts w:ascii="Times New Roman" w:eastAsia="Arial" w:hAnsi="Times New Roman" w:cs="Times New Roman"/>
          <w:bCs/>
          <w:sz w:val="24"/>
          <w:szCs w:val="24"/>
        </w:rPr>
      </w:pPr>
    </w:p>
    <w:p w14:paraId="16884AB7" w14:textId="6B51C8C6" w:rsidR="00297B93" w:rsidRDefault="00297B93" w:rsidP="00FC2D36">
      <w:pPr>
        <w:widowControl w:val="0"/>
        <w:jc w:val="left"/>
        <w:rPr>
          <w:rStyle w:val="Hyperlink"/>
          <w:rFonts w:ascii="Times New Roman" w:hAnsi="Times New Roman" w:cs="Times New Roman"/>
          <w:color w:val="0070C0"/>
          <w:sz w:val="24"/>
          <w:szCs w:val="24"/>
        </w:rPr>
      </w:pPr>
      <w:r w:rsidRPr="00297B93">
        <w:rPr>
          <w:rFonts w:ascii="Times New Roman" w:hAnsi="Times New Roman" w:cs="Times New Roman"/>
          <w:bCs/>
          <w:sz w:val="24"/>
          <w:szCs w:val="24"/>
        </w:rPr>
        <w:t xml:space="preserve">Celeste, L. C., Pereira, E. S., Pereira, N. R. R., &amp; Alves, L. M. (2018). </w:t>
      </w:r>
      <w:r w:rsidRPr="00297B93">
        <w:rPr>
          <w:rFonts w:ascii="Times New Roman" w:hAnsi="Times New Roman" w:cs="Times New Roman"/>
          <w:bCs/>
          <w:sz w:val="24"/>
          <w:szCs w:val="24"/>
          <w:lang w:val="en-US"/>
        </w:rPr>
        <w:t xml:space="preserve">Prosodic parameters of reading in 2nd to 5th grade students. </w:t>
      </w:r>
      <w:r w:rsidRPr="00297B93">
        <w:rPr>
          <w:rFonts w:ascii="Times New Roman" w:hAnsi="Times New Roman" w:cs="Times New Roman"/>
          <w:bCs/>
          <w:sz w:val="24"/>
          <w:szCs w:val="24"/>
        </w:rPr>
        <w:t>In </w:t>
      </w:r>
      <w:r w:rsidRPr="00297B93">
        <w:rPr>
          <w:rFonts w:ascii="Times New Roman" w:hAnsi="Times New Roman" w:cs="Times New Roman"/>
          <w:bCs/>
          <w:i/>
          <w:iCs/>
          <w:sz w:val="24"/>
          <w:szCs w:val="24"/>
        </w:rPr>
        <w:t>CoDAS</w:t>
      </w:r>
      <w:r w:rsidR="00026F41">
        <w:rPr>
          <w:rFonts w:ascii="Times New Roman" w:hAnsi="Times New Roman" w:cs="Times New Roman"/>
          <w:bCs/>
          <w:i/>
          <w:iCs/>
          <w:sz w:val="24"/>
          <w:szCs w:val="24"/>
        </w:rPr>
        <w:t>.</w:t>
      </w:r>
      <w:r w:rsidRPr="00297B93">
        <w:rPr>
          <w:rFonts w:ascii="Times New Roman" w:hAnsi="Times New Roman" w:cs="Times New Roman"/>
          <w:bCs/>
          <w:sz w:val="24"/>
          <w:szCs w:val="24"/>
        </w:rPr>
        <w:t> </w:t>
      </w:r>
      <w:r w:rsidR="00864235">
        <w:rPr>
          <w:rFonts w:ascii="Times New Roman" w:hAnsi="Times New Roman" w:cs="Times New Roman"/>
          <w:bCs/>
          <w:i/>
          <w:iCs/>
          <w:sz w:val="24"/>
          <w:szCs w:val="24"/>
        </w:rPr>
        <w:t>1</w:t>
      </w:r>
      <w:r w:rsidR="00864235">
        <w:rPr>
          <w:rFonts w:ascii="Times New Roman" w:hAnsi="Times New Roman" w:cs="Times New Roman"/>
          <w:bCs/>
          <w:sz w:val="24"/>
          <w:szCs w:val="24"/>
        </w:rPr>
        <w:t>(</w:t>
      </w:r>
      <w:r w:rsidR="00026F41">
        <w:rPr>
          <w:rFonts w:ascii="Times New Roman" w:hAnsi="Times New Roman" w:cs="Times New Roman"/>
          <w:bCs/>
          <w:sz w:val="24"/>
          <w:szCs w:val="24"/>
        </w:rPr>
        <w:t>30</w:t>
      </w:r>
      <w:r w:rsidR="00864235">
        <w:rPr>
          <w:rFonts w:ascii="Times New Roman" w:hAnsi="Times New Roman" w:cs="Times New Roman"/>
          <w:bCs/>
          <w:sz w:val="24"/>
          <w:szCs w:val="24"/>
        </w:rPr>
        <w:t>)</w:t>
      </w:r>
      <w:r w:rsidRPr="00297B93">
        <w:rPr>
          <w:rFonts w:ascii="Times New Roman" w:hAnsi="Times New Roman" w:cs="Times New Roman"/>
          <w:bCs/>
          <w:sz w:val="24"/>
          <w:szCs w:val="24"/>
        </w:rPr>
        <w:t>. Sociedade Brasileira de Fonoaudiologia.</w:t>
      </w:r>
      <w:r w:rsidR="00031E11" w:rsidRPr="00031E11">
        <w:t xml:space="preserve"> </w:t>
      </w:r>
      <w:hyperlink r:id="rId20" w:history="1">
        <w:r w:rsidR="00031E11" w:rsidRPr="00FD7430">
          <w:rPr>
            <w:rStyle w:val="Hyperlink"/>
            <w:rFonts w:ascii="Times New Roman" w:hAnsi="Times New Roman" w:cs="Times New Roman"/>
            <w:color w:val="0070C0"/>
            <w:sz w:val="24"/>
            <w:szCs w:val="24"/>
          </w:rPr>
          <w:t>https://doi.org/10.1590/2317-1782/20182017034</w:t>
        </w:r>
      </w:hyperlink>
    </w:p>
    <w:p w14:paraId="2DD9DDC1" w14:textId="77777777" w:rsidR="00FC2D36" w:rsidRDefault="00FC2D36" w:rsidP="00FC2D36">
      <w:pPr>
        <w:widowControl w:val="0"/>
        <w:jc w:val="left"/>
        <w:rPr>
          <w:rFonts w:ascii="Times New Roman" w:hAnsi="Times New Roman" w:cs="Times New Roman"/>
          <w:bCs/>
          <w:sz w:val="24"/>
          <w:szCs w:val="24"/>
        </w:rPr>
      </w:pPr>
    </w:p>
    <w:p w14:paraId="0118138E" w14:textId="649B76EE" w:rsidR="00297B93" w:rsidRDefault="00297B93" w:rsidP="00FC2D36">
      <w:pPr>
        <w:widowControl w:val="0"/>
        <w:jc w:val="left"/>
        <w:rPr>
          <w:rFonts w:ascii="Times New Roman" w:hAnsi="Times New Roman" w:cs="Times New Roman"/>
          <w:bCs/>
          <w:sz w:val="24"/>
          <w:szCs w:val="24"/>
        </w:rPr>
      </w:pPr>
      <w:r w:rsidRPr="00297B93">
        <w:rPr>
          <w:rFonts w:ascii="Times New Roman" w:hAnsi="Times New Roman" w:cs="Times New Roman"/>
          <w:bCs/>
          <w:sz w:val="24"/>
          <w:szCs w:val="24"/>
        </w:rPr>
        <w:t>Ferreira, R. D. S. (2009). </w:t>
      </w:r>
      <w:r w:rsidRPr="00297B93">
        <w:rPr>
          <w:rFonts w:ascii="Times New Roman" w:hAnsi="Times New Roman" w:cs="Times New Roman"/>
          <w:bCs/>
          <w:i/>
          <w:iCs/>
          <w:sz w:val="24"/>
          <w:szCs w:val="24"/>
        </w:rPr>
        <w:t>Avaliação da fluência na leitura em crianças com e sem necessidades educativas especiais: Validação de uma prova de fluência na leitura para o 2º Ano do 1º CEB</w:t>
      </w:r>
      <w:r w:rsidRPr="00297B93">
        <w:rPr>
          <w:rFonts w:ascii="Times New Roman" w:hAnsi="Times New Roman" w:cs="Times New Roman"/>
          <w:bCs/>
          <w:sz w:val="24"/>
          <w:szCs w:val="24"/>
        </w:rPr>
        <w:t> </w:t>
      </w:r>
      <w:r w:rsidR="00864235">
        <w:rPr>
          <w:rFonts w:ascii="Times New Roman" w:hAnsi="Times New Roman" w:cs="Times New Roman"/>
          <w:bCs/>
          <w:sz w:val="24"/>
          <w:szCs w:val="24"/>
        </w:rPr>
        <w:t xml:space="preserve">[Tese de doutorado]. Universidade de Lisboa. </w:t>
      </w:r>
      <w:hyperlink r:id="rId21" w:history="1">
        <w:r w:rsidR="000A0346" w:rsidRPr="005F6663">
          <w:rPr>
            <w:rStyle w:val="Hyperlink"/>
            <w:rFonts w:ascii="Times New Roman" w:hAnsi="Times New Roman" w:cs="Times New Roman"/>
            <w:bCs/>
            <w:sz w:val="24"/>
            <w:szCs w:val="24"/>
          </w:rPr>
          <w:t>http://hdl.handle.net/10400.5/2142</w:t>
        </w:r>
      </w:hyperlink>
      <w:r w:rsidR="000A0346">
        <w:rPr>
          <w:rFonts w:ascii="Times New Roman" w:hAnsi="Times New Roman" w:cs="Times New Roman"/>
          <w:bCs/>
          <w:sz w:val="24"/>
          <w:szCs w:val="24"/>
        </w:rPr>
        <w:t xml:space="preserve"> (acesso em 01 de dezembro, 2021).</w:t>
      </w:r>
    </w:p>
    <w:p w14:paraId="640DA3C4" w14:textId="77777777" w:rsidR="00FC2D36" w:rsidRDefault="00FC2D36" w:rsidP="00FC2D36">
      <w:pPr>
        <w:widowControl w:val="0"/>
        <w:jc w:val="left"/>
        <w:rPr>
          <w:rFonts w:ascii="Times New Roman" w:hAnsi="Times New Roman" w:cs="Times New Roman"/>
          <w:bCs/>
          <w:sz w:val="24"/>
          <w:szCs w:val="24"/>
        </w:rPr>
      </w:pPr>
    </w:p>
    <w:p w14:paraId="46C4625C" w14:textId="7A507330" w:rsidR="00297B93" w:rsidRDefault="00297B93" w:rsidP="00FC2D36">
      <w:pPr>
        <w:widowControl w:val="0"/>
        <w:jc w:val="left"/>
        <w:rPr>
          <w:rStyle w:val="Hyperlink"/>
          <w:rFonts w:ascii="Times New Roman" w:hAnsi="Times New Roman" w:cs="Times New Roman"/>
          <w:color w:val="006ACC"/>
          <w:sz w:val="24"/>
          <w:szCs w:val="24"/>
          <w:shd w:val="clear" w:color="auto" w:fill="FFFFFF"/>
        </w:rPr>
      </w:pPr>
      <w:r w:rsidRPr="00297B93">
        <w:rPr>
          <w:rFonts w:ascii="Times New Roman" w:hAnsi="Times New Roman" w:cs="Times New Roman"/>
          <w:bCs/>
          <w:sz w:val="24"/>
          <w:szCs w:val="24"/>
          <w:lang w:val="en-US"/>
        </w:rPr>
        <w:t xml:space="preserve">Fuchs, D., Fuchs, L. S., &amp; Vaughn, S. (2014). What is intensive instruction and why is it </w:t>
      </w:r>
      <w:proofErr w:type="gramStart"/>
      <w:r w:rsidRPr="00297B93">
        <w:rPr>
          <w:rFonts w:ascii="Times New Roman" w:hAnsi="Times New Roman" w:cs="Times New Roman"/>
          <w:bCs/>
          <w:sz w:val="24"/>
          <w:szCs w:val="24"/>
          <w:lang w:val="en-US"/>
        </w:rPr>
        <w:t>important?.</w:t>
      </w:r>
      <w:proofErr w:type="gramEnd"/>
      <w:r w:rsidRPr="00297B93">
        <w:rPr>
          <w:rFonts w:ascii="Times New Roman" w:hAnsi="Times New Roman" w:cs="Times New Roman"/>
          <w:bCs/>
          <w:sz w:val="24"/>
          <w:szCs w:val="24"/>
          <w:lang w:val="en-US"/>
        </w:rPr>
        <w:t> </w:t>
      </w:r>
      <w:r w:rsidRPr="00595559">
        <w:rPr>
          <w:rFonts w:ascii="Times New Roman" w:hAnsi="Times New Roman" w:cs="Times New Roman"/>
          <w:bCs/>
          <w:i/>
          <w:iCs/>
          <w:sz w:val="24"/>
          <w:szCs w:val="24"/>
          <w:lang w:val="en-US"/>
        </w:rPr>
        <w:t>Teaching</w:t>
      </w:r>
      <w:r w:rsidR="00FD7430">
        <w:rPr>
          <w:rFonts w:ascii="Times New Roman" w:hAnsi="Times New Roman" w:cs="Times New Roman"/>
          <w:bCs/>
          <w:i/>
          <w:iCs/>
          <w:sz w:val="24"/>
          <w:szCs w:val="24"/>
          <w:lang w:val="en-US"/>
        </w:rPr>
        <w:t xml:space="preserve"> </w:t>
      </w:r>
      <w:r w:rsidRPr="00595559">
        <w:rPr>
          <w:rFonts w:ascii="Times New Roman" w:hAnsi="Times New Roman" w:cs="Times New Roman"/>
          <w:bCs/>
          <w:i/>
          <w:iCs/>
          <w:sz w:val="24"/>
          <w:szCs w:val="24"/>
          <w:lang w:val="en-US"/>
        </w:rPr>
        <w:t>Exceptional Children</w:t>
      </w:r>
      <w:r w:rsidRPr="00595559">
        <w:rPr>
          <w:rFonts w:ascii="Times New Roman" w:hAnsi="Times New Roman" w:cs="Times New Roman"/>
          <w:bCs/>
          <w:sz w:val="24"/>
          <w:szCs w:val="24"/>
          <w:lang w:val="en-US"/>
        </w:rPr>
        <w:t>, </w:t>
      </w:r>
      <w:r w:rsidRPr="00595559">
        <w:rPr>
          <w:rFonts w:ascii="Times New Roman" w:hAnsi="Times New Roman" w:cs="Times New Roman"/>
          <w:bCs/>
          <w:i/>
          <w:iCs/>
          <w:sz w:val="24"/>
          <w:szCs w:val="24"/>
          <w:lang w:val="en-US"/>
        </w:rPr>
        <w:t>46</w:t>
      </w:r>
      <w:r w:rsidRPr="00595559">
        <w:rPr>
          <w:rFonts w:ascii="Times New Roman" w:hAnsi="Times New Roman" w:cs="Times New Roman"/>
          <w:bCs/>
          <w:sz w:val="24"/>
          <w:szCs w:val="24"/>
          <w:lang w:val="en-US"/>
        </w:rPr>
        <w:t>(4), 13-18.</w:t>
      </w:r>
      <w:r w:rsidR="00FD7430" w:rsidRPr="00CF0556">
        <w:rPr>
          <w:rFonts w:ascii="Times New Roman" w:hAnsi="Times New Roman" w:cs="Times New Roman"/>
          <w:sz w:val="24"/>
          <w:szCs w:val="24"/>
          <w:lang w:val="en-US"/>
        </w:rPr>
        <w:t xml:space="preserve"> </w:t>
      </w:r>
      <w:hyperlink r:id="rId22" w:history="1">
        <w:r w:rsidR="00FD7430" w:rsidRPr="00CF0556">
          <w:rPr>
            <w:rStyle w:val="Hyperlink"/>
            <w:rFonts w:ascii="Times New Roman" w:hAnsi="Times New Roman" w:cs="Times New Roman"/>
            <w:color w:val="006ACC"/>
            <w:sz w:val="24"/>
            <w:szCs w:val="24"/>
            <w:shd w:val="clear" w:color="auto" w:fill="FFFFFF"/>
            <w:lang w:val="en-US"/>
          </w:rPr>
          <w:t>https://doi.org/10.1177/0040059914522966</w:t>
        </w:r>
      </w:hyperlink>
    </w:p>
    <w:p w14:paraId="7B5FE23C" w14:textId="77777777" w:rsidR="00FC2D36" w:rsidRPr="00595559" w:rsidRDefault="00FC2D36" w:rsidP="00FC2D36">
      <w:pPr>
        <w:widowControl w:val="0"/>
        <w:jc w:val="left"/>
        <w:rPr>
          <w:rFonts w:ascii="Times New Roman" w:hAnsi="Times New Roman" w:cs="Times New Roman"/>
          <w:bCs/>
          <w:sz w:val="24"/>
          <w:szCs w:val="24"/>
          <w:lang w:val="en-US"/>
        </w:rPr>
      </w:pPr>
    </w:p>
    <w:p w14:paraId="7873D5A8" w14:textId="2A22BB97" w:rsidR="00297B93" w:rsidRDefault="00297B93" w:rsidP="00FC2D36">
      <w:pPr>
        <w:widowControl w:val="0"/>
        <w:jc w:val="left"/>
        <w:rPr>
          <w:rStyle w:val="Hyperlink"/>
          <w:rFonts w:ascii="Times New Roman" w:hAnsi="Times New Roman" w:cs="Times New Roman"/>
          <w:color w:val="006ACC"/>
          <w:sz w:val="24"/>
          <w:szCs w:val="24"/>
          <w:shd w:val="clear" w:color="auto" w:fill="FFFFFF"/>
        </w:rPr>
      </w:pPr>
      <w:r w:rsidRPr="00297B93">
        <w:rPr>
          <w:rFonts w:ascii="Times New Roman" w:hAnsi="Times New Roman" w:cs="Times New Roman"/>
          <w:bCs/>
          <w:sz w:val="24"/>
          <w:szCs w:val="24"/>
          <w:lang w:val="en-US"/>
        </w:rPr>
        <w:t xml:space="preserve">Fuchs, D., Fuchs, L. S., &amp; Compton, D. L. (2012). Smart RTI: A next-generation approach to </w:t>
      </w:r>
      <w:r w:rsidRPr="00297B93">
        <w:rPr>
          <w:rFonts w:ascii="Times New Roman" w:hAnsi="Times New Roman" w:cs="Times New Roman"/>
          <w:bCs/>
          <w:sz w:val="24"/>
          <w:szCs w:val="24"/>
          <w:lang w:val="en-US"/>
        </w:rPr>
        <w:lastRenderedPageBreak/>
        <w:t>multilevel prevention. </w:t>
      </w:r>
      <w:r w:rsidRPr="00595559">
        <w:rPr>
          <w:rFonts w:ascii="Times New Roman" w:hAnsi="Times New Roman" w:cs="Times New Roman"/>
          <w:bCs/>
          <w:i/>
          <w:iCs/>
          <w:sz w:val="24"/>
          <w:szCs w:val="24"/>
          <w:lang w:val="en-US"/>
        </w:rPr>
        <w:t xml:space="preserve">Exceptional </w:t>
      </w:r>
      <w:r w:rsidR="000A0346">
        <w:rPr>
          <w:rFonts w:ascii="Times New Roman" w:hAnsi="Times New Roman" w:cs="Times New Roman"/>
          <w:bCs/>
          <w:i/>
          <w:iCs/>
          <w:sz w:val="24"/>
          <w:szCs w:val="24"/>
          <w:lang w:val="en-US"/>
        </w:rPr>
        <w:t>C</w:t>
      </w:r>
      <w:r w:rsidRPr="00595559">
        <w:rPr>
          <w:rFonts w:ascii="Times New Roman" w:hAnsi="Times New Roman" w:cs="Times New Roman"/>
          <w:bCs/>
          <w:i/>
          <w:iCs/>
          <w:sz w:val="24"/>
          <w:szCs w:val="24"/>
          <w:lang w:val="en-US"/>
        </w:rPr>
        <w:t>hildren</w:t>
      </w:r>
      <w:r w:rsidRPr="00595559">
        <w:rPr>
          <w:rFonts w:ascii="Times New Roman" w:hAnsi="Times New Roman" w:cs="Times New Roman"/>
          <w:bCs/>
          <w:sz w:val="24"/>
          <w:szCs w:val="24"/>
          <w:lang w:val="en-US"/>
        </w:rPr>
        <w:t>, </w:t>
      </w:r>
      <w:r w:rsidRPr="00595559">
        <w:rPr>
          <w:rFonts w:ascii="Times New Roman" w:hAnsi="Times New Roman" w:cs="Times New Roman"/>
          <w:bCs/>
          <w:i/>
          <w:iCs/>
          <w:sz w:val="24"/>
          <w:szCs w:val="24"/>
          <w:lang w:val="en-US"/>
        </w:rPr>
        <w:t>78</w:t>
      </w:r>
      <w:r w:rsidRPr="00595559">
        <w:rPr>
          <w:rFonts w:ascii="Times New Roman" w:hAnsi="Times New Roman" w:cs="Times New Roman"/>
          <w:bCs/>
          <w:sz w:val="24"/>
          <w:szCs w:val="24"/>
          <w:lang w:val="en-US"/>
        </w:rPr>
        <w:t>(3), 263-279.</w:t>
      </w:r>
      <w:r w:rsidR="00FD7430">
        <w:rPr>
          <w:rFonts w:ascii="Times New Roman" w:hAnsi="Times New Roman" w:cs="Times New Roman"/>
          <w:bCs/>
          <w:sz w:val="24"/>
          <w:szCs w:val="24"/>
          <w:lang w:val="en-US"/>
        </w:rPr>
        <w:t xml:space="preserve"> </w:t>
      </w:r>
      <w:hyperlink r:id="rId23" w:history="1">
        <w:r w:rsidR="00FD7430" w:rsidRPr="00CF0556">
          <w:rPr>
            <w:rStyle w:val="Hyperlink"/>
            <w:rFonts w:ascii="Times New Roman" w:hAnsi="Times New Roman" w:cs="Times New Roman"/>
            <w:color w:val="006ACC"/>
            <w:sz w:val="24"/>
            <w:szCs w:val="24"/>
            <w:shd w:val="clear" w:color="auto" w:fill="FFFFFF"/>
            <w:lang w:val="en-US"/>
          </w:rPr>
          <w:t>https://doi.org/10.1177/001440291207800301</w:t>
        </w:r>
      </w:hyperlink>
    </w:p>
    <w:p w14:paraId="78DE2C67" w14:textId="77777777" w:rsidR="00FC2D36" w:rsidRPr="00595559" w:rsidRDefault="00FC2D36" w:rsidP="00FC2D36">
      <w:pPr>
        <w:widowControl w:val="0"/>
        <w:jc w:val="left"/>
        <w:rPr>
          <w:rFonts w:ascii="Times New Roman" w:hAnsi="Times New Roman" w:cs="Times New Roman"/>
          <w:bCs/>
          <w:sz w:val="24"/>
          <w:szCs w:val="24"/>
          <w:lang w:val="en-US"/>
        </w:rPr>
      </w:pPr>
    </w:p>
    <w:p w14:paraId="3F9E5691" w14:textId="7E5A6A0B" w:rsidR="00297B93" w:rsidRDefault="00297B93" w:rsidP="00FC2D36">
      <w:pPr>
        <w:widowControl w:val="0"/>
        <w:jc w:val="left"/>
        <w:rPr>
          <w:rStyle w:val="Hyperlink"/>
          <w:rFonts w:ascii="Times New Roman" w:hAnsi="Times New Roman" w:cs="Times New Roman"/>
          <w:bCs/>
          <w:color w:val="0070C0"/>
          <w:sz w:val="24"/>
          <w:szCs w:val="24"/>
        </w:rPr>
      </w:pPr>
      <w:r w:rsidRPr="00297B93">
        <w:rPr>
          <w:rFonts w:ascii="Times New Roman" w:hAnsi="Times New Roman" w:cs="Times New Roman"/>
          <w:bCs/>
          <w:sz w:val="24"/>
          <w:szCs w:val="24"/>
          <w:lang w:val="en-US"/>
        </w:rPr>
        <w:t>Huemer, S. V., &amp; Mann, V. (2010). A comprehensive profile of decoding and comprehension in autism spectrum disorders. </w:t>
      </w:r>
      <w:r w:rsidRPr="00297B93">
        <w:rPr>
          <w:rFonts w:ascii="Times New Roman" w:hAnsi="Times New Roman" w:cs="Times New Roman"/>
          <w:bCs/>
          <w:i/>
          <w:iCs/>
          <w:sz w:val="24"/>
          <w:szCs w:val="24"/>
          <w:lang w:val="en-US"/>
        </w:rPr>
        <w:t>Journal of Autism and Developmental Disorders</w:t>
      </w:r>
      <w:r w:rsidRPr="00297B93">
        <w:rPr>
          <w:rFonts w:ascii="Times New Roman" w:hAnsi="Times New Roman" w:cs="Times New Roman"/>
          <w:bCs/>
          <w:sz w:val="24"/>
          <w:szCs w:val="24"/>
          <w:lang w:val="en-US"/>
        </w:rPr>
        <w:t>, </w:t>
      </w:r>
      <w:r w:rsidRPr="00297B93">
        <w:rPr>
          <w:rFonts w:ascii="Times New Roman" w:hAnsi="Times New Roman" w:cs="Times New Roman"/>
          <w:bCs/>
          <w:i/>
          <w:iCs/>
          <w:sz w:val="24"/>
          <w:szCs w:val="24"/>
          <w:lang w:val="en-US"/>
        </w:rPr>
        <w:t>40</w:t>
      </w:r>
      <w:r w:rsidRPr="00297B93">
        <w:rPr>
          <w:rFonts w:ascii="Times New Roman" w:hAnsi="Times New Roman" w:cs="Times New Roman"/>
          <w:bCs/>
          <w:sz w:val="24"/>
          <w:szCs w:val="24"/>
          <w:lang w:val="en-US"/>
        </w:rPr>
        <w:t>(4), 485-493.</w:t>
      </w:r>
      <w:r w:rsidR="00FD7430">
        <w:rPr>
          <w:rFonts w:ascii="Times New Roman" w:hAnsi="Times New Roman" w:cs="Times New Roman"/>
          <w:bCs/>
          <w:sz w:val="24"/>
          <w:szCs w:val="24"/>
          <w:lang w:val="en-US"/>
        </w:rPr>
        <w:t xml:space="preserve"> </w:t>
      </w:r>
      <w:hyperlink r:id="rId24" w:history="1">
        <w:r w:rsidR="00FD7430" w:rsidRPr="00CF0556">
          <w:rPr>
            <w:rStyle w:val="Hyperlink"/>
            <w:rFonts w:ascii="Times New Roman" w:hAnsi="Times New Roman" w:cs="Times New Roman"/>
            <w:bCs/>
            <w:color w:val="0070C0"/>
            <w:sz w:val="24"/>
            <w:szCs w:val="24"/>
            <w:lang w:val="en-US"/>
          </w:rPr>
          <w:t>https://doi.org/10.1007/s10803-009-0892-3</w:t>
        </w:r>
      </w:hyperlink>
    </w:p>
    <w:p w14:paraId="6DA3274C" w14:textId="77777777" w:rsidR="00FC2D36" w:rsidRDefault="00FC2D36" w:rsidP="00FC2D36">
      <w:pPr>
        <w:widowControl w:val="0"/>
        <w:jc w:val="left"/>
        <w:rPr>
          <w:rFonts w:ascii="Times New Roman" w:hAnsi="Times New Roman" w:cs="Times New Roman"/>
          <w:bCs/>
          <w:sz w:val="24"/>
          <w:szCs w:val="24"/>
          <w:lang w:val="en-US"/>
        </w:rPr>
      </w:pPr>
    </w:p>
    <w:p w14:paraId="3182EACC" w14:textId="27277FD4" w:rsidR="00297B93" w:rsidRDefault="00297B93" w:rsidP="00FC2D36">
      <w:pPr>
        <w:widowControl w:val="0"/>
        <w:jc w:val="left"/>
        <w:rPr>
          <w:rStyle w:val="Hyperlink"/>
          <w:rFonts w:ascii="Times New Roman" w:hAnsi="Times New Roman" w:cs="Times New Roman"/>
          <w:bCs/>
          <w:color w:val="0070C0"/>
          <w:sz w:val="24"/>
          <w:szCs w:val="24"/>
        </w:rPr>
      </w:pPr>
      <w:r w:rsidRPr="00297B93">
        <w:rPr>
          <w:rFonts w:ascii="Times New Roman" w:hAnsi="Times New Roman" w:cs="Times New Roman"/>
          <w:bCs/>
          <w:sz w:val="24"/>
          <w:szCs w:val="24"/>
          <w:lang w:val="en-US"/>
        </w:rPr>
        <w:t>Jacobson, L. A., Ryan, M., Martin, R. B., Ewen, J., Mostofsky, S. H., Denckla, M. B., &amp; Mahone, E. M. (2011). Working memory influences processing speed and reading fluency in ADHD. </w:t>
      </w:r>
      <w:r w:rsidRPr="00595559">
        <w:rPr>
          <w:rFonts w:ascii="Times New Roman" w:hAnsi="Times New Roman" w:cs="Times New Roman"/>
          <w:bCs/>
          <w:i/>
          <w:iCs/>
          <w:sz w:val="24"/>
          <w:szCs w:val="24"/>
          <w:lang w:val="en-US"/>
        </w:rPr>
        <w:t>Child Neuropsychology</w:t>
      </w:r>
      <w:r w:rsidRPr="00595559">
        <w:rPr>
          <w:rFonts w:ascii="Times New Roman" w:hAnsi="Times New Roman" w:cs="Times New Roman"/>
          <w:bCs/>
          <w:sz w:val="24"/>
          <w:szCs w:val="24"/>
          <w:lang w:val="en-US"/>
        </w:rPr>
        <w:t>, </w:t>
      </w:r>
      <w:r w:rsidRPr="00595559">
        <w:rPr>
          <w:rFonts w:ascii="Times New Roman" w:hAnsi="Times New Roman" w:cs="Times New Roman"/>
          <w:bCs/>
          <w:i/>
          <w:iCs/>
          <w:sz w:val="24"/>
          <w:szCs w:val="24"/>
          <w:lang w:val="en-US"/>
        </w:rPr>
        <w:t>17</w:t>
      </w:r>
      <w:r w:rsidRPr="00595559">
        <w:rPr>
          <w:rFonts w:ascii="Times New Roman" w:hAnsi="Times New Roman" w:cs="Times New Roman"/>
          <w:bCs/>
          <w:sz w:val="24"/>
          <w:szCs w:val="24"/>
          <w:lang w:val="en-US"/>
        </w:rPr>
        <w:t>(3), 209-224.</w:t>
      </w:r>
      <w:r w:rsidR="00FD7430">
        <w:rPr>
          <w:rFonts w:ascii="Times New Roman" w:hAnsi="Times New Roman" w:cs="Times New Roman"/>
          <w:bCs/>
          <w:sz w:val="24"/>
          <w:szCs w:val="24"/>
          <w:lang w:val="en-US"/>
        </w:rPr>
        <w:t xml:space="preserve"> </w:t>
      </w:r>
      <w:hyperlink r:id="rId25" w:history="1">
        <w:r w:rsidR="00FD7430" w:rsidRPr="00CF0556">
          <w:rPr>
            <w:rStyle w:val="Hyperlink"/>
            <w:rFonts w:ascii="Times New Roman" w:hAnsi="Times New Roman" w:cs="Times New Roman"/>
            <w:bCs/>
            <w:color w:val="0070C0"/>
            <w:sz w:val="24"/>
            <w:szCs w:val="24"/>
            <w:lang w:val="en-US"/>
          </w:rPr>
          <w:t>https://doi.org/10.1080/09297049.2010.532204</w:t>
        </w:r>
      </w:hyperlink>
    </w:p>
    <w:p w14:paraId="315FAD2D" w14:textId="77777777" w:rsidR="00FC2D36" w:rsidRPr="00CF0556" w:rsidRDefault="00FC2D36" w:rsidP="00FC2D36">
      <w:pPr>
        <w:widowControl w:val="0"/>
        <w:jc w:val="left"/>
        <w:rPr>
          <w:rFonts w:ascii="Times New Roman" w:hAnsi="Times New Roman" w:cs="Times New Roman"/>
          <w:bCs/>
          <w:sz w:val="24"/>
          <w:szCs w:val="24"/>
          <w:lang w:val="en-US"/>
        </w:rPr>
      </w:pPr>
    </w:p>
    <w:p w14:paraId="0A62E4BD" w14:textId="3E8363ED" w:rsidR="00D66E15" w:rsidRDefault="00D66E15" w:rsidP="00FC2D36">
      <w:pPr>
        <w:widowControl w:val="0"/>
        <w:jc w:val="left"/>
        <w:rPr>
          <w:rStyle w:val="Hyperlink"/>
          <w:rFonts w:ascii="Times New Roman" w:hAnsi="Times New Roman" w:cs="Times New Roman"/>
          <w:bCs/>
          <w:color w:val="0070C0"/>
          <w:sz w:val="24"/>
          <w:szCs w:val="24"/>
        </w:rPr>
      </w:pPr>
      <w:r w:rsidRPr="00D66E15">
        <w:rPr>
          <w:rFonts w:ascii="Times New Roman" w:hAnsi="Times New Roman" w:cs="Times New Roman"/>
          <w:bCs/>
          <w:sz w:val="24"/>
          <w:szCs w:val="24"/>
          <w:lang w:val="en-US"/>
        </w:rPr>
        <w:t>Jacobson, L. A., Ryan, M., Denckla, M. B., Mostofsky, S. H., &amp; Mahone, E. M. (2013). Performance lapses in children with attention-deficit/hyperactivity disorder contribute to poor reading fluency. </w:t>
      </w:r>
      <w:r w:rsidRPr="00595559">
        <w:rPr>
          <w:rFonts w:ascii="Times New Roman" w:hAnsi="Times New Roman" w:cs="Times New Roman"/>
          <w:bCs/>
          <w:i/>
          <w:iCs/>
          <w:sz w:val="24"/>
          <w:szCs w:val="24"/>
          <w:lang w:val="en-US"/>
        </w:rPr>
        <w:t>Archives of Clinical Neuropsychology</w:t>
      </w:r>
      <w:r w:rsidRPr="00595559">
        <w:rPr>
          <w:rFonts w:ascii="Times New Roman" w:hAnsi="Times New Roman" w:cs="Times New Roman"/>
          <w:bCs/>
          <w:sz w:val="24"/>
          <w:szCs w:val="24"/>
          <w:lang w:val="en-US"/>
        </w:rPr>
        <w:t>, </w:t>
      </w:r>
      <w:r w:rsidRPr="00595559">
        <w:rPr>
          <w:rFonts w:ascii="Times New Roman" w:hAnsi="Times New Roman" w:cs="Times New Roman"/>
          <w:bCs/>
          <w:i/>
          <w:iCs/>
          <w:sz w:val="24"/>
          <w:szCs w:val="24"/>
          <w:lang w:val="en-US"/>
        </w:rPr>
        <w:t>28</w:t>
      </w:r>
      <w:r w:rsidRPr="00595559">
        <w:rPr>
          <w:rFonts w:ascii="Times New Roman" w:hAnsi="Times New Roman" w:cs="Times New Roman"/>
          <w:bCs/>
          <w:sz w:val="24"/>
          <w:szCs w:val="24"/>
          <w:lang w:val="en-US"/>
        </w:rPr>
        <w:t>(7), 672-683.</w:t>
      </w:r>
      <w:r w:rsidR="00FD7430" w:rsidRPr="00CF0556">
        <w:rPr>
          <w:lang w:val="en-US"/>
        </w:rPr>
        <w:t xml:space="preserve"> </w:t>
      </w:r>
      <w:hyperlink r:id="rId26" w:history="1">
        <w:r w:rsidR="00FD7430" w:rsidRPr="00CF0556">
          <w:rPr>
            <w:rStyle w:val="Hyperlink"/>
            <w:rFonts w:ascii="Times New Roman" w:hAnsi="Times New Roman" w:cs="Times New Roman"/>
            <w:bCs/>
            <w:color w:val="0070C0"/>
            <w:sz w:val="24"/>
            <w:szCs w:val="24"/>
            <w:lang w:val="en-US"/>
          </w:rPr>
          <w:t>https://doi.org/10.1093/arclin/act048</w:t>
        </w:r>
      </w:hyperlink>
    </w:p>
    <w:p w14:paraId="519D4700" w14:textId="77777777" w:rsidR="00FC2D36" w:rsidRPr="00595559" w:rsidRDefault="00FC2D36" w:rsidP="00FC2D36">
      <w:pPr>
        <w:widowControl w:val="0"/>
        <w:jc w:val="left"/>
        <w:rPr>
          <w:rFonts w:ascii="Times New Roman" w:hAnsi="Times New Roman" w:cs="Times New Roman"/>
          <w:bCs/>
          <w:sz w:val="24"/>
          <w:szCs w:val="24"/>
          <w:lang w:val="en-US"/>
        </w:rPr>
      </w:pPr>
    </w:p>
    <w:p w14:paraId="3121C86C" w14:textId="211B4A85" w:rsidR="00D66E15" w:rsidRDefault="00D66E15" w:rsidP="00FC2D36">
      <w:pPr>
        <w:widowControl w:val="0"/>
        <w:jc w:val="left"/>
        <w:rPr>
          <w:rFonts w:ascii="Times New Roman" w:hAnsi="Times New Roman" w:cs="Times New Roman"/>
          <w:bCs/>
          <w:sz w:val="24"/>
          <w:szCs w:val="24"/>
        </w:rPr>
      </w:pPr>
      <w:r w:rsidRPr="00D66E15">
        <w:rPr>
          <w:rFonts w:ascii="Times New Roman" w:hAnsi="Times New Roman" w:cs="Times New Roman"/>
          <w:bCs/>
          <w:sz w:val="24"/>
          <w:szCs w:val="24"/>
          <w:lang w:val="en-US"/>
        </w:rPr>
        <w:t>López, D. (2014). Attention-Deficit/Hyperactivity Disorder: prevalence of risk in the scholastic scope of the Canary islands. </w:t>
      </w:r>
      <w:r w:rsidRPr="00D66E15">
        <w:rPr>
          <w:rFonts w:ascii="Times New Roman" w:hAnsi="Times New Roman" w:cs="Times New Roman"/>
          <w:bCs/>
          <w:i/>
          <w:iCs/>
          <w:sz w:val="24"/>
          <w:szCs w:val="24"/>
        </w:rPr>
        <w:t>Actas Esp Psiquiatr</w:t>
      </w:r>
      <w:r w:rsidRPr="00D66E15">
        <w:rPr>
          <w:rFonts w:ascii="Times New Roman" w:hAnsi="Times New Roman" w:cs="Times New Roman"/>
          <w:bCs/>
          <w:sz w:val="24"/>
          <w:szCs w:val="24"/>
        </w:rPr>
        <w:t>, </w:t>
      </w:r>
      <w:r w:rsidRPr="00D66E15">
        <w:rPr>
          <w:rFonts w:ascii="Times New Roman" w:hAnsi="Times New Roman" w:cs="Times New Roman"/>
          <w:bCs/>
          <w:i/>
          <w:iCs/>
          <w:sz w:val="24"/>
          <w:szCs w:val="24"/>
        </w:rPr>
        <w:t>42</w:t>
      </w:r>
      <w:r w:rsidRPr="00D66E15">
        <w:rPr>
          <w:rFonts w:ascii="Times New Roman" w:hAnsi="Times New Roman" w:cs="Times New Roman"/>
          <w:bCs/>
          <w:sz w:val="24"/>
          <w:szCs w:val="24"/>
        </w:rPr>
        <w:t>(4), 169-75.</w:t>
      </w:r>
      <w:r w:rsidR="000A0346">
        <w:rPr>
          <w:rFonts w:ascii="Times New Roman" w:hAnsi="Times New Roman" w:cs="Times New Roman"/>
          <w:bCs/>
          <w:sz w:val="24"/>
          <w:szCs w:val="24"/>
        </w:rPr>
        <w:t xml:space="preserve"> </w:t>
      </w:r>
      <w:hyperlink r:id="rId27" w:history="1">
        <w:r w:rsidR="000A0346" w:rsidRPr="005F6663">
          <w:rPr>
            <w:rStyle w:val="Hyperlink"/>
            <w:rFonts w:ascii="Times New Roman" w:hAnsi="Times New Roman" w:cs="Times New Roman"/>
            <w:bCs/>
            <w:sz w:val="24"/>
            <w:szCs w:val="24"/>
          </w:rPr>
          <w:t>https://pubmed.ncbi.nlm.nih.gov/25017494/</w:t>
        </w:r>
      </w:hyperlink>
      <w:r w:rsidR="000A0346">
        <w:rPr>
          <w:rFonts w:ascii="Times New Roman" w:hAnsi="Times New Roman" w:cs="Times New Roman"/>
          <w:bCs/>
          <w:sz w:val="24"/>
          <w:szCs w:val="24"/>
        </w:rPr>
        <w:t xml:space="preserve"> (acesso em 01 de dezembro, 2021)</w:t>
      </w:r>
    </w:p>
    <w:p w14:paraId="01F87DA7" w14:textId="77777777" w:rsidR="00FC2D36" w:rsidRPr="00D66E15" w:rsidRDefault="00FC2D36" w:rsidP="00FC2D36">
      <w:pPr>
        <w:widowControl w:val="0"/>
        <w:jc w:val="left"/>
        <w:rPr>
          <w:rFonts w:ascii="Times New Roman" w:hAnsi="Times New Roman" w:cs="Times New Roman"/>
          <w:bCs/>
          <w:sz w:val="24"/>
          <w:szCs w:val="24"/>
        </w:rPr>
      </w:pPr>
    </w:p>
    <w:p w14:paraId="608F3A42" w14:textId="34F91E93" w:rsidR="00871AF4" w:rsidRDefault="00D66E15" w:rsidP="00FC2D36">
      <w:pPr>
        <w:jc w:val="left"/>
        <w:rPr>
          <w:rFonts w:ascii="Times New Roman" w:hAnsi="Times New Roman" w:cs="Times New Roman"/>
          <w:color w:val="0070C0"/>
          <w:sz w:val="24"/>
          <w:szCs w:val="24"/>
        </w:rPr>
      </w:pPr>
      <w:r w:rsidRPr="00D66E15">
        <w:rPr>
          <w:rFonts w:ascii="Times New Roman" w:hAnsi="Times New Roman" w:cs="Times New Roman"/>
          <w:sz w:val="24"/>
          <w:szCs w:val="24"/>
        </w:rPr>
        <w:t>Martins, M. A., &amp; Capellini, S. A. (2019). Relação entre fluência de leitura oral e compreensão de leitura. In </w:t>
      </w:r>
      <w:r w:rsidRPr="00D66E15">
        <w:rPr>
          <w:rFonts w:ascii="Times New Roman" w:hAnsi="Times New Roman" w:cs="Times New Roman"/>
          <w:i/>
          <w:iCs/>
          <w:sz w:val="24"/>
          <w:szCs w:val="24"/>
        </w:rPr>
        <w:t>CoDAS</w:t>
      </w:r>
      <w:r w:rsidRPr="00D66E15">
        <w:rPr>
          <w:rFonts w:ascii="Times New Roman" w:hAnsi="Times New Roman" w:cs="Times New Roman"/>
          <w:sz w:val="24"/>
          <w:szCs w:val="24"/>
        </w:rPr>
        <w:t> (pp. e20170244-e20170244)</w:t>
      </w:r>
      <w:r w:rsidR="00871AF4" w:rsidRPr="00831A7E">
        <w:rPr>
          <w:rFonts w:ascii="Times New Roman" w:hAnsi="Times New Roman" w:cs="Times New Roman"/>
          <w:sz w:val="24"/>
          <w:szCs w:val="24"/>
        </w:rPr>
        <w:t>.</w:t>
      </w:r>
      <w:r w:rsidR="00385A00" w:rsidRPr="00385A00">
        <w:t xml:space="preserve"> </w:t>
      </w:r>
      <w:hyperlink r:id="rId28" w:history="1">
        <w:r w:rsidR="00385A00" w:rsidRPr="00385A00">
          <w:rPr>
            <w:rStyle w:val="Hyperlink"/>
            <w:rFonts w:ascii="Times New Roman" w:hAnsi="Times New Roman" w:cs="Times New Roman"/>
            <w:color w:val="0070C0"/>
            <w:sz w:val="24"/>
            <w:szCs w:val="24"/>
          </w:rPr>
          <w:t>https://doi.org/10.1590/2317-1782/20182018244</w:t>
        </w:r>
      </w:hyperlink>
      <w:r w:rsidR="00385A00" w:rsidRPr="00385A00">
        <w:rPr>
          <w:rFonts w:ascii="Times New Roman" w:hAnsi="Times New Roman" w:cs="Times New Roman"/>
          <w:color w:val="0070C0"/>
          <w:sz w:val="24"/>
          <w:szCs w:val="24"/>
        </w:rPr>
        <w:t xml:space="preserve">. </w:t>
      </w:r>
    </w:p>
    <w:p w14:paraId="5416BC01" w14:textId="77777777" w:rsidR="00FC2D36" w:rsidRDefault="00FC2D36" w:rsidP="00FC2D36">
      <w:pPr>
        <w:jc w:val="left"/>
        <w:rPr>
          <w:rFonts w:ascii="Times New Roman" w:hAnsi="Times New Roman" w:cs="Times New Roman"/>
          <w:sz w:val="24"/>
          <w:szCs w:val="24"/>
        </w:rPr>
      </w:pPr>
    </w:p>
    <w:p w14:paraId="49EDA22A" w14:textId="0737519A" w:rsidR="00D66E15" w:rsidRDefault="00D66E15" w:rsidP="00FC2D36">
      <w:pPr>
        <w:jc w:val="left"/>
        <w:rPr>
          <w:rFonts w:ascii="Times New Roman" w:hAnsi="Times New Roman" w:cs="Times New Roman"/>
          <w:color w:val="0070C0"/>
          <w:sz w:val="24"/>
          <w:szCs w:val="24"/>
        </w:rPr>
      </w:pPr>
      <w:r w:rsidRPr="00D66E15">
        <w:rPr>
          <w:rFonts w:ascii="Times New Roman" w:hAnsi="Times New Roman" w:cs="Times New Roman"/>
          <w:sz w:val="24"/>
          <w:szCs w:val="24"/>
        </w:rPr>
        <w:t>Martins, M. A., &amp; Capellini, S. A. (2014). Fluência e compreensão da leitura em escolares do 3º ao 5º ano do ensino fundamental. </w:t>
      </w:r>
      <w:r w:rsidRPr="00D66E15">
        <w:rPr>
          <w:rFonts w:ascii="Times New Roman" w:hAnsi="Times New Roman" w:cs="Times New Roman"/>
          <w:i/>
          <w:iCs/>
          <w:sz w:val="24"/>
          <w:szCs w:val="24"/>
        </w:rPr>
        <w:t>Estudos de Psicologia (Campinas)</w:t>
      </w:r>
      <w:r w:rsidRPr="00D66E15">
        <w:rPr>
          <w:rFonts w:ascii="Times New Roman" w:hAnsi="Times New Roman" w:cs="Times New Roman"/>
          <w:sz w:val="24"/>
          <w:szCs w:val="24"/>
        </w:rPr>
        <w:t>, </w:t>
      </w:r>
      <w:r w:rsidRPr="00D66E15">
        <w:rPr>
          <w:rFonts w:ascii="Times New Roman" w:hAnsi="Times New Roman" w:cs="Times New Roman"/>
          <w:i/>
          <w:iCs/>
          <w:sz w:val="24"/>
          <w:szCs w:val="24"/>
        </w:rPr>
        <w:t>31</w:t>
      </w:r>
      <w:r w:rsidRPr="00D66E15">
        <w:rPr>
          <w:rFonts w:ascii="Times New Roman" w:hAnsi="Times New Roman" w:cs="Times New Roman"/>
          <w:sz w:val="24"/>
          <w:szCs w:val="24"/>
        </w:rPr>
        <w:t>(4), 499-506.</w:t>
      </w:r>
      <w:r w:rsidR="00385A00" w:rsidRPr="00385A00">
        <w:t xml:space="preserve"> </w:t>
      </w:r>
      <w:hyperlink r:id="rId29" w:history="1">
        <w:r w:rsidR="00385A00" w:rsidRPr="00385A00">
          <w:rPr>
            <w:rStyle w:val="Hyperlink"/>
            <w:rFonts w:ascii="Times New Roman" w:hAnsi="Times New Roman" w:cs="Times New Roman"/>
            <w:color w:val="0070C0"/>
            <w:sz w:val="24"/>
            <w:szCs w:val="24"/>
          </w:rPr>
          <w:t>https://doi.org/10.1590/0103-166X2014000400004</w:t>
        </w:r>
      </w:hyperlink>
      <w:r w:rsidR="00385A00" w:rsidRPr="00385A00">
        <w:rPr>
          <w:rFonts w:ascii="Times New Roman" w:hAnsi="Times New Roman" w:cs="Times New Roman"/>
          <w:color w:val="0070C0"/>
          <w:sz w:val="24"/>
          <w:szCs w:val="24"/>
        </w:rPr>
        <w:t xml:space="preserve">. </w:t>
      </w:r>
    </w:p>
    <w:p w14:paraId="70422F40" w14:textId="77777777" w:rsidR="00FC2D36" w:rsidRPr="00385A00" w:rsidRDefault="00FC2D36" w:rsidP="00FC2D36">
      <w:pPr>
        <w:jc w:val="left"/>
        <w:rPr>
          <w:rFonts w:ascii="Times New Roman" w:hAnsi="Times New Roman" w:cs="Times New Roman"/>
          <w:color w:val="0070C0"/>
          <w:sz w:val="24"/>
          <w:szCs w:val="24"/>
        </w:rPr>
      </w:pPr>
    </w:p>
    <w:p w14:paraId="33D31A2A" w14:textId="361B8DD5" w:rsidR="00D66E15" w:rsidRDefault="00D66E15" w:rsidP="00FC2D36">
      <w:pPr>
        <w:jc w:val="left"/>
        <w:rPr>
          <w:rFonts w:ascii="Times New Roman" w:hAnsi="Times New Roman" w:cs="Times New Roman"/>
          <w:color w:val="0070C0"/>
          <w:sz w:val="24"/>
          <w:szCs w:val="24"/>
        </w:rPr>
      </w:pPr>
      <w:r w:rsidRPr="00D66E15">
        <w:rPr>
          <w:rFonts w:ascii="Times New Roman" w:hAnsi="Times New Roman" w:cs="Times New Roman"/>
          <w:sz w:val="24"/>
          <w:szCs w:val="24"/>
        </w:rPr>
        <w:t>Mettrau, M. B., &amp; Reis, H. M. M. D. S. (2007). Políticas Públicas: altas habilidades/superdotação e a literatura especializada no contexto da educação especial/inclusiva. </w:t>
      </w:r>
      <w:r w:rsidRPr="00D66E15">
        <w:rPr>
          <w:rFonts w:ascii="Times New Roman" w:hAnsi="Times New Roman" w:cs="Times New Roman"/>
          <w:i/>
          <w:iCs/>
          <w:sz w:val="24"/>
          <w:szCs w:val="24"/>
        </w:rPr>
        <w:t>Ensaio: Avaliação e Políticas Públicas em Educação</w:t>
      </w:r>
      <w:r w:rsidRPr="00D66E15">
        <w:rPr>
          <w:rFonts w:ascii="Times New Roman" w:hAnsi="Times New Roman" w:cs="Times New Roman"/>
          <w:sz w:val="24"/>
          <w:szCs w:val="24"/>
        </w:rPr>
        <w:t>, </w:t>
      </w:r>
      <w:r w:rsidRPr="00D66E15">
        <w:rPr>
          <w:rFonts w:ascii="Times New Roman" w:hAnsi="Times New Roman" w:cs="Times New Roman"/>
          <w:i/>
          <w:iCs/>
          <w:sz w:val="24"/>
          <w:szCs w:val="24"/>
        </w:rPr>
        <w:t>15</w:t>
      </w:r>
      <w:r w:rsidRPr="00D66E15">
        <w:rPr>
          <w:rFonts w:ascii="Times New Roman" w:hAnsi="Times New Roman" w:cs="Times New Roman"/>
          <w:sz w:val="24"/>
          <w:szCs w:val="24"/>
        </w:rPr>
        <w:t>(57), 489-509.</w:t>
      </w:r>
      <w:r w:rsidR="00385A00" w:rsidRPr="00385A00">
        <w:t xml:space="preserve"> </w:t>
      </w:r>
      <w:hyperlink r:id="rId30" w:history="1">
        <w:r w:rsidR="00385A00" w:rsidRPr="00385A00">
          <w:rPr>
            <w:rStyle w:val="Hyperlink"/>
            <w:rFonts w:ascii="Times New Roman" w:hAnsi="Times New Roman" w:cs="Times New Roman"/>
            <w:color w:val="0070C0"/>
            <w:sz w:val="24"/>
            <w:szCs w:val="24"/>
          </w:rPr>
          <w:t>https://doi.org/10.1590/S0104-40362007000400003</w:t>
        </w:r>
      </w:hyperlink>
      <w:r w:rsidR="00385A00" w:rsidRPr="00385A00">
        <w:rPr>
          <w:rFonts w:ascii="Times New Roman" w:hAnsi="Times New Roman" w:cs="Times New Roman"/>
          <w:color w:val="0070C0"/>
          <w:sz w:val="24"/>
          <w:szCs w:val="24"/>
        </w:rPr>
        <w:t xml:space="preserve">. </w:t>
      </w:r>
    </w:p>
    <w:p w14:paraId="5A1CE74A" w14:textId="77777777" w:rsidR="00FC2D36" w:rsidRDefault="00FC2D36" w:rsidP="00FC2D36">
      <w:pPr>
        <w:jc w:val="left"/>
        <w:rPr>
          <w:rFonts w:ascii="Times New Roman" w:hAnsi="Times New Roman" w:cs="Times New Roman"/>
          <w:sz w:val="24"/>
          <w:szCs w:val="24"/>
        </w:rPr>
      </w:pPr>
    </w:p>
    <w:p w14:paraId="6D0B0EC7" w14:textId="617165E0" w:rsidR="00D66E15" w:rsidRDefault="00D66E15" w:rsidP="00FC2D36">
      <w:pPr>
        <w:jc w:val="left"/>
        <w:rPr>
          <w:rFonts w:ascii="Times New Roman" w:hAnsi="Times New Roman" w:cs="Times New Roman"/>
          <w:color w:val="0070C0"/>
          <w:sz w:val="24"/>
          <w:szCs w:val="24"/>
          <w:lang w:val="en-US"/>
        </w:rPr>
      </w:pPr>
      <w:r w:rsidRPr="00CF0556">
        <w:rPr>
          <w:rFonts w:ascii="Times New Roman" w:hAnsi="Times New Roman" w:cs="Times New Roman"/>
          <w:sz w:val="24"/>
          <w:szCs w:val="24"/>
          <w:lang w:val="en-US"/>
        </w:rPr>
        <w:lastRenderedPageBreak/>
        <w:t xml:space="preserve">Nation, K., Clarke, P., Wright, B., &amp; Williams, C. (2006). </w:t>
      </w:r>
      <w:r w:rsidRPr="00D66E15">
        <w:rPr>
          <w:rFonts w:ascii="Times New Roman" w:hAnsi="Times New Roman" w:cs="Times New Roman"/>
          <w:sz w:val="24"/>
          <w:szCs w:val="24"/>
          <w:lang w:val="en-US"/>
        </w:rPr>
        <w:t>Patterns of reading ability in children with autism spectrum disorder. </w:t>
      </w:r>
      <w:r w:rsidRPr="00D66E15">
        <w:rPr>
          <w:rFonts w:ascii="Times New Roman" w:hAnsi="Times New Roman" w:cs="Times New Roman"/>
          <w:i/>
          <w:iCs/>
          <w:sz w:val="24"/>
          <w:szCs w:val="24"/>
          <w:lang w:val="en-US"/>
        </w:rPr>
        <w:t xml:space="preserve">Journal of </w:t>
      </w:r>
      <w:r w:rsidR="000A0346">
        <w:rPr>
          <w:rFonts w:ascii="Times New Roman" w:hAnsi="Times New Roman" w:cs="Times New Roman"/>
          <w:i/>
          <w:iCs/>
          <w:sz w:val="24"/>
          <w:szCs w:val="24"/>
          <w:lang w:val="en-US"/>
        </w:rPr>
        <w:t>A</w:t>
      </w:r>
      <w:r w:rsidRPr="00D66E15">
        <w:rPr>
          <w:rFonts w:ascii="Times New Roman" w:hAnsi="Times New Roman" w:cs="Times New Roman"/>
          <w:i/>
          <w:iCs/>
          <w:sz w:val="24"/>
          <w:szCs w:val="24"/>
          <w:lang w:val="en-US"/>
        </w:rPr>
        <w:t xml:space="preserve">utism and </w:t>
      </w:r>
      <w:r w:rsidR="000A0346">
        <w:rPr>
          <w:rFonts w:ascii="Times New Roman" w:hAnsi="Times New Roman" w:cs="Times New Roman"/>
          <w:i/>
          <w:iCs/>
          <w:sz w:val="24"/>
          <w:szCs w:val="24"/>
          <w:lang w:val="en-US"/>
        </w:rPr>
        <w:t>D</w:t>
      </w:r>
      <w:r w:rsidRPr="00D66E15">
        <w:rPr>
          <w:rFonts w:ascii="Times New Roman" w:hAnsi="Times New Roman" w:cs="Times New Roman"/>
          <w:i/>
          <w:iCs/>
          <w:sz w:val="24"/>
          <w:szCs w:val="24"/>
          <w:lang w:val="en-US"/>
        </w:rPr>
        <w:t xml:space="preserve">evelopmental </w:t>
      </w:r>
      <w:r w:rsidR="000A0346">
        <w:rPr>
          <w:rFonts w:ascii="Times New Roman" w:hAnsi="Times New Roman" w:cs="Times New Roman"/>
          <w:i/>
          <w:iCs/>
          <w:sz w:val="24"/>
          <w:szCs w:val="24"/>
          <w:lang w:val="en-US"/>
        </w:rPr>
        <w:t>D</w:t>
      </w:r>
      <w:r w:rsidRPr="00D66E15">
        <w:rPr>
          <w:rFonts w:ascii="Times New Roman" w:hAnsi="Times New Roman" w:cs="Times New Roman"/>
          <w:i/>
          <w:iCs/>
          <w:sz w:val="24"/>
          <w:szCs w:val="24"/>
          <w:lang w:val="en-US"/>
        </w:rPr>
        <w:t>isorders</w:t>
      </w:r>
      <w:r w:rsidRPr="00D66E15">
        <w:rPr>
          <w:rFonts w:ascii="Times New Roman" w:hAnsi="Times New Roman" w:cs="Times New Roman"/>
          <w:sz w:val="24"/>
          <w:szCs w:val="24"/>
          <w:lang w:val="en-US"/>
        </w:rPr>
        <w:t>, </w:t>
      </w:r>
      <w:r w:rsidRPr="00D66E15">
        <w:rPr>
          <w:rFonts w:ascii="Times New Roman" w:hAnsi="Times New Roman" w:cs="Times New Roman"/>
          <w:i/>
          <w:iCs/>
          <w:sz w:val="24"/>
          <w:szCs w:val="24"/>
          <w:lang w:val="en-US"/>
        </w:rPr>
        <w:t>36</w:t>
      </w:r>
      <w:r w:rsidRPr="00D66E15">
        <w:rPr>
          <w:rFonts w:ascii="Times New Roman" w:hAnsi="Times New Roman" w:cs="Times New Roman"/>
          <w:sz w:val="24"/>
          <w:szCs w:val="24"/>
          <w:lang w:val="en-US"/>
        </w:rPr>
        <w:t>(7), 911.</w:t>
      </w:r>
      <w:r w:rsidR="00385A00" w:rsidRPr="00CF0556">
        <w:rPr>
          <w:lang w:val="en-US"/>
        </w:rPr>
        <w:t xml:space="preserve"> </w:t>
      </w:r>
      <w:hyperlink r:id="rId31" w:history="1">
        <w:r w:rsidR="00385A00" w:rsidRPr="00CF0556">
          <w:rPr>
            <w:rStyle w:val="Hyperlink"/>
            <w:rFonts w:ascii="Times New Roman" w:hAnsi="Times New Roman" w:cs="Times New Roman"/>
            <w:color w:val="0070C0"/>
            <w:sz w:val="24"/>
            <w:szCs w:val="24"/>
            <w:shd w:val="clear" w:color="auto" w:fill="FCFCFC"/>
            <w:lang w:val="en-US"/>
          </w:rPr>
          <w:t>https://doi.org/10.1007/s10803-006-0130-1</w:t>
        </w:r>
      </w:hyperlink>
      <w:r w:rsidR="00385A00" w:rsidRPr="00CF0556">
        <w:rPr>
          <w:rFonts w:ascii="Times New Roman" w:hAnsi="Times New Roman" w:cs="Times New Roman"/>
          <w:color w:val="0070C0"/>
          <w:sz w:val="24"/>
          <w:szCs w:val="24"/>
          <w:lang w:val="en-US"/>
        </w:rPr>
        <w:t>.</w:t>
      </w:r>
    </w:p>
    <w:p w14:paraId="71E4EC4C" w14:textId="77777777" w:rsidR="00FC2D36" w:rsidRPr="00385A00" w:rsidRDefault="00FC2D36" w:rsidP="00FC2D36">
      <w:pPr>
        <w:jc w:val="left"/>
        <w:rPr>
          <w:rFonts w:ascii="Times New Roman" w:hAnsi="Times New Roman" w:cs="Times New Roman"/>
          <w:sz w:val="24"/>
          <w:szCs w:val="24"/>
          <w:lang w:val="en-US"/>
        </w:rPr>
      </w:pPr>
    </w:p>
    <w:p w14:paraId="60AEA432" w14:textId="1DA42388" w:rsidR="00D66E15" w:rsidRDefault="00D66E15" w:rsidP="00FC2D36">
      <w:pPr>
        <w:jc w:val="left"/>
        <w:rPr>
          <w:rFonts w:ascii="Segoe UI" w:hAnsi="Segoe UI" w:cs="Segoe UI"/>
          <w:color w:val="0070C0"/>
          <w:shd w:val="clear" w:color="auto" w:fill="FCFCFC"/>
          <w:lang w:val="en-US"/>
        </w:rPr>
      </w:pPr>
      <w:r w:rsidRPr="00D66E15">
        <w:rPr>
          <w:rFonts w:ascii="Times New Roman" w:hAnsi="Times New Roman" w:cs="Times New Roman"/>
          <w:sz w:val="24"/>
          <w:szCs w:val="24"/>
          <w:lang w:val="en-US"/>
        </w:rPr>
        <w:t>O'Connor, I. M., &amp; Klein, P. D. (2004). Exploration of strategies for facilitating the reading comprehension of high-functioning students with autism spectrum disorders. </w:t>
      </w:r>
      <w:r w:rsidRPr="00D66E15">
        <w:rPr>
          <w:rFonts w:ascii="Times New Roman" w:hAnsi="Times New Roman" w:cs="Times New Roman"/>
          <w:i/>
          <w:iCs/>
          <w:sz w:val="24"/>
          <w:szCs w:val="24"/>
          <w:lang w:val="en-US"/>
        </w:rPr>
        <w:t xml:space="preserve">Journal of </w:t>
      </w:r>
      <w:r w:rsidR="000A0346">
        <w:rPr>
          <w:rFonts w:ascii="Times New Roman" w:hAnsi="Times New Roman" w:cs="Times New Roman"/>
          <w:i/>
          <w:iCs/>
          <w:sz w:val="24"/>
          <w:szCs w:val="24"/>
          <w:lang w:val="en-US"/>
        </w:rPr>
        <w:t>A</w:t>
      </w:r>
      <w:r w:rsidRPr="00D66E15">
        <w:rPr>
          <w:rFonts w:ascii="Times New Roman" w:hAnsi="Times New Roman" w:cs="Times New Roman"/>
          <w:i/>
          <w:iCs/>
          <w:sz w:val="24"/>
          <w:szCs w:val="24"/>
          <w:lang w:val="en-US"/>
        </w:rPr>
        <w:t xml:space="preserve">utism and </w:t>
      </w:r>
      <w:r w:rsidR="000A0346">
        <w:rPr>
          <w:rFonts w:ascii="Times New Roman" w:hAnsi="Times New Roman" w:cs="Times New Roman"/>
          <w:i/>
          <w:iCs/>
          <w:sz w:val="24"/>
          <w:szCs w:val="24"/>
          <w:lang w:val="en-US"/>
        </w:rPr>
        <w:t>D</w:t>
      </w:r>
      <w:r w:rsidRPr="00D66E15">
        <w:rPr>
          <w:rFonts w:ascii="Times New Roman" w:hAnsi="Times New Roman" w:cs="Times New Roman"/>
          <w:i/>
          <w:iCs/>
          <w:sz w:val="24"/>
          <w:szCs w:val="24"/>
          <w:lang w:val="en-US"/>
        </w:rPr>
        <w:t xml:space="preserve">evelopmental </w:t>
      </w:r>
      <w:r w:rsidR="000A0346">
        <w:rPr>
          <w:rFonts w:ascii="Times New Roman" w:hAnsi="Times New Roman" w:cs="Times New Roman"/>
          <w:i/>
          <w:iCs/>
          <w:sz w:val="24"/>
          <w:szCs w:val="24"/>
          <w:lang w:val="en-US"/>
        </w:rPr>
        <w:t>D</w:t>
      </w:r>
      <w:r w:rsidRPr="00D66E15">
        <w:rPr>
          <w:rFonts w:ascii="Times New Roman" w:hAnsi="Times New Roman" w:cs="Times New Roman"/>
          <w:i/>
          <w:iCs/>
          <w:sz w:val="24"/>
          <w:szCs w:val="24"/>
          <w:lang w:val="en-US"/>
        </w:rPr>
        <w:t>isorders</w:t>
      </w:r>
      <w:r w:rsidRPr="00D66E15">
        <w:rPr>
          <w:rFonts w:ascii="Times New Roman" w:hAnsi="Times New Roman" w:cs="Times New Roman"/>
          <w:sz w:val="24"/>
          <w:szCs w:val="24"/>
          <w:lang w:val="en-US"/>
        </w:rPr>
        <w:t>, </w:t>
      </w:r>
      <w:r w:rsidRPr="00D66E15">
        <w:rPr>
          <w:rFonts w:ascii="Times New Roman" w:hAnsi="Times New Roman" w:cs="Times New Roman"/>
          <w:i/>
          <w:iCs/>
          <w:sz w:val="24"/>
          <w:szCs w:val="24"/>
          <w:lang w:val="en-US"/>
        </w:rPr>
        <w:t>34</w:t>
      </w:r>
      <w:r w:rsidRPr="00D66E15">
        <w:rPr>
          <w:rFonts w:ascii="Times New Roman" w:hAnsi="Times New Roman" w:cs="Times New Roman"/>
          <w:sz w:val="24"/>
          <w:szCs w:val="24"/>
          <w:lang w:val="en-US"/>
        </w:rPr>
        <w:t>(2), 115-127.</w:t>
      </w:r>
      <w:r w:rsidR="00385A00">
        <w:rPr>
          <w:rFonts w:ascii="Times New Roman" w:hAnsi="Times New Roman" w:cs="Times New Roman"/>
          <w:sz w:val="24"/>
          <w:szCs w:val="24"/>
          <w:lang w:val="en-US"/>
        </w:rPr>
        <w:t xml:space="preserve"> </w:t>
      </w:r>
      <w:hyperlink r:id="rId32" w:history="1">
        <w:r w:rsidR="00385A00" w:rsidRPr="00CF0556">
          <w:rPr>
            <w:rStyle w:val="Hyperlink"/>
            <w:rFonts w:ascii="Times New Roman" w:hAnsi="Times New Roman" w:cs="Times New Roman"/>
            <w:color w:val="0070C0"/>
            <w:sz w:val="24"/>
            <w:szCs w:val="24"/>
            <w:shd w:val="clear" w:color="auto" w:fill="FCFCFC"/>
            <w:lang w:val="en-US"/>
          </w:rPr>
          <w:t>https://doi.org/10.1023/B:JADD.0000022603.44077.6b</w:t>
        </w:r>
      </w:hyperlink>
      <w:r w:rsidR="00385A00" w:rsidRPr="00CF0556">
        <w:rPr>
          <w:rFonts w:ascii="Segoe UI" w:hAnsi="Segoe UI" w:cs="Segoe UI"/>
          <w:color w:val="0070C0"/>
          <w:shd w:val="clear" w:color="auto" w:fill="FCFCFC"/>
          <w:lang w:val="en-US"/>
        </w:rPr>
        <w:t xml:space="preserve"> </w:t>
      </w:r>
    </w:p>
    <w:p w14:paraId="1306F3A8" w14:textId="77777777" w:rsidR="00FC2D36" w:rsidRDefault="00FC2D36" w:rsidP="00FC2D36">
      <w:pPr>
        <w:jc w:val="left"/>
        <w:rPr>
          <w:rFonts w:ascii="Times New Roman" w:hAnsi="Times New Roman" w:cs="Times New Roman"/>
          <w:sz w:val="24"/>
          <w:szCs w:val="24"/>
          <w:lang w:val="en-US"/>
        </w:rPr>
      </w:pPr>
    </w:p>
    <w:p w14:paraId="76FE9A1B" w14:textId="620962AA" w:rsidR="00D66E15" w:rsidRDefault="00D66E15" w:rsidP="00FC2D36">
      <w:pPr>
        <w:jc w:val="left"/>
        <w:rPr>
          <w:color w:val="0070C0"/>
          <w:lang w:val="en-US"/>
        </w:rPr>
      </w:pPr>
      <w:r w:rsidRPr="00D66E15">
        <w:rPr>
          <w:rFonts w:ascii="Times New Roman" w:hAnsi="Times New Roman" w:cs="Times New Roman"/>
          <w:sz w:val="24"/>
          <w:szCs w:val="24"/>
          <w:lang w:val="en-US"/>
        </w:rPr>
        <w:t>Pham, A. V. (2016). Differentiating behavioral ratings of inattention, impulsivity, and hyperactivity in children: effects on reading achievement. </w:t>
      </w:r>
      <w:r w:rsidRPr="00CF0556">
        <w:rPr>
          <w:rFonts w:ascii="Times New Roman" w:hAnsi="Times New Roman" w:cs="Times New Roman"/>
          <w:i/>
          <w:iCs/>
          <w:sz w:val="24"/>
          <w:szCs w:val="24"/>
          <w:lang w:val="en-US"/>
        </w:rPr>
        <w:t xml:space="preserve">Journal of </w:t>
      </w:r>
      <w:r w:rsidR="000A0346">
        <w:rPr>
          <w:rFonts w:ascii="Times New Roman" w:hAnsi="Times New Roman" w:cs="Times New Roman"/>
          <w:i/>
          <w:iCs/>
          <w:sz w:val="24"/>
          <w:szCs w:val="24"/>
          <w:lang w:val="en-US"/>
        </w:rPr>
        <w:t>A</w:t>
      </w:r>
      <w:r w:rsidRPr="00CF0556">
        <w:rPr>
          <w:rFonts w:ascii="Times New Roman" w:hAnsi="Times New Roman" w:cs="Times New Roman"/>
          <w:i/>
          <w:iCs/>
          <w:sz w:val="24"/>
          <w:szCs w:val="24"/>
          <w:lang w:val="en-US"/>
        </w:rPr>
        <w:t xml:space="preserve">ttention </w:t>
      </w:r>
      <w:r w:rsidR="000A0346">
        <w:rPr>
          <w:rFonts w:ascii="Times New Roman" w:hAnsi="Times New Roman" w:cs="Times New Roman"/>
          <w:i/>
          <w:iCs/>
          <w:sz w:val="24"/>
          <w:szCs w:val="24"/>
          <w:lang w:val="en-US"/>
        </w:rPr>
        <w:t>D</w:t>
      </w:r>
      <w:r w:rsidRPr="00CF0556">
        <w:rPr>
          <w:rFonts w:ascii="Times New Roman" w:hAnsi="Times New Roman" w:cs="Times New Roman"/>
          <w:i/>
          <w:iCs/>
          <w:sz w:val="24"/>
          <w:szCs w:val="24"/>
          <w:lang w:val="en-US"/>
        </w:rPr>
        <w:t>isorders</w:t>
      </w:r>
      <w:r w:rsidRPr="00CF0556">
        <w:rPr>
          <w:rFonts w:ascii="Times New Roman" w:hAnsi="Times New Roman" w:cs="Times New Roman"/>
          <w:sz w:val="24"/>
          <w:szCs w:val="24"/>
          <w:lang w:val="en-US"/>
        </w:rPr>
        <w:t>, </w:t>
      </w:r>
      <w:r w:rsidRPr="00CF0556">
        <w:rPr>
          <w:rFonts w:ascii="Times New Roman" w:hAnsi="Times New Roman" w:cs="Times New Roman"/>
          <w:i/>
          <w:iCs/>
          <w:sz w:val="24"/>
          <w:szCs w:val="24"/>
          <w:lang w:val="en-US"/>
        </w:rPr>
        <w:t>20</w:t>
      </w:r>
      <w:r w:rsidRPr="00CF0556">
        <w:rPr>
          <w:rFonts w:ascii="Times New Roman" w:hAnsi="Times New Roman" w:cs="Times New Roman"/>
          <w:sz w:val="24"/>
          <w:szCs w:val="24"/>
          <w:lang w:val="en-US"/>
        </w:rPr>
        <w:t>(8), 674-683.</w:t>
      </w:r>
      <w:r w:rsidR="000A19EC" w:rsidRPr="00CF0556">
        <w:rPr>
          <w:lang w:val="en-US"/>
        </w:rPr>
        <w:t xml:space="preserve"> </w:t>
      </w:r>
      <w:hyperlink r:id="rId33" w:history="1">
        <w:r w:rsidR="000A19EC" w:rsidRPr="00CF0556">
          <w:rPr>
            <w:rStyle w:val="Hyperlink"/>
            <w:rFonts w:ascii="Times New Roman" w:hAnsi="Times New Roman" w:cs="Times New Roman"/>
            <w:color w:val="0070C0"/>
            <w:sz w:val="24"/>
            <w:szCs w:val="24"/>
            <w:shd w:val="clear" w:color="auto" w:fill="FFFFFF"/>
            <w:lang w:val="en-US"/>
          </w:rPr>
          <w:t>https://doi.org/10.1177/1087054712473833</w:t>
        </w:r>
      </w:hyperlink>
      <w:r w:rsidR="000A19EC" w:rsidRPr="00CF0556">
        <w:rPr>
          <w:rFonts w:ascii="Times New Roman" w:hAnsi="Times New Roman" w:cs="Times New Roman"/>
          <w:color w:val="0070C0"/>
          <w:sz w:val="24"/>
          <w:szCs w:val="24"/>
          <w:lang w:val="en-US"/>
        </w:rPr>
        <w:t>.</w:t>
      </w:r>
      <w:r w:rsidR="000A19EC" w:rsidRPr="00CF0556">
        <w:rPr>
          <w:color w:val="0070C0"/>
          <w:lang w:val="en-US"/>
        </w:rPr>
        <w:t xml:space="preserve"> </w:t>
      </w:r>
    </w:p>
    <w:p w14:paraId="780F6019" w14:textId="77777777" w:rsidR="00FC2D36" w:rsidRPr="00CF0556" w:rsidRDefault="00FC2D36" w:rsidP="00FC2D36">
      <w:pPr>
        <w:jc w:val="left"/>
        <w:rPr>
          <w:rFonts w:ascii="Times New Roman" w:hAnsi="Times New Roman" w:cs="Times New Roman"/>
          <w:sz w:val="24"/>
          <w:szCs w:val="24"/>
          <w:lang w:val="en-US"/>
        </w:rPr>
      </w:pPr>
    </w:p>
    <w:p w14:paraId="7165AF9C" w14:textId="00E6A7D5" w:rsidR="00D66E15" w:rsidRDefault="00D66E15" w:rsidP="00FC2D36">
      <w:pPr>
        <w:jc w:val="left"/>
        <w:rPr>
          <w:rFonts w:ascii="Times New Roman" w:hAnsi="Times New Roman" w:cs="Times New Roman"/>
          <w:color w:val="0070C0"/>
          <w:sz w:val="24"/>
          <w:szCs w:val="24"/>
        </w:rPr>
      </w:pPr>
      <w:r w:rsidRPr="00CF0556">
        <w:rPr>
          <w:rFonts w:ascii="Times New Roman" w:hAnsi="Times New Roman" w:cs="Times New Roman"/>
          <w:sz w:val="24"/>
          <w:szCs w:val="24"/>
          <w:lang w:val="en-US"/>
        </w:rPr>
        <w:t xml:space="preserve">Puliezi, S., &amp; Maluf, M. R. (2014). </w:t>
      </w:r>
      <w:r w:rsidRPr="00D66E15">
        <w:rPr>
          <w:rFonts w:ascii="Times New Roman" w:hAnsi="Times New Roman" w:cs="Times New Roman"/>
          <w:sz w:val="24"/>
          <w:szCs w:val="24"/>
        </w:rPr>
        <w:t>A fluência e sua importância para a compreensão da leitura. </w:t>
      </w:r>
      <w:r w:rsidRPr="00D66E15">
        <w:rPr>
          <w:rFonts w:ascii="Times New Roman" w:hAnsi="Times New Roman" w:cs="Times New Roman"/>
          <w:i/>
          <w:iCs/>
          <w:sz w:val="24"/>
          <w:szCs w:val="24"/>
        </w:rPr>
        <w:t>Psico-USF</w:t>
      </w:r>
      <w:r w:rsidRPr="00D66E15">
        <w:rPr>
          <w:rFonts w:ascii="Times New Roman" w:hAnsi="Times New Roman" w:cs="Times New Roman"/>
          <w:sz w:val="24"/>
          <w:szCs w:val="24"/>
        </w:rPr>
        <w:t>, </w:t>
      </w:r>
      <w:r w:rsidRPr="00D66E15">
        <w:rPr>
          <w:rFonts w:ascii="Times New Roman" w:hAnsi="Times New Roman" w:cs="Times New Roman"/>
          <w:i/>
          <w:iCs/>
          <w:sz w:val="24"/>
          <w:szCs w:val="24"/>
        </w:rPr>
        <w:t>19</w:t>
      </w:r>
      <w:r w:rsidRPr="00D66E15">
        <w:rPr>
          <w:rFonts w:ascii="Times New Roman" w:hAnsi="Times New Roman" w:cs="Times New Roman"/>
          <w:sz w:val="24"/>
          <w:szCs w:val="24"/>
        </w:rPr>
        <w:t>(3), 467-475.</w:t>
      </w:r>
      <w:r w:rsidR="000A19EC" w:rsidRPr="000A19EC">
        <w:t xml:space="preserve"> </w:t>
      </w:r>
      <w:hyperlink r:id="rId34" w:history="1">
        <w:r w:rsidR="000A19EC" w:rsidRPr="000A19EC">
          <w:rPr>
            <w:rStyle w:val="Hyperlink"/>
            <w:rFonts w:ascii="Times New Roman" w:hAnsi="Times New Roman" w:cs="Times New Roman"/>
            <w:color w:val="0070C0"/>
            <w:sz w:val="24"/>
            <w:szCs w:val="24"/>
          </w:rPr>
          <w:t>https://doi.org/10.1590/1413-82712014019003009</w:t>
        </w:r>
      </w:hyperlink>
      <w:r w:rsidR="000A19EC" w:rsidRPr="000A19EC">
        <w:rPr>
          <w:rFonts w:ascii="Times New Roman" w:hAnsi="Times New Roman" w:cs="Times New Roman"/>
          <w:color w:val="0070C0"/>
          <w:sz w:val="24"/>
          <w:szCs w:val="24"/>
        </w:rPr>
        <w:t xml:space="preserve"> </w:t>
      </w:r>
    </w:p>
    <w:p w14:paraId="2BC13686" w14:textId="77777777" w:rsidR="00FC2D36" w:rsidRDefault="00FC2D36" w:rsidP="00FC2D36">
      <w:pPr>
        <w:jc w:val="left"/>
        <w:rPr>
          <w:rFonts w:ascii="Times New Roman" w:hAnsi="Times New Roman" w:cs="Times New Roman"/>
          <w:sz w:val="24"/>
          <w:szCs w:val="24"/>
        </w:rPr>
      </w:pPr>
    </w:p>
    <w:p w14:paraId="21071954" w14:textId="29A95D05" w:rsidR="00D66E15" w:rsidRDefault="00D66E15" w:rsidP="00FC2D36">
      <w:pPr>
        <w:jc w:val="left"/>
        <w:rPr>
          <w:rFonts w:ascii="Times New Roman" w:hAnsi="Times New Roman" w:cs="Times New Roman"/>
          <w:sz w:val="24"/>
          <w:szCs w:val="24"/>
        </w:rPr>
      </w:pPr>
      <w:r w:rsidRPr="00D66E15">
        <w:rPr>
          <w:rFonts w:ascii="Times New Roman" w:hAnsi="Times New Roman" w:cs="Times New Roman"/>
          <w:sz w:val="24"/>
          <w:szCs w:val="24"/>
        </w:rPr>
        <w:t>Santos, T. R. D. (2019). </w:t>
      </w:r>
      <w:r w:rsidRPr="00D66E15">
        <w:rPr>
          <w:rFonts w:ascii="Times New Roman" w:hAnsi="Times New Roman" w:cs="Times New Roman"/>
          <w:i/>
          <w:iCs/>
          <w:sz w:val="24"/>
          <w:szCs w:val="24"/>
        </w:rPr>
        <w:t>Elaboração de um checklist para identificação de sinais de apraxia de fala na infância</w:t>
      </w:r>
      <w:r w:rsidRPr="00D66E15">
        <w:rPr>
          <w:rFonts w:ascii="Times New Roman" w:hAnsi="Times New Roman" w:cs="Times New Roman"/>
          <w:sz w:val="24"/>
          <w:szCs w:val="24"/>
        </w:rPr>
        <w:t> </w:t>
      </w:r>
      <w:r w:rsidR="004601B0">
        <w:rPr>
          <w:rFonts w:ascii="Times New Roman" w:hAnsi="Times New Roman" w:cs="Times New Roman"/>
          <w:sz w:val="24"/>
          <w:szCs w:val="24"/>
        </w:rPr>
        <w:t xml:space="preserve">[Tese de doutorado]. </w:t>
      </w:r>
      <w:r w:rsidRPr="00D66E15">
        <w:rPr>
          <w:rFonts w:ascii="Times New Roman" w:hAnsi="Times New Roman" w:cs="Times New Roman"/>
          <w:sz w:val="24"/>
          <w:szCs w:val="24"/>
        </w:rPr>
        <w:t>Universidade de São Paulo.</w:t>
      </w:r>
    </w:p>
    <w:p w14:paraId="228C8C89" w14:textId="77777777" w:rsidR="00FC2D36" w:rsidRDefault="00FC2D36" w:rsidP="00FC2D36">
      <w:pPr>
        <w:jc w:val="left"/>
        <w:rPr>
          <w:rFonts w:ascii="Times New Roman" w:hAnsi="Times New Roman" w:cs="Times New Roman"/>
          <w:sz w:val="24"/>
          <w:szCs w:val="24"/>
        </w:rPr>
      </w:pPr>
    </w:p>
    <w:p w14:paraId="70E63505" w14:textId="14533105" w:rsidR="00D66E15" w:rsidRDefault="00D66E15" w:rsidP="00FC2D36">
      <w:pPr>
        <w:jc w:val="left"/>
        <w:rPr>
          <w:rStyle w:val="Hyperlink"/>
          <w:rFonts w:ascii="Times New Roman" w:hAnsi="Times New Roman" w:cs="Times New Roman"/>
          <w:color w:val="0070C0"/>
          <w:sz w:val="24"/>
          <w:szCs w:val="24"/>
        </w:rPr>
      </w:pPr>
      <w:r w:rsidRPr="00D66E15">
        <w:rPr>
          <w:rFonts w:ascii="Times New Roman" w:hAnsi="Times New Roman" w:cs="Times New Roman"/>
          <w:sz w:val="24"/>
          <w:szCs w:val="24"/>
          <w:lang w:val="en-US"/>
        </w:rPr>
        <w:t>Sharma, M., Purdy, S. C., Newall, P., Wheldall, K., Beaman, R., &amp; Dillon, H. (2006). Electrophysiological and behavioral evidence of auditory processing deficits in children with reading disorder. </w:t>
      </w:r>
      <w:r w:rsidRPr="00D66E15">
        <w:rPr>
          <w:rFonts w:ascii="Times New Roman" w:hAnsi="Times New Roman" w:cs="Times New Roman"/>
          <w:i/>
          <w:iCs/>
          <w:sz w:val="24"/>
          <w:szCs w:val="24"/>
          <w:lang w:val="en-US"/>
        </w:rPr>
        <w:t xml:space="preserve">Clinical </w:t>
      </w:r>
      <w:r w:rsidR="004601B0">
        <w:rPr>
          <w:rFonts w:ascii="Times New Roman" w:hAnsi="Times New Roman" w:cs="Times New Roman"/>
          <w:i/>
          <w:iCs/>
          <w:sz w:val="24"/>
          <w:szCs w:val="24"/>
          <w:lang w:val="en-US"/>
        </w:rPr>
        <w:t>N</w:t>
      </w:r>
      <w:r w:rsidRPr="00D66E15">
        <w:rPr>
          <w:rFonts w:ascii="Times New Roman" w:hAnsi="Times New Roman" w:cs="Times New Roman"/>
          <w:i/>
          <w:iCs/>
          <w:sz w:val="24"/>
          <w:szCs w:val="24"/>
          <w:lang w:val="en-US"/>
        </w:rPr>
        <w:t>europhysiology</w:t>
      </w:r>
      <w:r w:rsidRPr="00D66E15">
        <w:rPr>
          <w:rFonts w:ascii="Times New Roman" w:hAnsi="Times New Roman" w:cs="Times New Roman"/>
          <w:sz w:val="24"/>
          <w:szCs w:val="24"/>
          <w:lang w:val="en-US"/>
        </w:rPr>
        <w:t>, </w:t>
      </w:r>
      <w:r w:rsidRPr="00D66E15">
        <w:rPr>
          <w:rFonts w:ascii="Times New Roman" w:hAnsi="Times New Roman" w:cs="Times New Roman"/>
          <w:i/>
          <w:iCs/>
          <w:sz w:val="24"/>
          <w:szCs w:val="24"/>
          <w:lang w:val="en-US"/>
        </w:rPr>
        <w:t>117</w:t>
      </w:r>
      <w:r w:rsidRPr="00D66E15">
        <w:rPr>
          <w:rFonts w:ascii="Times New Roman" w:hAnsi="Times New Roman" w:cs="Times New Roman"/>
          <w:sz w:val="24"/>
          <w:szCs w:val="24"/>
          <w:lang w:val="en-US"/>
        </w:rPr>
        <w:t>(5), 1130-1144.</w:t>
      </w:r>
      <w:r w:rsidR="000A19EC">
        <w:rPr>
          <w:rFonts w:ascii="Times New Roman" w:hAnsi="Times New Roman" w:cs="Times New Roman"/>
          <w:sz w:val="24"/>
          <w:szCs w:val="24"/>
          <w:lang w:val="en-US"/>
        </w:rPr>
        <w:t xml:space="preserve"> </w:t>
      </w:r>
      <w:hyperlink r:id="rId35" w:tgtFrame="_blank" w:tooltip="Persistent link using digital object identifier" w:history="1">
        <w:r w:rsidR="000A19EC" w:rsidRPr="00CF0556">
          <w:rPr>
            <w:rStyle w:val="Hyperlink"/>
            <w:rFonts w:ascii="Times New Roman" w:hAnsi="Times New Roman" w:cs="Times New Roman"/>
            <w:color w:val="0070C0"/>
            <w:sz w:val="24"/>
            <w:szCs w:val="24"/>
            <w:lang w:val="en-US"/>
          </w:rPr>
          <w:t>https://doi.org/10.1016/j.clinph.2006.02.001</w:t>
        </w:r>
      </w:hyperlink>
    </w:p>
    <w:p w14:paraId="3FD82882" w14:textId="77777777" w:rsidR="00FC2D36" w:rsidRPr="000A19EC" w:rsidRDefault="00FC2D36" w:rsidP="00FC2D36">
      <w:pPr>
        <w:jc w:val="left"/>
        <w:rPr>
          <w:rFonts w:ascii="Times New Roman" w:hAnsi="Times New Roman" w:cs="Times New Roman"/>
          <w:color w:val="0070C0"/>
          <w:sz w:val="24"/>
          <w:szCs w:val="24"/>
          <w:lang w:val="en-US"/>
        </w:rPr>
      </w:pPr>
    </w:p>
    <w:p w14:paraId="5518677D" w14:textId="0047CAED" w:rsidR="00871AF4" w:rsidRPr="00D66E15" w:rsidRDefault="00D66E15" w:rsidP="00FC2D36">
      <w:pPr>
        <w:widowControl w:val="0"/>
        <w:jc w:val="left"/>
        <w:rPr>
          <w:rFonts w:ascii="Times New Roman" w:hAnsi="Times New Roman" w:cs="Times New Roman"/>
          <w:bCs/>
          <w:sz w:val="24"/>
          <w:szCs w:val="24"/>
          <w:lang w:val="en-US"/>
        </w:rPr>
      </w:pPr>
      <w:r w:rsidRPr="00D66E15">
        <w:rPr>
          <w:rFonts w:ascii="Times New Roman" w:hAnsi="Times New Roman" w:cs="Times New Roman"/>
          <w:bCs/>
          <w:sz w:val="24"/>
          <w:szCs w:val="24"/>
          <w:lang w:val="en-US"/>
        </w:rPr>
        <w:t>Vaughn, S., &amp; Swanson, E. A. (2015). Special education research advances knowledge in education. </w:t>
      </w:r>
      <w:r w:rsidRPr="00D66E15">
        <w:rPr>
          <w:rFonts w:ascii="Times New Roman" w:hAnsi="Times New Roman" w:cs="Times New Roman"/>
          <w:bCs/>
          <w:i/>
          <w:iCs/>
          <w:sz w:val="24"/>
          <w:szCs w:val="24"/>
        </w:rPr>
        <w:t>Exceptional Children</w:t>
      </w:r>
      <w:r w:rsidRPr="00D66E15">
        <w:rPr>
          <w:rFonts w:ascii="Times New Roman" w:hAnsi="Times New Roman" w:cs="Times New Roman"/>
          <w:bCs/>
          <w:sz w:val="24"/>
          <w:szCs w:val="24"/>
        </w:rPr>
        <w:t>, </w:t>
      </w:r>
      <w:r w:rsidRPr="00D66E15">
        <w:rPr>
          <w:rFonts w:ascii="Times New Roman" w:hAnsi="Times New Roman" w:cs="Times New Roman"/>
          <w:bCs/>
          <w:i/>
          <w:iCs/>
          <w:sz w:val="24"/>
          <w:szCs w:val="24"/>
        </w:rPr>
        <w:t>82</w:t>
      </w:r>
      <w:r w:rsidRPr="00D66E15">
        <w:rPr>
          <w:rFonts w:ascii="Times New Roman" w:hAnsi="Times New Roman" w:cs="Times New Roman"/>
          <w:bCs/>
          <w:sz w:val="24"/>
          <w:szCs w:val="24"/>
        </w:rPr>
        <w:t>(1), 11-24.</w:t>
      </w:r>
      <w:r w:rsidR="000A19EC" w:rsidRPr="000A19EC">
        <w:t xml:space="preserve"> </w:t>
      </w:r>
      <w:hyperlink r:id="rId36" w:history="1">
        <w:r w:rsidR="000A19EC" w:rsidRPr="000A19EC">
          <w:rPr>
            <w:rStyle w:val="Hyperlink"/>
            <w:rFonts w:ascii="Times New Roman" w:hAnsi="Times New Roman" w:cs="Times New Roman"/>
            <w:color w:val="0070C0"/>
            <w:sz w:val="24"/>
            <w:szCs w:val="24"/>
            <w:shd w:val="clear" w:color="auto" w:fill="FFFFFF"/>
          </w:rPr>
          <w:t>https://doi.org/10.1177/0014402915598781</w:t>
        </w:r>
      </w:hyperlink>
    </w:p>
    <w:bookmarkEnd w:id="5"/>
    <w:p w14:paraId="27553C3F" w14:textId="77777777" w:rsidR="006A3D65" w:rsidRPr="00D66E15" w:rsidRDefault="006A3D65" w:rsidP="00FC2D36">
      <w:pPr>
        <w:rPr>
          <w:rFonts w:ascii="Times New Roman" w:hAnsi="Times New Roman" w:cs="Times New Roman"/>
          <w:lang w:val="en-US"/>
        </w:rPr>
      </w:pPr>
    </w:p>
    <w:sectPr w:rsidR="006A3D65" w:rsidRPr="00D66E15" w:rsidSect="002E100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2539" w14:textId="77777777" w:rsidR="00AF4FEE" w:rsidRDefault="00AF4FEE" w:rsidP="00871AF4">
      <w:pPr>
        <w:spacing w:line="240" w:lineRule="auto"/>
      </w:pPr>
      <w:r>
        <w:separator/>
      </w:r>
    </w:p>
  </w:endnote>
  <w:endnote w:type="continuationSeparator" w:id="0">
    <w:p w14:paraId="72C38BF6" w14:textId="77777777" w:rsidR="00AF4FEE" w:rsidRDefault="00AF4FEE" w:rsidP="00871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1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F163" w14:textId="77777777" w:rsidR="00AF4FEE" w:rsidRDefault="00AF4FEE" w:rsidP="00871AF4">
      <w:pPr>
        <w:spacing w:line="240" w:lineRule="auto"/>
      </w:pPr>
      <w:r>
        <w:separator/>
      </w:r>
    </w:p>
  </w:footnote>
  <w:footnote w:type="continuationSeparator" w:id="0">
    <w:p w14:paraId="605BDDD1" w14:textId="77777777" w:rsidR="00AF4FEE" w:rsidRDefault="00AF4FEE" w:rsidP="00871AF4">
      <w:pPr>
        <w:spacing w:line="240" w:lineRule="auto"/>
      </w:pPr>
      <w:r>
        <w:continuationSeparator/>
      </w:r>
    </w:p>
  </w:footnote>
  <w:footnote w:id="1">
    <w:p w14:paraId="1D0EA6CF" w14:textId="77777777" w:rsidR="00297B93" w:rsidRPr="00112327" w:rsidRDefault="00297B93" w:rsidP="00871AF4">
      <w:pPr>
        <w:pStyle w:val="FootnoteText"/>
        <w:ind w:left="170" w:hanging="170"/>
        <w:jc w:val="both"/>
        <w:rPr>
          <w:rFonts w:ascii="Times New Roman" w:hAnsi="Times New Roman" w:cs="Times New Roman"/>
        </w:rPr>
      </w:pPr>
      <w:r w:rsidRPr="00AF4C62">
        <w:rPr>
          <w:rStyle w:val="FootnoteReference"/>
          <w:rFonts w:ascii="Arial" w:hAnsi="Arial" w:cs="Arial"/>
        </w:rPr>
        <w:footnoteRef/>
      </w:r>
      <w:r w:rsidRPr="00AF4C62">
        <w:rPr>
          <w:rFonts w:ascii="Arial" w:hAnsi="Arial" w:cs="Arial"/>
        </w:rPr>
        <w:t xml:space="preserve"> </w:t>
      </w:r>
      <w:r w:rsidRPr="00112327">
        <w:rPr>
          <w:rFonts w:ascii="Times New Roman" w:eastAsia="Arial" w:hAnsi="Times New Roman" w:cs="Times New Roman"/>
        </w:rPr>
        <w:t>Perfil Educacional e Funcional de Estudantes da Educação Especial da Região Administrativa de Samambaia e Construção de Indicadores para o Monitoramento da Aprendizagem. Disponível em:</w:t>
      </w:r>
      <w:r w:rsidRPr="00112327">
        <w:rPr>
          <w:rFonts w:ascii="Times New Roman" w:hAnsi="Times New Roman" w:cs="Times New Roman"/>
        </w:rPr>
        <w:t xml:space="preserve"> &lt;</w:t>
      </w:r>
      <w:hyperlink r:id="rId1" w:history="1">
        <w:r w:rsidRPr="00112327">
          <w:rPr>
            <w:rStyle w:val="Hyperlink"/>
            <w:rFonts w:ascii="Times New Roman" w:eastAsia="Arial" w:hAnsi="Times New Roman" w:cs="Times New Roman"/>
          </w:rPr>
          <w:t>https://sites.google.com/view/perfil-educacional-e-funcional/p%C3%A1gina-inicial</w:t>
        </w:r>
      </w:hyperlink>
      <w:r w:rsidRPr="00112327">
        <w:rPr>
          <w:rStyle w:val="Hyperlink"/>
          <w:rFonts w:ascii="Times New Roman" w:eastAsia="Arial" w:hAnsi="Times New Roman" w:cs="Times New Roman"/>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4622"/>
    <w:multiLevelType w:val="hybridMultilevel"/>
    <w:tmpl w:val="DB060348"/>
    <w:lvl w:ilvl="0" w:tplc="630E83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C7053BD"/>
    <w:multiLevelType w:val="hybridMultilevel"/>
    <w:tmpl w:val="AE1E4290"/>
    <w:lvl w:ilvl="0" w:tplc="D7D6E11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EE70174"/>
    <w:multiLevelType w:val="hybridMultilevel"/>
    <w:tmpl w:val="A9CC8EE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62EC3EF3"/>
    <w:multiLevelType w:val="multilevel"/>
    <w:tmpl w:val="5C62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406B7"/>
    <w:multiLevelType w:val="hybridMultilevel"/>
    <w:tmpl w:val="E3FA9D04"/>
    <w:lvl w:ilvl="0" w:tplc="2D7096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F4"/>
    <w:rsid w:val="0000441D"/>
    <w:rsid w:val="00026986"/>
    <w:rsid w:val="00026F41"/>
    <w:rsid w:val="00031E11"/>
    <w:rsid w:val="00043566"/>
    <w:rsid w:val="00063438"/>
    <w:rsid w:val="00082C62"/>
    <w:rsid w:val="000A0346"/>
    <w:rsid w:val="000A19EC"/>
    <w:rsid w:val="000A207D"/>
    <w:rsid w:val="000A5BFA"/>
    <w:rsid w:val="000B6548"/>
    <w:rsid w:val="000E3C01"/>
    <w:rsid w:val="000E7CC0"/>
    <w:rsid w:val="00106719"/>
    <w:rsid w:val="00112327"/>
    <w:rsid w:val="001A5AD3"/>
    <w:rsid w:val="001B7D41"/>
    <w:rsid w:val="002357D0"/>
    <w:rsid w:val="00252A61"/>
    <w:rsid w:val="002757D4"/>
    <w:rsid w:val="00286514"/>
    <w:rsid w:val="00297B93"/>
    <w:rsid w:val="002A67C4"/>
    <w:rsid w:val="002A749D"/>
    <w:rsid w:val="002D1F23"/>
    <w:rsid w:val="002E100C"/>
    <w:rsid w:val="0032370C"/>
    <w:rsid w:val="00355C32"/>
    <w:rsid w:val="00373682"/>
    <w:rsid w:val="00385A00"/>
    <w:rsid w:val="003943F7"/>
    <w:rsid w:val="003A22A2"/>
    <w:rsid w:val="003F473B"/>
    <w:rsid w:val="004020B4"/>
    <w:rsid w:val="00420210"/>
    <w:rsid w:val="004601B0"/>
    <w:rsid w:val="004F7D14"/>
    <w:rsid w:val="00500460"/>
    <w:rsid w:val="0051017B"/>
    <w:rsid w:val="00520B42"/>
    <w:rsid w:val="00520BB8"/>
    <w:rsid w:val="00524A19"/>
    <w:rsid w:val="00562808"/>
    <w:rsid w:val="005742C7"/>
    <w:rsid w:val="00595559"/>
    <w:rsid w:val="005B04C3"/>
    <w:rsid w:val="00610AF6"/>
    <w:rsid w:val="006267AC"/>
    <w:rsid w:val="0065612C"/>
    <w:rsid w:val="00681108"/>
    <w:rsid w:val="006A3D65"/>
    <w:rsid w:val="006E6FA7"/>
    <w:rsid w:val="00710E34"/>
    <w:rsid w:val="00763632"/>
    <w:rsid w:val="0076402C"/>
    <w:rsid w:val="00781E5A"/>
    <w:rsid w:val="007B13A2"/>
    <w:rsid w:val="007D5DAF"/>
    <w:rsid w:val="00831A7E"/>
    <w:rsid w:val="00864235"/>
    <w:rsid w:val="00871AF4"/>
    <w:rsid w:val="00880FAE"/>
    <w:rsid w:val="00883571"/>
    <w:rsid w:val="008B65F2"/>
    <w:rsid w:val="008C7225"/>
    <w:rsid w:val="009103E9"/>
    <w:rsid w:val="00915443"/>
    <w:rsid w:val="00967B99"/>
    <w:rsid w:val="009916C4"/>
    <w:rsid w:val="00997E10"/>
    <w:rsid w:val="009B0675"/>
    <w:rsid w:val="009C43BA"/>
    <w:rsid w:val="009C5E05"/>
    <w:rsid w:val="009D5C7D"/>
    <w:rsid w:val="009F21ED"/>
    <w:rsid w:val="009F68AF"/>
    <w:rsid w:val="00A13369"/>
    <w:rsid w:val="00A21C54"/>
    <w:rsid w:val="00A32F83"/>
    <w:rsid w:val="00A91FBD"/>
    <w:rsid w:val="00AA3DB6"/>
    <w:rsid w:val="00AA74B2"/>
    <w:rsid w:val="00AB7453"/>
    <w:rsid w:val="00AF0A2E"/>
    <w:rsid w:val="00AF4FEE"/>
    <w:rsid w:val="00B57484"/>
    <w:rsid w:val="00BC4FF1"/>
    <w:rsid w:val="00BF1B1C"/>
    <w:rsid w:val="00C96A7C"/>
    <w:rsid w:val="00CF0556"/>
    <w:rsid w:val="00D619B5"/>
    <w:rsid w:val="00D66E15"/>
    <w:rsid w:val="00D80469"/>
    <w:rsid w:val="00D871D6"/>
    <w:rsid w:val="00DD74F7"/>
    <w:rsid w:val="00DF208C"/>
    <w:rsid w:val="00E46C7E"/>
    <w:rsid w:val="00E75E9F"/>
    <w:rsid w:val="00ED5700"/>
    <w:rsid w:val="00EF3543"/>
    <w:rsid w:val="00F271D2"/>
    <w:rsid w:val="00F37958"/>
    <w:rsid w:val="00F54E89"/>
    <w:rsid w:val="00F64B42"/>
    <w:rsid w:val="00F90D41"/>
    <w:rsid w:val="00F928B5"/>
    <w:rsid w:val="00FC2D36"/>
    <w:rsid w:val="00FD7430"/>
    <w:rsid w:val="00FE726C"/>
    <w:rsid w:val="00FF1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7531"/>
  <w15:chartTrackingRefBased/>
  <w15:docId w15:val="{9740A603-CC11-478D-9475-C79EB955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AF4"/>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AF4"/>
    <w:rPr>
      <w:color w:val="0000FF"/>
      <w:u w:val="single"/>
    </w:rPr>
  </w:style>
  <w:style w:type="paragraph" w:styleId="FootnoteText">
    <w:name w:val="footnote text"/>
    <w:basedOn w:val="Normal"/>
    <w:link w:val="FootnoteTextChar"/>
    <w:uiPriority w:val="99"/>
    <w:semiHidden/>
    <w:unhideWhenUsed/>
    <w:rsid w:val="00871AF4"/>
    <w:pPr>
      <w:spacing w:line="240" w:lineRule="auto"/>
      <w:jc w:val="left"/>
    </w:pPr>
    <w:rPr>
      <w:sz w:val="20"/>
      <w:szCs w:val="20"/>
    </w:rPr>
  </w:style>
  <w:style w:type="character" w:customStyle="1" w:styleId="FootnoteTextChar">
    <w:name w:val="Footnote Text Char"/>
    <w:basedOn w:val="DefaultParagraphFont"/>
    <w:link w:val="FootnoteText"/>
    <w:uiPriority w:val="99"/>
    <w:semiHidden/>
    <w:rsid w:val="00871AF4"/>
    <w:rPr>
      <w:sz w:val="20"/>
      <w:szCs w:val="20"/>
    </w:rPr>
  </w:style>
  <w:style w:type="character" w:styleId="FootnoteReference">
    <w:name w:val="footnote reference"/>
    <w:basedOn w:val="DefaultParagraphFont"/>
    <w:uiPriority w:val="99"/>
    <w:semiHidden/>
    <w:unhideWhenUsed/>
    <w:rsid w:val="00871AF4"/>
    <w:rPr>
      <w:vertAlign w:val="superscript"/>
    </w:rPr>
  </w:style>
  <w:style w:type="paragraph" w:styleId="BalloonText">
    <w:name w:val="Balloon Text"/>
    <w:basedOn w:val="Normal"/>
    <w:link w:val="BalloonTextChar"/>
    <w:uiPriority w:val="99"/>
    <w:semiHidden/>
    <w:unhideWhenUsed/>
    <w:rsid w:val="00871A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AF4"/>
    <w:rPr>
      <w:rFonts w:ascii="Segoe UI" w:hAnsi="Segoe UI" w:cs="Segoe UI"/>
      <w:sz w:val="18"/>
      <w:szCs w:val="18"/>
    </w:rPr>
  </w:style>
  <w:style w:type="character" w:styleId="CommentReference">
    <w:name w:val="annotation reference"/>
    <w:basedOn w:val="DefaultParagraphFont"/>
    <w:uiPriority w:val="99"/>
    <w:semiHidden/>
    <w:unhideWhenUsed/>
    <w:qFormat/>
    <w:rsid w:val="00AB7453"/>
    <w:rPr>
      <w:sz w:val="16"/>
      <w:szCs w:val="16"/>
    </w:rPr>
  </w:style>
  <w:style w:type="paragraph" w:styleId="CommentText">
    <w:name w:val="annotation text"/>
    <w:basedOn w:val="Normal"/>
    <w:link w:val="CommentTextChar"/>
    <w:uiPriority w:val="99"/>
    <w:unhideWhenUsed/>
    <w:qFormat/>
    <w:rsid w:val="00AB7453"/>
    <w:pPr>
      <w:spacing w:line="240" w:lineRule="auto"/>
    </w:pPr>
    <w:rPr>
      <w:sz w:val="20"/>
      <w:szCs w:val="20"/>
    </w:rPr>
  </w:style>
  <w:style w:type="character" w:customStyle="1" w:styleId="CommentTextChar">
    <w:name w:val="Comment Text Char"/>
    <w:basedOn w:val="DefaultParagraphFont"/>
    <w:link w:val="CommentText"/>
    <w:uiPriority w:val="99"/>
    <w:qFormat/>
    <w:rsid w:val="00AB7453"/>
    <w:rPr>
      <w:sz w:val="20"/>
      <w:szCs w:val="20"/>
    </w:rPr>
  </w:style>
  <w:style w:type="paragraph" w:styleId="CommentSubject">
    <w:name w:val="annotation subject"/>
    <w:basedOn w:val="CommentText"/>
    <w:next w:val="CommentText"/>
    <w:link w:val="CommentSubjectChar"/>
    <w:uiPriority w:val="99"/>
    <w:semiHidden/>
    <w:unhideWhenUsed/>
    <w:rsid w:val="00AB7453"/>
    <w:rPr>
      <w:b/>
      <w:bCs/>
    </w:rPr>
  </w:style>
  <w:style w:type="character" w:customStyle="1" w:styleId="CommentSubjectChar">
    <w:name w:val="Comment Subject Char"/>
    <w:basedOn w:val="CommentTextChar"/>
    <w:link w:val="CommentSubject"/>
    <w:uiPriority w:val="99"/>
    <w:semiHidden/>
    <w:rsid w:val="00AB7453"/>
    <w:rPr>
      <w:b/>
      <w:bCs/>
      <w:sz w:val="20"/>
      <w:szCs w:val="20"/>
    </w:rPr>
  </w:style>
  <w:style w:type="paragraph" w:styleId="ListParagraph">
    <w:name w:val="List Paragraph"/>
    <w:basedOn w:val="Normal"/>
    <w:uiPriority w:val="34"/>
    <w:qFormat/>
    <w:rsid w:val="008B65F2"/>
    <w:pPr>
      <w:ind w:left="720"/>
      <w:contextualSpacing/>
    </w:pPr>
  </w:style>
  <w:style w:type="character" w:styleId="UnresolvedMention">
    <w:name w:val="Unresolved Mention"/>
    <w:basedOn w:val="DefaultParagraphFont"/>
    <w:uiPriority w:val="99"/>
    <w:semiHidden/>
    <w:unhideWhenUsed/>
    <w:rsid w:val="0065612C"/>
    <w:rPr>
      <w:color w:val="605E5C"/>
      <w:shd w:val="clear" w:color="auto" w:fill="E1DFDD"/>
    </w:rPr>
  </w:style>
  <w:style w:type="character" w:styleId="FollowedHyperlink">
    <w:name w:val="FollowedHyperlink"/>
    <w:basedOn w:val="DefaultParagraphFont"/>
    <w:uiPriority w:val="99"/>
    <w:semiHidden/>
    <w:unhideWhenUsed/>
    <w:rsid w:val="00031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5614">
      <w:bodyDiv w:val="1"/>
      <w:marLeft w:val="0"/>
      <w:marRight w:val="0"/>
      <w:marTop w:val="0"/>
      <w:marBottom w:val="0"/>
      <w:divBdr>
        <w:top w:val="none" w:sz="0" w:space="0" w:color="auto"/>
        <w:left w:val="none" w:sz="0" w:space="0" w:color="auto"/>
        <w:bottom w:val="none" w:sz="0" w:space="0" w:color="auto"/>
        <w:right w:val="none" w:sz="0" w:space="0" w:color="auto"/>
      </w:divBdr>
    </w:div>
    <w:div w:id="322049477">
      <w:bodyDiv w:val="1"/>
      <w:marLeft w:val="0"/>
      <w:marRight w:val="0"/>
      <w:marTop w:val="0"/>
      <w:marBottom w:val="0"/>
      <w:divBdr>
        <w:top w:val="none" w:sz="0" w:space="0" w:color="auto"/>
        <w:left w:val="none" w:sz="0" w:space="0" w:color="auto"/>
        <w:bottom w:val="none" w:sz="0" w:space="0" w:color="auto"/>
        <w:right w:val="none" w:sz="0" w:space="0" w:color="auto"/>
      </w:divBdr>
    </w:div>
    <w:div w:id="673650331">
      <w:bodyDiv w:val="1"/>
      <w:marLeft w:val="0"/>
      <w:marRight w:val="0"/>
      <w:marTop w:val="0"/>
      <w:marBottom w:val="0"/>
      <w:divBdr>
        <w:top w:val="none" w:sz="0" w:space="0" w:color="auto"/>
        <w:left w:val="none" w:sz="0" w:space="0" w:color="auto"/>
        <w:bottom w:val="none" w:sz="0" w:space="0" w:color="auto"/>
        <w:right w:val="none" w:sz="0" w:space="0" w:color="auto"/>
      </w:divBdr>
    </w:div>
    <w:div w:id="959798772">
      <w:bodyDiv w:val="1"/>
      <w:marLeft w:val="0"/>
      <w:marRight w:val="0"/>
      <w:marTop w:val="0"/>
      <w:marBottom w:val="0"/>
      <w:divBdr>
        <w:top w:val="none" w:sz="0" w:space="0" w:color="auto"/>
        <w:left w:val="none" w:sz="0" w:space="0" w:color="auto"/>
        <w:bottom w:val="none" w:sz="0" w:space="0" w:color="auto"/>
        <w:right w:val="none" w:sz="0" w:space="0" w:color="auto"/>
      </w:divBdr>
    </w:div>
    <w:div w:id="1469787996">
      <w:bodyDiv w:val="1"/>
      <w:marLeft w:val="0"/>
      <w:marRight w:val="0"/>
      <w:marTop w:val="0"/>
      <w:marBottom w:val="0"/>
      <w:divBdr>
        <w:top w:val="none" w:sz="0" w:space="0" w:color="auto"/>
        <w:left w:val="none" w:sz="0" w:space="0" w:color="auto"/>
        <w:bottom w:val="none" w:sz="0" w:space="0" w:color="auto"/>
        <w:right w:val="none" w:sz="0" w:space="0" w:color="auto"/>
      </w:divBdr>
    </w:div>
    <w:div w:id="1881359176">
      <w:bodyDiv w:val="1"/>
      <w:marLeft w:val="0"/>
      <w:marRight w:val="0"/>
      <w:marTop w:val="0"/>
      <w:marBottom w:val="0"/>
      <w:divBdr>
        <w:top w:val="none" w:sz="0" w:space="0" w:color="auto"/>
        <w:left w:val="none" w:sz="0" w:space="0" w:color="auto"/>
        <w:bottom w:val="none" w:sz="0" w:space="0" w:color="auto"/>
        <w:right w:val="none" w:sz="0" w:space="0" w:color="auto"/>
      </w:divBdr>
    </w:div>
    <w:div w:id="20252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dtd.uerj.br:8443/handle/1/10337" TargetMode="External"/><Relationship Id="rId26" Type="http://schemas.openxmlformats.org/officeDocument/2006/relationships/hyperlink" Target="https://doi.org/10.1093/arclin/act048" TargetMode="External"/><Relationship Id="rId21" Type="http://schemas.openxmlformats.org/officeDocument/2006/relationships/hyperlink" Target="http://hdl.handle.net/10400.5/2142" TargetMode="External"/><Relationship Id="rId34" Type="http://schemas.openxmlformats.org/officeDocument/2006/relationships/hyperlink" Target="https://doi.org/10.1590/1413-82712014019003009"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dx.doi.org/10.17058/signo.v43i77.11533" TargetMode="External"/><Relationship Id="rId25" Type="http://schemas.openxmlformats.org/officeDocument/2006/relationships/hyperlink" Target="https://doi.org/10.1080/09297049.2010.532204" TargetMode="External"/><Relationship Id="rId33" Type="http://schemas.openxmlformats.org/officeDocument/2006/relationships/hyperlink" Target="https://doi.org/10.1177%2F108705471247383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attes.cnpq.br/4238305103031029" TargetMode="External"/><Relationship Id="rId20" Type="http://schemas.openxmlformats.org/officeDocument/2006/relationships/hyperlink" Target="https://doi.org/10.1590/2317-1782/20182017034" TargetMode="External"/><Relationship Id="rId29" Type="http://schemas.openxmlformats.org/officeDocument/2006/relationships/hyperlink" Target="https://doi.org/10.1590/0103-166X2014000400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384-3989" TargetMode="External"/><Relationship Id="rId24" Type="http://schemas.openxmlformats.org/officeDocument/2006/relationships/hyperlink" Target="https://doi.org/10.1007/s10803-009-0892-3" TargetMode="External"/><Relationship Id="rId32" Type="http://schemas.openxmlformats.org/officeDocument/2006/relationships/hyperlink" Target="https://doi.org/10.1023/B:JADD.0000022603.44077.6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177%2F001440291207800301" TargetMode="External"/><Relationship Id="rId28" Type="http://schemas.openxmlformats.org/officeDocument/2006/relationships/hyperlink" Target="https://doi.org/10.1590/2317-1782/20182018244" TargetMode="External"/><Relationship Id="rId36" Type="http://schemas.openxmlformats.org/officeDocument/2006/relationships/hyperlink" Target="https://doi.org/10.1177%2F0014402915598781" TargetMode="External"/><Relationship Id="rId10" Type="http://schemas.openxmlformats.org/officeDocument/2006/relationships/hyperlink" Target="https://orcid.org/0000-0002-4254-2372" TargetMode="External"/><Relationship Id="rId19" Type="http://schemas.openxmlformats.org/officeDocument/2006/relationships/hyperlink" Target="https://doi.org/10.4025/tpe.v15i1.18545" TargetMode="External"/><Relationship Id="rId31" Type="http://schemas.openxmlformats.org/officeDocument/2006/relationships/hyperlink" Target="https://doi.org/10.1007/s10803-006-0130-1" TargetMode="External"/><Relationship Id="rId4" Type="http://schemas.openxmlformats.org/officeDocument/2006/relationships/webSettings" Target="webSettings.xml"/><Relationship Id="rId9" Type="http://schemas.openxmlformats.org/officeDocument/2006/relationships/hyperlink" Target="https://orcid.org/0000-0002-6403-4117" TargetMode="External"/><Relationship Id="rId14" Type="http://schemas.openxmlformats.org/officeDocument/2006/relationships/image" Target="media/image4.png"/><Relationship Id="rId22" Type="http://schemas.openxmlformats.org/officeDocument/2006/relationships/hyperlink" Target="https://doi.org/10.1177%2F0040059914522966" TargetMode="External"/><Relationship Id="rId27" Type="http://schemas.openxmlformats.org/officeDocument/2006/relationships/hyperlink" Target="https://pubmed.ncbi.nlm.nih.gov/25017494/" TargetMode="External"/><Relationship Id="rId30" Type="http://schemas.openxmlformats.org/officeDocument/2006/relationships/hyperlink" Target="https://doi.org/10.1590/S0104-40362007000400003" TargetMode="External"/><Relationship Id="rId35" Type="http://schemas.openxmlformats.org/officeDocument/2006/relationships/hyperlink" Target="https://doi.org/10.1016/j.clinph.2006.02.001" TargetMode="External"/><Relationship Id="rId8" Type="http://schemas.openxmlformats.org/officeDocument/2006/relationships/hyperlink" Target="https://orcid.org/0000-0002-6914-4294"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sites.google.com/view/perfil-educacional-e-funcional/p%C3%A1gina-inic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7115</Words>
  <Characters>40562</Characters>
  <Application>Microsoft Office Word</Application>
  <DocSecurity>0</DocSecurity>
  <Lines>338</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edlaine souza</dc:creator>
  <cp:keywords/>
  <dc:description/>
  <cp:lastModifiedBy>Revisor</cp:lastModifiedBy>
  <cp:revision>4</cp:revision>
  <dcterms:created xsi:type="dcterms:W3CDTF">2021-12-01T21:16:00Z</dcterms:created>
  <dcterms:modified xsi:type="dcterms:W3CDTF">2021-12-06T21:43:00Z</dcterms:modified>
</cp:coreProperties>
</file>