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spacing w:after="0" w:before="0" w:line="360" w:lineRule="auto"/>
        <w:ind w:firstLine="720"/>
        <w:rPr>
          <w:rFonts w:ascii="Times New Roman" w:cs="Times New Roman" w:eastAsia="Times New Roman" w:hAnsi="Times New Roman"/>
          <w:i w:val="0"/>
          <w:highlight w:val="white"/>
        </w:rPr>
      </w:pPr>
      <w:bookmarkStart w:colFirst="0" w:colLast="0" w:name="_gjdgxs" w:id="0"/>
      <w:bookmarkEnd w:id="0"/>
      <w:r w:rsidDel="00000000" w:rsidR="00000000" w:rsidRPr="00000000">
        <w:rPr>
          <w:rFonts w:ascii="Times New Roman" w:cs="Times New Roman" w:eastAsia="Times New Roman" w:hAnsi="Times New Roman"/>
          <w:i w:val="0"/>
          <w:highlight w:val="white"/>
          <w:rtl w:val="0"/>
        </w:rPr>
        <w:t xml:space="preserve">As bases epistemológicas de Freud</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before="0" w:line="360"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before="0" w:line="360"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before="0" w:line="360"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before="0" w:line="360"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before="0" w:line="360"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before="0" w:line="360"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before="0" w:line="360"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before="0" w:line="360"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before="0" w:line="360"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before="0" w:line="360"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before="0" w:line="360"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before="0" w:line="360"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before="0" w:line="360"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before="0" w:line="360"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before="0" w:line="360"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before="0" w:line="360"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before="0" w:line="360"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before="0" w:line="360"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before="0" w:line="360"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before="0" w:line="360"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before="0" w:line="360"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before="0" w:line="360"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before="0" w:line="360"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before="0" w:line="360"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before="0" w:line="360"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before="0" w:line="360"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before="0" w:line="360"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before="0" w:line="360"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before="0" w:line="360"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before="0" w:line="360" w:lineRule="auto"/>
        <w:jc w:val="both"/>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ab/>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before="0" w:line="360" w:lineRule="auto"/>
        <w:ind w:firstLine="72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before="0" w:line="360" w:lineRule="auto"/>
        <w:ind w:left="0" w:firstLine="0"/>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Resumo</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before="0" w:line="240" w:lineRule="auto"/>
        <w:ind w:left="0"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Como caracterizar a ciência natural? A psicanálise é uma ciência natural? Seria o complexo de Édipo uma lei? Buscamos responder estas perguntas fazendo a diferenciação do que viria a ser </w:t>
      </w:r>
      <w:r w:rsidDel="00000000" w:rsidR="00000000" w:rsidRPr="00000000">
        <w:rPr>
          <w:rFonts w:ascii="Times New Roman" w:cs="Times New Roman" w:eastAsia="Times New Roman" w:hAnsi="Times New Roman"/>
          <w:i w:val="1"/>
          <w:highlight w:val="white"/>
          <w:rtl w:val="0"/>
        </w:rPr>
        <w:t xml:space="preserve">causas </w:t>
      </w:r>
      <w:r w:rsidDel="00000000" w:rsidR="00000000" w:rsidRPr="00000000">
        <w:rPr>
          <w:rFonts w:ascii="Times New Roman" w:cs="Times New Roman" w:eastAsia="Times New Roman" w:hAnsi="Times New Roman"/>
          <w:highlight w:val="white"/>
          <w:rtl w:val="0"/>
        </w:rPr>
        <w:t xml:space="preserve">e </w:t>
      </w:r>
      <w:r w:rsidDel="00000000" w:rsidR="00000000" w:rsidRPr="00000000">
        <w:rPr>
          <w:rFonts w:ascii="Times New Roman" w:cs="Times New Roman" w:eastAsia="Times New Roman" w:hAnsi="Times New Roman"/>
          <w:i w:val="1"/>
          <w:highlight w:val="white"/>
          <w:rtl w:val="0"/>
        </w:rPr>
        <w:t xml:space="preserve">razões </w:t>
      </w:r>
      <w:r w:rsidDel="00000000" w:rsidR="00000000" w:rsidRPr="00000000">
        <w:rPr>
          <w:rFonts w:ascii="Times New Roman" w:cs="Times New Roman" w:eastAsia="Times New Roman" w:hAnsi="Times New Roman"/>
          <w:highlight w:val="white"/>
          <w:rtl w:val="0"/>
        </w:rPr>
        <w:t xml:space="preserve">no âmbito científico. Ambos os conceitos delimitam o estatuto </w:t>
      </w:r>
      <w:r w:rsidDel="00000000" w:rsidR="00000000" w:rsidRPr="00000000">
        <w:rPr>
          <w:rFonts w:ascii="Times New Roman" w:cs="Times New Roman" w:eastAsia="Times New Roman" w:hAnsi="Times New Roman"/>
          <w:i w:val="1"/>
          <w:highlight w:val="white"/>
          <w:rtl w:val="0"/>
        </w:rPr>
        <w:t xml:space="preserve">científico</w:t>
      </w:r>
      <w:r w:rsidDel="00000000" w:rsidR="00000000" w:rsidRPr="00000000">
        <w:rPr>
          <w:rFonts w:ascii="Times New Roman" w:cs="Times New Roman" w:eastAsia="Times New Roman" w:hAnsi="Times New Roman"/>
          <w:highlight w:val="white"/>
          <w:rtl w:val="0"/>
        </w:rPr>
        <w:t xml:space="preserve"> da ciência Física diferindo-o daquele referente à psicanálise. Mas estaria Freud deixando de seguir uma </w:t>
      </w:r>
      <w:r w:rsidDel="00000000" w:rsidR="00000000" w:rsidRPr="00000000">
        <w:rPr>
          <w:rFonts w:ascii="Times New Roman" w:cs="Times New Roman" w:eastAsia="Times New Roman" w:hAnsi="Times New Roman"/>
          <w:i w:val="1"/>
          <w:highlight w:val="white"/>
          <w:rtl w:val="0"/>
        </w:rPr>
        <w:t xml:space="preserve">epistemologia </w:t>
      </w:r>
      <w:r w:rsidDel="00000000" w:rsidR="00000000" w:rsidRPr="00000000">
        <w:rPr>
          <w:rFonts w:ascii="Times New Roman" w:cs="Times New Roman" w:eastAsia="Times New Roman" w:hAnsi="Times New Roman"/>
          <w:highlight w:val="white"/>
          <w:rtl w:val="0"/>
        </w:rPr>
        <w:t xml:space="preserve">científica? São dois os filósofos que nos ajudarão a responder esta pergunta: Kant e Ernest Mach. Veremos qual é modo de Freud conceituar a sua metapsicologia, e concluiremos, inclusive, proximidades da conceituação freudiana com aquela desenvolvida por Newton.</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before="0" w:line="360" w:lineRule="auto"/>
        <w:ind w:left="0"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Palavras-chave</w:t>
      </w:r>
      <w:r w:rsidDel="00000000" w:rsidR="00000000" w:rsidRPr="00000000">
        <w:rPr>
          <w:rFonts w:ascii="Times New Roman" w:cs="Times New Roman" w:eastAsia="Times New Roman" w:hAnsi="Times New Roman"/>
          <w:highlight w:val="white"/>
          <w:rtl w:val="0"/>
        </w:rPr>
        <w:t xml:space="preserve">: Ciência, física, psicanálise.</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before="0" w:line="360" w:lineRule="auto"/>
        <w:ind w:left="0" w:firstLine="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before="0" w:line="360" w:lineRule="auto"/>
        <w:ind w:left="0" w:firstLine="0"/>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Abstract</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before="0" w:line="240" w:lineRule="auto"/>
        <w:ind w:left="0"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How to characterize a natural science? Is psychoanalysis a natural science? Was the Oedipus complex a law? We seek answering questions by making a differentiation of the </w:t>
      </w:r>
      <w:r w:rsidDel="00000000" w:rsidR="00000000" w:rsidRPr="00000000">
        <w:rPr>
          <w:rFonts w:ascii="Times New Roman" w:cs="Times New Roman" w:eastAsia="Times New Roman" w:hAnsi="Times New Roman"/>
          <w:i w:val="1"/>
          <w:highlight w:val="white"/>
          <w:rtl w:val="0"/>
        </w:rPr>
        <w:t xml:space="preserve">causes</w:t>
      </w:r>
      <w:r w:rsidDel="00000000" w:rsidR="00000000" w:rsidRPr="00000000">
        <w:rPr>
          <w:rFonts w:ascii="Times New Roman" w:cs="Times New Roman" w:eastAsia="Times New Roman" w:hAnsi="Times New Roman"/>
          <w:highlight w:val="white"/>
          <w:rtl w:val="0"/>
        </w:rPr>
        <w:t xml:space="preserve"> and </w:t>
      </w:r>
      <w:r w:rsidDel="00000000" w:rsidR="00000000" w:rsidRPr="00000000">
        <w:rPr>
          <w:rFonts w:ascii="Times New Roman" w:cs="Times New Roman" w:eastAsia="Times New Roman" w:hAnsi="Times New Roman"/>
          <w:i w:val="1"/>
          <w:highlight w:val="white"/>
          <w:rtl w:val="0"/>
        </w:rPr>
        <w:t xml:space="preserve">reasons</w:t>
      </w:r>
      <w:r w:rsidDel="00000000" w:rsidR="00000000" w:rsidRPr="00000000">
        <w:rPr>
          <w:rFonts w:ascii="Times New Roman" w:cs="Times New Roman" w:eastAsia="Times New Roman" w:hAnsi="Times New Roman"/>
          <w:highlight w:val="white"/>
          <w:rtl w:val="0"/>
        </w:rPr>
        <w:t xml:space="preserve"> in the scientific sphere. Both concepts delimit the </w:t>
      </w:r>
      <w:r w:rsidDel="00000000" w:rsidR="00000000" w:rsidRPr="00000000">
        <w:rPr>
          <w:rFonts w:ascii="Times New Roman" w:cs="Times New Roman" w:eastAsia="Times New Roman" w:hAnsi="Times New Roman"/>
          <w:i w:val="1"/>
          <w:highlight w:val="white"/>
          <w:rtl w:val="0"/>
        </w:rPr>
        <w:t xml:space="preserve">scientific</w:t>
      </w:r>
      <w:r w:rsidDel="00000000" w:rsidR="00000000" w:rsidRPr="00000000">
        <w:rPr>
          <w:rFonts w:ascii="Times New Roman" w:cs="Times New Roman" w:eastAsia="Times New Roman" w:hAnsi="Times New Roman"/>
          <w:highlight w:val="white"/>
          <w:rtl w:val="0"/>
        </w:rPr>
        <w:t xml:space="preserve"> status of Physical science differing it in that referring to the psychoanalysis. But is Freud absent from following a scientific </w:t>
      </w:r>
      <w:r w:rsidDel="00000000" w:rsidR="00000000" w:rsidRPr="00000000">
        <w:rPr>
          <w:rFonts w:ascii="Times New Roman" w:cs="Times New Roman" w:eastAsia="Times New Roman" w:hAnsi="Times New Roman"/>
          <w:i w:val="1"/>
          <w:highlight w:val="white"/>
          <w:rtl w:val="0"/>
        </w:rPr>
        <w:t xml:space="preserve">epistemology</w:t>
      </w:r>
      <w:r w:rsidDel="00000000" w:rsidR="00000000" w:rsidRPr="00000000">
        <w:rPr>
          <w:rFonts w:ascii="Times New Roman" w:cs="Times New Roman" w:eastAsia="Times New Roman" w:hAnsi="Times New Roman"/>
          <w:highlight w:val="white"/>
          <w:rtl w:val="0"/>
        </w:rPr>
        <w:t xml:space="preserve">? There are two philosophers who help us to answer this question: Kant and Ernest Mach. We shall see which is Freud's conceptualization of his metapsychology, and we will conclude, including, some similarities from freudian conceptualization with that developed by Newton.</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before="0" w:line="360" w:lineRule="auto"/>
        <w:ind w:left="0"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Keywords</w:t>
      </w:r>
      <w:r w:rsidDel="00000000" w:rsidR="00000000" w:rsidRPr="00000000">
        <w:rPr>
          <w:rFonts w:ascii="Times New Roman" w:cs="Times New Roman" w:eastAsia="Times New Roman" w:hAnsi="Times New Roman"/>
          <w:highlight w:val="white"/>
          <w:rtl w:val="0"/>
        </w:rPr>
        <w:t xml:space="preserve">: Science, physics, psychoanalysis.</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before="0" w:line="360" w:lineRule="auto"/>
        <w:ind w:firstLine="72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before="0" w:line="360" w:lineRule="auto"/>
        <w:ind w:firstLine="72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before="0" w:line="360" w:lineRule="auto"/>
        <w:ind w:firstLine="72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before="0" w:line="360" w:lineRule="auto"/>
        <w:ind w:firstLine="72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before="0" w:line="360" w:lineRule="auto"/>
        <w:ind w:firstLine="72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before="0" w:line="360" w:lineRule="auto"/>
        <w:ind w:firstLine="72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before="0" w:line="360" w:lineRule="auto"/>
        <w:ind w:firstLine="72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before="0" w:line="360" w:lineRule="auto"/>
        <w:ind w:firstLine="72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before="0" w:line="360" w:lineRule="auto"/>
        <w:ind w:firstLine="72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before="0" w:line="360" w:lineRule="auto"/>
        <w:ind w:firstLine="72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before="0" w:line="360" w:lineRule="auto"/>
        <w:ind w:firstLine="72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before="0" w:line="360" w:lineRule="auto"/>
        <w:ind w:firstLine="72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before="0" w:line="360" w:lineRule="auto"/>
        <w:ind w:firstLine="72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before="0" w:line="360" w:lineRule="auto"/>
        <w:ind w:firstLine="72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before="0" w:line="360" w:lineRule="auto"/>
        <w:ind w:firstLine="72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before="0" w:line="360" w:lineRule="auto"/>
        <w:ind w:left="0" w:firstLine="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before="0" w:line="360" w:lineRule="auto"/>
        <w:ind w:left="0" w:firstLine="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color w:val="000000"/>
          <w:highlight w:val="white"/>
          <w:rtl w:val="0"/>
        </w:rPr>
        <w:t xml:space="preserve">A psicanálise não é uma ciência natural, pois ela não possui tal estatuto. O que queremos significar com isso é que, quando pensa-se em uma ciência, tem-se, em geral, por modelo ideal o da Física. Portanto, pensa-se em uma disciplina que, enquanto ciência, é capaz de dar provas e realizar demonstrações das suas descobertas, sendo estas preditivas e reproduzíveis. Uma ciência pensada dessa forma tem seus fundamentos baseados em leis e causas, o que permite que os experimentos tenham resultados determinados, assim como uma certa garantia de preditibilidade</w:t>
      </w:r>
      <w:r w:rsidDel="00000000" w:rsidR="00000000" w:rsidRPr="00000000">
        <w:rPr>
          <w:rFonts w:ascii="Times New Roman" w:cs="Times New Roman" w:eastAsia="Times New Roman" w:hAnsi="Times New Roman"/>
          <w:color w:val="000000"/>
          <w:highlight w:val="white"/>
          <w:vertAlign w:val="superscript"/>
        </w:rPr>
        <w:footnoteReference w:customMarkFollows="0" w:id="0"/>
      </w:r>
      <w:r w:rsidDel="00000000" w:rsidR="00000000" w:rsidRPr="00000000">
        <w:rPr>
          <w:rFonts w:ascii="Times New Roman" w:cs="Times New Roman" w:eastAsia="Times New Roman" w:hAnsi="Times New Roman"/>
          <w:color w:val="000000"/>
          <w:highlight w:val="white"/>
          <w:rtl w:val="0"/>
        </w:rPr>
        <w:t xml:space="preserve">.</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before="0" w:line="360" w:lineRule="auto"/>
        <w:ind w:firstLine="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Quando lidamos</w:t>
      </w:r>
      <w:r w:rsidDel="00000000" w:rsidR="00000000" w:rsidRPr="00000000">
        <w:rPr>
          <w:rtl w:val="0"/>
        </w:rPr>
        <w:t xml:space="preserve"> </w:t>
      </w:r>
      <w:r w:rsidDel="00000000" w:rsidR="00000000" w:rsidRPr="00000000">
        <w:rPr>
          <w:rFonts w:ascii="Times New Roman" w:cs="Times New Roman" w:eastAsia="Times New Roman" w:hAnsi="Times New Roman"/>
          <w:highlight w:val="white"/>
          <w:rtl w:val="0"/>
        </w:rPr>
        <w:t xml:space="preserve">com psicologia e psicanálise, encontramos-nos no limiar entre uma aparente cientificidade e uma realidade encoberta por uma linguagem científica inconsistente. Isso porque ambas as disciplinas (psicologia e psicanálise) tentam se comportar como se fossem uma ciência, adotando como modelo, a Física.</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before="0" w:line="360" w:lineRule="auto"/>
        <w:ind w:firstLine="720"/>
        <w:jc w:val="both"/>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Quando lidamos</w:t>
      </w:r>
      <w:r w:rsidDel="00000000" w:rsidR="00000000" w:rsidRPr="00000000">
        <w:rPr>
          <w:rtl w:val="0"/>
        </w:rPr>
        <w:t xml:space="preserve"> </w:t>
      </w:r>
      <w:r w:rsidDel="00000000" w:rsidR="00000000" w:rsidRPr="00000000">
        <w:rPr>
          <w:rFonts w:ascii="Times New Roman" w:cs="Times New Roman" w:eastAsia="Times New Roman" w:hAnsi="Times New Roman"/>
          <w:color w:val="000000"/>
          <w:highlight w:val="white"/>
          <w:rtl w:val="0"/>
        </w:rPr>
        <w:t xml:space="preserve">com psicologia e psicanálise, encontramos-nos no limiar entre uma aparente cientificidade e uma realidade encoberta por uma linguagem científica inconsistente. Isso porque ambas as disciplinas (psicologia e psicanálise) tentam se comportar como se fossem uma ciência, adotando como modelo, a Física.</w:t>
      </w:r>
    </w:p>
    <w:p w:rsidR="00000000" w:rsidDel="00000000" w:rsidP="00000000" w:rsidRDefault="00000000" w:rsidRPr="00000000" w14:paraId="0000003B">
      <w:pPr>
        <w:spacing w:after="0" w:before="0" w:lineRule="auto"/>
        <w:ind w:left="2267" w:right="16" w:firstLine="0.7165354330703622"/>
        <w:jc w:val="both"/>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3C">
      <w:pPr>
        <w:spacing w:after="0" w:before="0" w:lineRule="auto"/>
        <w:ind w:left="2267" w:right="16" w:firstLine="0.7165354330703622"/>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Quando estudamos Psicologia, talvez sintamos que há algo de insatisfatório, uma certa dificuldade no concernente a toda a matéria ou estudo - porque tomamos a Física como nossa ciência ideal.</w:t>
      </w:r>
      <w:r w:rsidDel="00000000" w:rsidR="00000000" w:rsidRPr="00000000">
        <w:rPr>
          <w:rFonts w:ascii="Times New Roman" w:cs="Times New Roman" w:eastAsia="Times New Roman" w:hAnsi="Times New Roman"/>
          <w:sz w:val="22"/>
          <w:szCs w:val="22"/>
          <w:highlight w:val="white"/>
          <w:vertAlign w:val="superscript"/>
        </w:rPr>
        <w:footnoteReference w:customMarkFollows="0" w:id="1"/>
      </w:r>
      <w:r w:rsidDel="00000000" w:rsidR="00000000" w:rsidRPr="00000000">
        <w:rPr>
          <w:rtl w:val="0"/>
        </w:rPr>
      </w:r>
    </w:p>
    <w:p w:rsidR="00000000" w:rsidDel="00000000" w:rsidP="00000000" w:rsidRDefault="00000000" w:rsidRPr="00000000" w14:paraId="0000003D">
      <w:pPr>
        <w:spacing w:after="0" w:before="0" w:lineRule="auto"/>
        <w:ind w:left="2267" w:right="16" w:firstLine="0.7165354330703622"/>
        <w:jc w:val="both"/>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3E">
      <w:pPr>
        <w:spacing w:after="0" w:before="0" w:lineRule="auto"/>
        <w:ind w:left="2267" w:right="16" w:firstLine="0.7165354330703622"/>
        <w:jc w:val="both"/>
        <w:rPr>
          <w:rFonts w:ascii="Times New Roman" w:cs="Times New Roman" w:eastAsia="Times New Roman" w:hAnsi="Times New Roman"/>
          <w:sz w:val="22"/>
          <w:szCs w:val="22"/>
          <w:highlight w:val="white"/>
          <w:vertAlign w:val="subscript"/>
        </w:rPr>
      </w:pPr>
      <w:r w:rsidDel="00000000" w:rsidR="00000000" w:rsidRPr="00000000">
        <w:rPr>
          <w:rFonts w:ascii="Times New Roman" w:cs="Times New Roman" w:eastAsia="Times New Roman" w:hAnsi="Times New Roman"/>
          <w:sz w:val="22"/>
          <w:szCs w:val="22"/>
          <w:highlight w:val="white"/>
          <w:rtl w:val="0"/>
        </w:rPr>
        <w:t xml:space="preserve">Ou suponhamos que queiramos falar da causalidade no processo das sensações. “O determinismo se aplica à mente com tanta exatidão quanto às coisas físicas”. Tal afirmativa é obscura, porque quando pensamos em leis causais em Física, pensamos em experimentos. Não temos nada que se assemelhe a isso no tocante a sensações e motivação. E, no entanto, os psicólogos, desejam dizer: “Deve haver uma lei”, muito embora lei alguma tenha sido encontrada.</w:t>
      </w:r>
      <w:r w:rsidDel="00000000" w:rsidR="00000000" w:rsidRPr="00000000">
        <w:rPr>
          <w:rFonts w:ascii="Times New Roman" w:cs="Times New Roman" w:eastAsia="Times New Roman" w:hAnsi="Times New Roman"/>
          <w:sz w:val="22"/>
          <w:szCs w:val="22"/>
          <w:highlight w:val="white"/>
          <w:vertAlign w:val="superscript"/>
        </w:rPr>
        <w:footnoteReference w:customMarkFollows="0" w:id="2"/>
      </w:r>
      <w:r w:rsidDel="00000000" w:rsidR="00000000" w:rsidRPr="00000000">
        <w:rPr>
          <w:rtl w:val="0"/>
        </w:rPr>
      </w:r>
    </w:p>
    <w:p w:rsidR="00000000" w:rsidDel="00000000" w:rsidP="00000000" w:rsidRDefault="00000000" w:rsidRPr="00000000" w14:paraId="0000003F">
      <w:pPr>
        <w:spacing w:after="0" w:before="0" w:line="240" w:lineRule="auto"/>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highlight w:val="white"/>
          <w:rtl w:val="0"/>
        </w:rPr>
        <w:t xml:space="preserve"> </w:t>
        <w:tab/>
      </w:r>
      <w:r w:rsidDel="00000000" w:rsidR="00000000" w:rsidRPr="00000000">
        <w:rPr>
          <w:rtl w:val="0"/>
        </w:rPr>
      </w:r>
    </w:p>
    <w:p w:rsidR="00000000" w:rsidDel="00000000" w:rsidP="00000000" w:rsidRDefault="00000000" w:rsidRPr="00000000" w14:paraId="00000040">
      <w:pPr>
        <w:spacing w:after="0" w:before="0" w:line="360" w:lineRule="auto"/>
        <w:ind w:firstLine="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É essa insistência por parte dos psicólogos que, parece-nos, levou Freud a se comportar da mesma maneira, levando-o a procurar leis, causas e regras que explicassem o funcionamento da mente humana, entendendo-a como um mecanismo capaz de ser compreendido em suas diferentes instâncias psíquicas, e oferecendo dados empíricos que possibilitassem suas "conclusões científicas". Essa pretensão à cientificidade encontra-se, não só literalmente expressa em suas obras, mas também no modo como durante um bom tempo construiu suas teorias; algo que já está muito bem demarcado em uma de suas primeiras tentativas de construir tal ciência.</w:t>
      </w:r>
    </w:p>
    <w:p w:rsidR="00000000" w:rsidDel="00000000" w:rsidP="00000000" w:rsidRDefault="00000000" w:rsidRPr="00000000" w14:paraId="00000041">
      <w:pPr>
        <w:spacing w:after="0" w:before="0" w:lineRule="auto"/>
        <w:ind w:left="2267" w:right="16" w:firstLine="0.7165354330703622"/>
        <w:jc w:val="both"/>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42">
      <w:pPr>
        <w:spacing w:after="0" w:before="0" w:lineRule="auto"/>
        <w:ind w:left="2267" w:right="16" w:firstLine="0.7165354330703622"/>
        <w:jc w:val="both"/>
        <w:rPr>
          <w:rFonts w:ascii="Times New Roman" w:cs="Times New Roman" w:eastAsia="Times New Roman" w:hAnsi="Times New Roman"/>
          <w:i w:val="1"/>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A intenção é prover uma psicologia que seja ciência natural [</w:t>
      </w:r>
      <w:r w:rsidDel="00000000" w:rsidR="00000000" w:rsidRPr="00000000">
        <w:rPr>
          <w:rFonts w:ascii="Times New Roman" w:cs="Times New Roman" w:eastAsia="Times New Roman" w:hAnsi="Times New Roman"/>
          <w:i w:val="1"/>
          <w:sz w:val="22"/>
          <w:szCs w:val="22"/>
          <w:highlight w:val="white"/>
          <w:rtl w:val="0"/>
        </w:rPr>
        <w:t xml:space="preserve">Naturwissenschaft</w:t>
      </w:r>
      <w:r w:rsidDel="00000000" w:rsidR="00000000" w:rsidRPr="00000000">
        <w:rPr>
          <w:rFonts w:ascii="Times New Roman" w:cs="Times New Roman" w:eastAsia="Times New Roman" w:hAnsi="Times New Roman"/>
          <w:sz w:val="22"/>
          <w:szCs w:val="22"/>
          <w:highlight w:val="white"/>
          <w:rtl w:val="0"/>
        </w:rPr>
        <w:t xml:space="preserve">], isto é, representar os processos psíquicos como estudos quantitativamente determinados de partículas materiais especificáveis, tornando assim esses processos claros e livres de contradição.</w:t>
      </w:r>
      <w:r w:rsidDel="00000000" w:rsidR="00000000" w:rsidRPr="00000000">
        <w:rPr>
          <w:rFonts w:ascii="Times New Roman" w:cs="Times New Roman" w:eastAsia="Times New Roman" w:hAnsi="Times New Roman"/>
          <w:i w:val="1"/>
          <w:sz w:val="22"/>
          <w:szCs w:val="22"/>
          <w:highlight w:val="white"/>
          <w:vertAlign w:val="superscript"/>
        </w:rPr>
        <w:footnoteReference w:customMarkFollows="0" w:id="3"/>
      </w:r>
      <w:r w:rsidDel="00000000" w:rsidR="00000000" w:rsidRPr="00000000">
        <w:rPr>
          <w:rtl w:val="0"/>
        </w:rPr>
      </w:r>
    </w:p>
    <w:p w:rsidR="00000000" w:rsidDel="00000000" w:rsidP="00000000" w:rsidRDefault="00000000" w:rsidRPr="00000000" w14:paraId="00000043">
      <w:pPr>
        <w:spacing w:after="0" w:before="0" w:line="240" w:lineRule="auto"/>
        <w:ind w:firstLine="720"/>
        <w:jc w:val="both"/>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44">
      <w:pPr>
        <w:spacing w:after="0" w:before="0" w:line="360" w:lineRule="auto"/>
        <w:ind w:firstLine="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Para ilustrarmos melhor nossas afirmações, poderíamos tomar a questão da universalidade do complexo de Édipo. Levando em conta algumas considerações epistemológicas, revelar-se-nos-á ser incongruente considerar tal universalidade.</w:t>
      </w:r>
    </w:p>
    <w:p w:rsidR="00000000" w:rsidDel="00000000" w:rsidP="00000000" w:rsidRDefault="00000000" w:rsidRPr="00000000" w14:paraId="00000045">
      <w:pPr>
        <w:spacing w:after="0" w:before="0" w:line="36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ab/>
        <w:t xml:space="preserve">O complexo de Édipo só poderia ser considerado como universal se representasse uma lei, sendo aqui lei entendida como princípio fundamental da ciência natural que, assim como o conceito de causa, deve determinar uma constância possível de ser observada entre fenômenos ou comportamentos, assim como deve ser preditiva. Logo, não sendo esse complexo uma lei, ele está preso a uma teleologia que nos leva a pensar em ações humanas explicadas pela razão. Não se deve crer que essa resposta seja simplesmente formulada por negação ou exclusão em relação à primeira questão. Deve-se notar, sim, que a própria obra freudiana nos oferece condições para observar essa incongruência entre alguns conceitos, como o das pulsões em </w:t>
      </w:r>
      <w:r w:rsidDel="00000000" w:rsidR="00000000" w:rsidRPr="00000000">
        <w:rPr>
          <w:rFonts w:ascii="Times New Roman" w:cs="Times New Roman" w:eastAsia="Times New Roman" w:hAnsi="Times New Roman"/>
          <w:i w:val="1"/>
          <w:highlight w:val="white"/>
          <w:rtl w:val="0"/>
        </w:rPr>
        <w:t xml:space="preserve">Além do Princípio de Prazer</w:t>
      </w:r>
      <w:r w:rsidDel="00000000" w:rsidR="00000000" w:rsidRPr="00000000">
        <w:rPr>
          <w:rFonts w:ascii="Times New Roman" w:cs="Times New Roman" w:eastAsia="Times New Roman" w:hAnsi="Times New Roman"/>
          <w:highlight w:val="white"/>
          <w:rtl w:val="0"/>
        </w:rPr>
        <w:t xml:space="preserve">.</w:t>
      </w:r>
    </w:p>
    <w:p w:rsidR="00000000" w:rsidDel="00000000" w:rsidP="00000000" w:rsidRDefault="00000000" w:rsidRPr="00000000" w14:paraId="00000046">
      <w:pPr>
        <w:spacing w:after="0" w:before="0" w:line="36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ab/>
        <w:t xml:space="preserve">Torna-se necessário, também, tentar esclarecer, antes de investigarmos as afirmações de Freud em relação à universalidade do complexo de Édipo, o que se entende por lei, causa, razão e regras. Pois, estas distinções, principalmente no tocante à causa e razão, serão importantes no momento em que ensaiarmos explicar que a psicanálise não possui o estatuto de uma ciência, por estar fundamentada sobre razões e não sobre causas.</w:t>
      </w:r>
    </w:p>
    <w:p w:rsidR="00000000" w:rsidDel="00000000" w:rsidP="00000000" w:rsidRDefault="00000000" w:rsidRPr="00000000" w14:paraId="00000047">
      <w:pPr>
        <w:spacing w:after="0" w:before="0" w:line="36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ab/>
        <w:t xml:space="preserve">Entendemos “lei” como relações constantes entre fenômenos, com características universais e necessárias que, por isso mesmo, não são circunstanciais. São regularidades observadas em um fenômeno que nos permitem que sejam sintetizadas, podendo, a partir de certos fatores e de certas condições dadas, predizer o que acontecerá diante das mesmas condições no futuro. Isto significa que as leis “fornecem a ligação que permite explicar pelas circunstâncias particulares a ocorrência de um acontecimento dado. Em outros termos, significa que, quando e onde se esteja, se as condições de determinado elemento F são reunidas, então da mesma maneira, sempre e sem exceção, as condições de um outro elemento G serão igualmente reunidas”</w:t>
      </w:r>
      <w:r w:rsidDel="00000000" w:rsidR="00000000" w:rsidRPr="00000000">
        <w:rPr>
          <w:rFonts w:ascii="Times New Roman" w:cs="Times New Roman" w:eastAsia="Times New Roman" w:hAnsi="Times New Roman"/>
          <w:highlight w:val="white"/>
          <w:vertAlign w:val="superscript"/>
        </w:rPr>
        <w:footnoteReference w:customMarkFollows="0" w:id="4"/>
      </w:r>
      <w:r w:rsidDel="00000000" w:rsidR="00000000" w:rsidRPr="00000000">
        <w:rPr>
          <w:rtl w:val="0"/>
        </w:rPr>
      </w:r>
    </w:p>
    <w:p w:rsidR="00000000" w:rsidDel="00000000" w:rsidP="00000000" w:rsidRDefault="00000000" w:rsidRPr="00000000" w14:paraId="00000048">
      <w:pPr>
        <w:spacing w:after="0" w:before="0" w:line="360" w:lineRule="auto"/>
        <w:ind w:firstLine="708"/>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Utilizaremo-nos de algumas das distinções realizadas, com respeito aos conceitos de causa e razão, por L. Beck (1975) em seu livro intitulado </w:t>
      </w:r>
      <w:r w:rsidDel="00000000" w:rsidR="00000000" w:rsidRPr="00000000">
        <w:rPr>
          <w:rFonts w:ascii="Times New Roman" w:cs="Times New Roman" w:eastAsia="Times New Roman" w:hAnsi="Times New Roman"/>
          <w:i w:val="1"/>
          <w:highlight w:val="white"/>
          <w:rtl w:val="0"/>
        </w:rPr>
        <w:t xml:space="preserve">The Actor and the Spectator: Foundations of the Theory of Human Action</w:t>
      </w:r>
      <w:r w:rsidDel="00000000" w:rsidR="00000000" w:rsidRPr="00000000">
        <w:rPr>
          <w:rFonts w:ascii="Times New Roman" w:cs="Times New Roman" w:eastAsia="Times New Roman" w:hAnsi="Times New Roman"/>
          <w:highlight w:val="white"/>
          <w:rtl w:val="0"/>
        </w:rPr>
        <w:t xml:space="preserve">. Vejamos o que, segundo Beck, os filósofos consideram como causa e razão.</w:t>
      </w:r>
    </w:p>
    <w:p w:rsidR="00000000" w:rsidDel="00000000" w:rsidP="00000000" w:rsidRDefault="00000000" w:rsidRPr="00000000" w14:paraId="00000049">
      <w:pPr>
        <w:spacing w:after="0" w:before="0" w:lineRule="auto"/>
        <w:ind w:left="2267" w:right="16" w:firstLine="0.7165354330703622"/>
        <w:jc w:val="both"/>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4A">
      <w:pPr>
        <w:spacing w:after="0" w:before="0" w:lineRule="auto"/>
        <w:ind w:left="2267" w:right="16" w:firstLine="0.7165354330703622"/>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 recentemente os filósofos preferem usar causa para dar explicações de mudanças em objetos físicos, incluindo eventos comportamentais em corpos vivos; e usam razões para explicações das ações das pessoas (...)”</w:t>
      </w:r>
      <w:r w:rsidDel="00000000" w:rsidR="00000000" w:rsidRPr="00000000">
        <w:rPr>
          <w:rFonts w:ascii="Times New Roman" w:cs="Times New Roman" w:eastAsia="Times New Roman" w:hAnsi="Times New Roman"/>
          <w:sz w:val="22"/>
          <w:szCs w:val="22"/>
          <w:highlight w:val="white"/>
          <w:vertAlign w:val="superscript"/>
        </w:rPr>
        <w:footnoteReference w:customMarkFollows="0" w:id="5"/>
      </w:r>
      <w:r w:rsidDel="00000000" w:rsidR="00000000" w:rsidRPr="00000000">
        <w:rPr>
          <w:rFonts w:ascii="Times New Roman" w:cs="Times New Roman" w:eastAsia="Times New Roman" w:hAnsi="Times New Roman"/>
          <w:sz w:val="22"/>
          <w:szCs w:val="22"/>
          <w:highlight w:val="white"/>
          <w:vertAlign w:val="superscript"/>
          <w:rtl w:val="0"/>
        </w:rPr>
        <w:t xml:space="preserve">*</w:t>
      </w:r>
      <w:r w:rsidDel="00000000" w:rsidR="00000000" w:rsidRPr="00000000">
        <w:rPr>
          <w:rFonts w:ascii="Times New Roman" w:cs="Times New Roman" w:eastAsia="Times New Roman" w:hAnsi="Times New Roman"/>
          <w:sz w:val="22"/>
          <w:szCs w:val="22"/>
          <w:highlight w:val="white"/>
          <w:rtl w:val="0"/>
        </w:rPr>
        <w:t xml:space="preserve"> </w:t>
      </w:r>
      <w:r w:rsidDel="00000000" w:rsidR="00000000" w:rsidRPr="00000000">
        <w:rPr>
          <w:rFonts w:ascii="Times New Roman" w:cs="Times New Roman" w:eastAsia="Times New Roman" w:hAnsi="Times New Roman"/>
          <w:sz w:val="22"/>
          <w:szCs w:val="22"/>
          <w:highlight w:val="white"/>
          <w:vertAlign w:val="superscript"/>
        </w:rPr>
        <w:footnoteReference w:customMarkFollows="0" w:id="6"/>
      </w:r>
      <w:r w:rsidDel="00000000" w:rsidR="00000000" w:rsidRPr="00000000">
        <w:rPr>
          <w:rFonts w:ascii="Times New Roman" w:cs="Times New Roman" w:eastAsia="Times New Roman" w:hAnsi="Times New Roman"/>
          <w:sz w:val="22"/>
          <w:szCs w:val="22"/>
          <w:highlight w:val="white"/>
          <w:rtl w:val="0"/>
        </w:rPr>
        <w:t xml:space="preserve"> </w:t>
      </w:r>
    </w:p>
    <w:p w:rsidR="00000000" w:rsidDel="00000000" w:rsidP="00000000" w:rsidRDefault="00000000" w:rsidRPr="00000000" w14:paraId="0000004B">
      <w:pPr>
        <w:spacing w:after="0" w:before="0" w:line="240" w:lineRule="auto"/>
        <w:ind w:firstLine="720"/>
        <w:jc w:val="both"/>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4C">
      <w:pPr>
        <w:spacing w:after="0" w:before="0" w:line="360" w:lineRule="auto"/>
        <w:ind w:firstLine="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Diz-se que um evento é causa de um outro quando é possível identificá-lo e explicá-lo, independentemente de sua identificação com um outro evento ou estado; e, ainda, da independência do conhecimento de que o primeiro evento ou estado é causa do segundo. A preditibilidade não chega a ser uma certeza, sendo, portanto, probabilidade. No entanto, ela é condição de necessidade para toda explicação que se diz científica. (cf. Beck, L. W., 1975, p. 74)</w:t>
      </w:r>
    </w:p>
    <w:p w:rsidR="00000000" w:rsidDel="00000000" w:rsidP="00000000" w:rsidRDefault="00000000" w:rsidRPr="00000000" w14:paraId="0000004D">
      <w:pPr>
        <w:spacing w:after="0" w:before="0" w:lineRule="auto"/>
        <w:ind w:left="2267" w:right="16" w:firstLine="0.7165354330703622"/>
        <w:jc w:val="both"/>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4E">
      <w:pPr>
        <w:spacing w:after="0" w:before="0" w:lineRule="auto"/>
        <w:ind w:left="2267" w:right="16" w:firstLine="0.7165354330703622"/>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Todas as explanações científicas que explicam tipos específicos de eventos, recorrendo a uma lei causal ou funcional da natureza, vão ao encontro dessas condições, e é, no mínimo, esperado que todo evento singular que é explicado causalmente seja assumido como uma lei universal que o abrigue.</w:t>
      </w:r>
      <w:r w:rsidDel="00000000" w:rsidR="00000000" w:rsidRPr="00000000">
        <w:rPr>
          <w:rFonts w:ascii="Times New Roman" w:cs="Times New Roman" w:eastAsia="Times New Roman" w:hAnsi="Times New Roman"/>
          <w:sz w:val="22"/>
          <w:szCs w:val="22"/>
          <w:highlight w:val="white"/>
          <w:vertAlign w:val="superscript"/>
        </w:rPr>
        <w:footnoteReference w:customMarkFollows="0" w:id="7"/>
      </w:r>
      <w:r w:rsidDel="00000000" w:rsidR="00000000" w:rsidRPr="00000000">
        <w:rPr>
          <w:rtl w:val="0"/>
        </w:rPr>
      </w:r>
    </w:p>
    <w:p w:rsidR="00000000" w:rsidDel="00000000" w:rsidP="00000000" w:rsidRDefault="00000000" w:rsidRPr="00000000" w14:paraId="0000004F">
      <w:pPr>
        <w:spacing w:after="0" w:before="0" w:line="240" w:lineRule="auto"/>
        <w:ind w:firstLine="720"/>
        <w:jc w:val="both"/>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50">
      <w:pPr>
        <w:spacing w:after="0" w:before="0" w:line="360" w:lineRule="auto"/>
        <w:ind w:firstLine="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Apesar das ações humanas ou das razões dessas ações poderem ser presumíveis, elas não estão sob o escopo de uma lei. O que vai diferenciar causa de razão é o ponto de vista assumido por cada espectador na descrição de um evento, ou seja: se o espectador relata o evento a partir de conhecimentos e treinamento científicos específicos para fazer sua descrição, ou se ele justifica o evento a partir de seu conhecimento e aprendizado humano. A distinção entre um conceito e o outro leva à evidência de que nas explicações causais, há uma independência reconhecível entre os eventos imediatos ou futuros, enquanto que, ao contrário, para as explicações pela razão, esta dependência é necessária para dar conta das ações humanas.</w:t>
      </w:r>
    </w:p>
    <w:p w:rsidR="00000000" w:rsidDel="00000000" w:rsidP="00000000" w:rsidRDefault="00000000" w:rsidRPr="00000000" w14:paraId="00000051">
      <w:pPr>
        <w:spacing w:after="0" w:before="0" w:line="360" w:lineRule="auto"/>
        <w:ind w:firstLine="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Subjacente à razão pela qual alguém fez ou deixou de fazer algo encontram-se desejos, inclinações, impulsos, aspirações etc., inteligíveis para um espectador que imputa ao agente explicações de suas ações que ele, enquanto espectador, é capaz de compreender como ações humanas inteligíveis e significativas.</w:t>
      </w:r>
    </w:p>
    <w:p w:rsidR="00000000" w:rsidDel="00000000" w:rsidP="00000000" w:rsidRDefault="00000000" w:rsidRPr="00000000" w14:paraId="00000052">
      <w:pPr>
        <w:spacing w:after="0" w:before="0" w:line="360" w:lineRule="auto"/>
        <w:ind w:firstLine="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Ambos os conceitos, o de causa e o de razão, estão determinados por regras, as quais nos permitem reconhecer uma causa como sendo causa e uma razão como sendo uma razão. A causa é reconhecida enquanto tal, na medida em que as regras nos fazem ver que o evento satisfaz propriedades formais de causas e as razões, quando observadas, são reconhecidas como um critério de seleção dos motivos que levam a uma ação que nos tornam clara sua compreensão (Beck, 1975, p. 95).</w:t>
      </w:r>
    </w:p>
    <w:p w:rsidR="00000000" w:rsidDel="00000000" w:rsidP="00000000" w:rsidRDefault="00000000" w:rsidRPr="00000000" w14:paraId="00000053">
      <w:pPr>
        <w:spacing w:after="0" w:before="0" w:line="36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ab/>
        <w:t xml:space="preserve">Acerca das regras, podemos dizer que são gerais, pois correspondem a conceitos gerais, que podem ser quebrados ou seguidos. Essas regras podem ser também apropriadas ou inapropriadas, legítimas ou ilegítimas, mas não falsas ou verdadeiras. Elas são universais na medida em que podem ser conhecidas exatamente do mesmo modo por muitas pessoas, mesmo que aplicadas para algumas coisas de uma maneira e, para outras, de maneiras diferentes (Beck, 1975, p. 96).</w:t>
      </w:r>
    </w:p>
    <w:p w:rsidR="00000000" w:rsidDel="00000000" w:rsidP="00000000" w:rsidRDefault="00000000" w:rsidRPr="00000000" w14:paraId="00000054">
      <w:pPr>
        <w:spacing w:after="0" w:before="0" w:line="36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ab/>
        <w:t xml:space="preserve">Esclarecido esses conceitos, voltemos ao caso da psicanálise. O problema da cientificidade da psicanálise também interessou a Ludwig Wittgenstein. Utilizaremo-nos, aqui, dos comentários desse filósofo e de seus discípulos, apenas como uma outra possibilidade de crítica ao estatuto científico da psicanálise a partir dos conceitos de causa e razão.</w:t>
        <w:tab/>
      </w:r>
    </w:p>
    <w:p w:rsidR="00000000" w:rsidDel="00000000" w:rsidP="00000000" w:rsidRDefault="00000000" w:rsidRPr="00000000" w14:paraId="00000055">
      <w:pPr>
        <w:spacing w:after="0" w:before="0" w:line="360" w:lineRule="auto"/>
        <w:ind w:firstLine="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Ora, é no seu intento de dar à psicanálise um </w:t>
      </w:r>
      <w:r w:rsidDel="00000000" w:rsidR="00000000" w:rsidRPr="00000000">
        <w:rPr>
          <w:rFonts w:ascii="Times New Roman" w:cs="Times New Roman" w:eastAsia="Times New Roman" w:hAnsi="Times New Roman"/>
          <w:i w:val="1"/>
          <w:highlight w:val="white"/>
          <w:rtl w:val="0"/>
        </w:rPr>
        <w:t xml:space="preserve">status</w:t>
      </w:r>
      <w:r w:rsidDel="00000000" w:rsidR="00000000" w:rsidRPr="00000000">
        <w:rPr>
          <w:rFonts w:ascii="Times New Roman" w:cs="Times New Roman" w:eastAsia="Times New Roman" w:hAnsi="Times New Roman"/>
          <w:highlight w:val="white"/>
          <w:rtl w:val="0"/>
        </w:rPr>
        <w:t xml:space="preserve"> científico que Freud, intencionalmente ou não, acabou considerando as razões para a constituição das doenças psiconeuróticas como causas, podendo, assim, universalizar alguns de seus conceitos. </w:t>
      </w:r>
    </w:p>
    <w:p w:rsidR="00000000" w:rsidDel="00000000" w:rsidP="00000000" w:rsidRDefault="00000000" w:rsidRPr="00000000" w14:paraId="00000056">
      <w:pPr>
        <w:spacing w:after="0" w:before="0" w:lineRule="auto"/>
        <w:ind w:left="2267" w:right="16" w:firstLine="0.7165354330703622"/>
        <w:jc w:val="both"/>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57">
      <w:pPr>
        <w:spacing w:after="0" w:before="0" w:lineRule="auto"/>
        <w:ind w:left="2267" w:right="16" w:firstLine="0.7165354330703622"/>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Compreendemos que eles repousariam sobre um tipo de gramaticalização da experiência, isto é, um curto-circuito entre a experiência e a “regra” – Freud falando de regras e acreditando e dizendo que fala de “causa”.</w:t>
      </w:r>
      <w:r w:rsidDel="00000000" w:rsidR="00000000" w:rsidRPr="00000000">
        <w:rPr>
          <w:rFonts w:ascii="Times New Roman" w:cs="Times New Roman" w:eastAsia="Times New Roman" w:hAnsi="Times New Roman"/>
          <w:sz w:val="22"/>
          <w:szCs w:val="22"/>
          <w:highlight w:val="white"/>
          <w:vertAlign w:val="superscript"/>
        </w:rPr>
        <w:footnoteReference w:customMarkFollows="0" w:id="8"/>
      </w:r>
      <w:r w:rsidDel="00000000" w:rsidR="00000000" w:rsidRPr="00000000">
        <w:rPr>
          <w:rtl w:val="0"/>
        </w:rPr>
      </w:r>
    </w:p>
    <w:p w:rsidR="00000000" w:rsidDel="00000000" w:rsidP="00000000" w:rsidRDefault="00000000" w:rsidRPr="00000000" w14:paraId="00000058">
      <w:pPr>
        <w:spacing w:after="0" w:before="0" w:lineRule="auto"/>
        <w:ind w:right="902"/>
        <w:jc w:val="both"/>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59">
      <w:pPr>
        <w:spacing w:after="0" w:before="0" w:lineRule="auto"/>
        <w:ind w:right="902"/>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ab/>
        <w:t xml:space="preserve">Assoun acrescenta ainda:</w:t>
      </w:r>
    </w:p>
    <w:p w:rsidR="00000000" w:rsidDel="00000000" w:rsidP="00000000" w:rsidRDefault="00000000" w:rsidRPr="00000000" w14:paraId="0000005A">
      <w:pPr>
        <w:spacing w:after="0" w:before="0" w:lineRule="auto"/>
        <w:ind w:left="2267" w:right="16" w:firstLine="0.7165354330703622"/>
        <w:jc w:val="both"/>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5B">
      <w:pPr>
        <w:spacing w:after="0" w:before="0" w:lineRule="auto"/>
        <w:ind w:left="2267" w:right="16" w:firstLine="0.7165354330703622"/>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Wittgenstein contesta em Freud um “causalismo”, uma tendência a querer encontrar a “lei” que ordena os fenômenos (psíquicos), segundo “um tipo de explicação” comum, generalizador de uma explicação unitária.</w:t>
      </w:r>
      <w:r w:rsidDel="00000000" w:rsidR="00000000" w:rsidRPr="00000000">
        <w:rPr>
          <w:rFonts w:ascii="Times New Roman" w:cs="Times New Roman" w:eastAsia="Times New Roman" w:hAnsi="Times New Roman"/>
          <w:highlight w:val="white"/>
          <w:vertAlign w:val="superscript"/>
        </w:rPr>
        <w:footnoteReference w:customMarkFollows="0" w:id="9"/>
      </w:r>
      <w:r w:rsidDel="00000000" w:rsidR="00000000" w:rsidRPr="00000000">
        <w:rPr>
          <w:rtl w:val="0"/>
        </w:rPr>
      </w:r>
    </w:p>
    <w:p w:rsidR="00000000" w:rsidDel="00000000" w:rsidP="00000000" w:rsidRDefault="00000000" w:rsidRPr="00000000" w14:paraId="0000005C">
      <w:pPr>
        <w:spacing w:after="0" w:before="0" w:line="240" w:lineRule="auto"/>
        <w:ind w:firstLine="720"/>
        <w:jc w:val="both"/>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5D">
      <w:pPr>
        <w:spacing w:after="0" w:before="0" w:line="360" w:lineRule="auto"/>
        <w:ind w:firstLine="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Assim, o que Freud parece fazer é encontrar uma série de casos clínicos exemplares, reuni-los sobre um mesmo referencial e concluir, a partir daí, universalidades. Recorremos, novamente, a Wittgenstein, através dos comentários de Assoun, para confirmar nosso ponto de vista:</w:t>
      </w:r>
    </w:p>
    <w:p w:rsidR="00000000" w:rsidDel="00000000" w:rsidP="00000000" w:rsidRDefault="00000000" w:rsidRPr="00000000" w14:paraId="0000005E">
      <w:pPr>
        <w:spacing w:after="0" w:before="0" w:lineRule="auto"/>
        <w:ind w:left="2267" w:right="16" w:firstLine="0.7165354330703622"/>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5F">
      <w:pPr>
        <w:spacing w:after="0" w:before="0" w:lineRule="auto"/>
        <w:ind w:left="2267" w:right="16" w:firstLine="0.7165354330703622"/>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O que Wittgenstein admite é que se ‘vê’ hoje elementos e relações que, antes de Freud não estavam na ordem do dia, ao alcance do olhar. Isto procede do fato de Freud ter conseguido ordenar uma ‘massa’ de fatos, e o que é mais impressionante, no caso de Freud, é a ‘enorme quantidade de fatos psíquicos que ele ordena’. É, realmente, admirável e dá legitimamente essa ‘impressão’, porém, precisa-se compreender, isto não implica que ele encontrou a causa universal desses fatos, ele só fez torná-los mais ‘evidentes’.</w:t>
      </w:r>
      <w:r w:rsidDel="00000000" w:rsidR="00000000" w:rsidRPr="00000000">
        <w:rPr>
          <w:rFonts w:ascii="Times New Roman" w:cs="Times New Roman" w:eastAsia="Times New Roman" w:hAnsi="Times New Roman"/>
          <w:highlight w:val="white"/>
          <w:vertAlign w:val="superscript"/>
        </w:rPr>
        <w:footnoteReference w:customMarkFollows="0" w:id="10"/>
      </w:r>
      <w:r w:rsidDel="00000000" w:rsidR="00000000" w:rsidRPr="00000000">
        <w:rPr>
          <w:rtl w:val="0"/>
        </w:rPr>
      </w:r>
    </w:p>
    <w:p w:rsidR="00000000" w:rsidDel="00000000" w:rsidP="00000000" w:rsidRDefault="00000000" w:rsidRPr="00000000" w14:paraId="00000060">
      <w:pPr>
        <w:spacing w:after="0" w:before="0" w:line="240" w:lineRule="auto"/>
        <w:ind w:firstLine="720"/>
        <w:jc w:val="both"/>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61">
      <w:pPr>
        <w:spacing w:after="0" w:before="0" w:line="360" w:lineRule="auto"/>
        <w:ind w:firstLine="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O que Freud faz, segundo Wittgenstein, é usar uma linguagem ambígua. Linguagem essa, afirma Bouveresse, que por fazer uso de conceitos derivados de questões da dinâmica e da energética, dão a impressão de oferecer explicação causal para um problema quando, na verdade, do que mais ela se aproxima é de uma explicação estética.</w:t>
      </w:r>
    </w:p>
    <w:p w:rsidR="00000000" w:rsidDel="00000000" w:rsidP="00000000" w:rsidRDefault="00000000" w:rsidRPr="00000000" w14:paraId="00000062">
      <w:pPr>
        <w:spacing w:after="0" w:before="0" w:lineRule="auto"/>
        <w:ind w:left="2267" w:right="16" w:firstLine="0.7165354330703622"/>
        <w:jc w:val="both"/>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63">
      <w:pPr>
        <w:spacing w:after="0" w:before="0" w:lineRule="auto"/>
        <w:ind w:left="2267" w:right="16" w:firstLine="0.7165354330703622"/>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O vocabulário utilizado por Freud, com seus empréstimos significativos à linguagem da dinâmica, da energética, etc., pode dar a impressão de que se está em busca de uma explicação causal, quando se trata, em realidade, de alguma coisa que se aproxima muito mais de uma explicação estética [...].</w:t>
      </w:r>
      <w:r w:rsidDel="00000000" w:rsidR="00000000" w:rsidRPr="00000000">
        <w:rPr>
          <w:rFonts w:ascii="Times New Roman" w:cs="Times New Roman" w:eastAsia="Times New Roman" w:hAnsi="Times New Roman"/>
          <w:sz w:val="22"/>
          <w:szCs w:val="22"/>
          <w:highlight w:val="white"/>
          <w:vertAlign w:val="superscript"/>
        </w:rPr>
        <w:footnoteReference w:customMarkFollows="0" w:id="11"/>
      </w:r>
      <w:r w:rsidDel="00000000" w:rsidR="00000000" w:rsidRPr="00000000">
        <w:rPr>
          <w:rtl w:val="0"/>
        </w:rPr>
      </w:r>
    </w:p>
    <w:p w:rsidR="00000000" w:rsidDel="00000000" w:rsidP="00000000" w:rsidRDefault="00000000" w:rsidRPr="00000000" w14:paraId="00000064">
      <w:pPr>
        <w:spacing w:after="0" w:before="0" w:line="240" w:lineRule="auto"/>
        <w:ind w:firstLine="720"/>
        <w:jc w:val="both"/>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65">
      <w:pPr>
        <w:spacing w:after="0" w:before="0" w:line="360" w:lineRule="auto"/>
        <w:ind w:firstLine="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Utilizando-se das observações de Wittgenstein à psicanálise, Bouveresse nos indica que a explicação psicanalítica tem estas peculiaridades:</w:t>
      </w:r>
      <w:r w:rsidDel="00000000" w:rsidR="00000000" w:rsidRPr="00000000">
        <w:rPr>
          <w:rFonts w:ascii="Times New Roman" w:cs="Times New Roman" w:eastAsia="Times New Roman" w:hAnsi="Times New Roman"/>
          <w:highlight w:val="white"/>
          <w:vertAlign w:val="superscript"/>
        </w:rPr>
        <w:footnoteReference w:customMarkFollows="0" w:id="12"/>
      </w:r>
      <w:r w:rsidDel="00000000" w:rsidR="00000000" w:rsidRPr="00000000">
        <w:rPr>
          <w:rtl w:val="0"/>
        </w:rPr>
      </w:r>
    </w:p>
    <w:p w:rsidR="00000000" w:rsidDel="00000000" w:rsidP="00000000" w:rsidRDefault="00000000" w:rsidRPr="00000000" w14:paraId="00000066">
      <w:pPr>
        <w:numPr>
          <w:ilvl w:val="0"/>
          <w:numId w:val="1"/>
        </w:numPr>
        <w:tabs>
          <w:tab w:val="left" w:pos="360"/>
        </w:tabs>
        <w:spacing w:after="0" w:before="0" w:line="360" w:lineRule="auto"/>
        <w:ind w:left="360" w:hanging="36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Isto sobre o qual o doente pode eventualmente estar de acordo é a razão ou o motivo, e não com a causa de seu comportamento;</w:t>
      </w:r>
    </w:p>
    <w:p w:rsidR="00000000" w:rsidDel="00000000" w:rsidP="00000000" w:rsidRDefault="00000000" w:rsidRPr="00000000" w14:paraId="00000067">
      <w:pPr>
        <w:numPr>
          <w:ilvl w:val="0"/>
          <w:numId w:val="1"/>
        </w:numPr>
        <w:tabs>
          <w:tab w:val="left" w:pos="360"/>
        </w:tabs>
        <w:spacing w:after="0" w:before="0" w:line="360" w:lineRule="auto"/>
        <w:ind w:left="360" w:hanging="36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 "correção" da explicação é, por conseqüência, algo que não pode ser testado independentemente do fato de que se aceite a explicação, que ela seja capaz de persuadir;</w:t>
      </w:r>
    </w:p>
    <w:p w:rsidR="00000000" w:rsidDel="00000000" w:rsidP="00000000" w:rsidRDefault="00000000" w:rsidRPr="00000000" w14:paraId="00000068">
      <w:pPr>
        <w:numPr>
          <w:ilvl w:val="0"/>
          <w:numId w:val="1"/>
        </w:numPr>
        <w:tabs>
          <w:tab w:val="left" w:pos="360"/>
        </w:tabs>
        <w:spacing w:after="0" w:before="0" w:line="360" w:lineRule="auto"/>
        <w:ind w:left="360" w:hanging="36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 explicação tem, ao menos em certos casos, um efeito terapêutico: a explicação correta não é somente aquela que você reconhece, mas igualmente aquela a qual o reconhecimento pode te curar.</w:t>
      </w:r>
    </w:p>
    <w:p w:rsidR="00000000" w:rsidDel="00000000" w:rsidP="00000000" w:rsidRDefault="00000000" w:rsidRPr="00000000" w14:paraId="00000069">
      <w:pPr>
        <w:spacing w:after="0" w:before="0" w:line="360" w:lineRule="auto"/>
        <w:ind w:left="0" w:firstLine="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6A">
      <w:pPr>
        <w:spacing w:after="0" w:before="0" w:line="360" w:lineRule="auto"/>
        <w:ind w:left="0" w:firstLine="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Os itens 2) e 3) desses apontamentos de Bouveresse ainda nos permitem destacar mais um motivo além desse da diferenciação entre causa e razão, deixando claro porque a psicanálise não é uma ciência. As teorias científicas, enquanto tal, não precisam persuadir ou serem aceitas por ninguém. Elas se fundamentam sobre leis e causas que qualquer cientista pode comprovar por si mesmo em seu laboratório, sem ter a necessidade de ser explicadas por outrem. Ao contrário, o que a psicanálise oferece é especulação, fundada em motivos e razões das ações humanas, dependendo de que outros, em se persuadindo, aceitem-na como uma explicação plausível.</w:t>
      </w:r>
    </w:p>
    <w:p w:rsidR="00000000" w:rsidDel="00000000" w:rsidP="00000000" w:rsidRDefault="00000000" w:rsidRPr="00000000" w14:paraId="0000006B">
      <w:pPr>
        <w:spacing w:after="0" w:before="0" w:line="360" w:lineRule="auto"/>
        <w:ind w:left="0" w:firstLine="720"/>
        <w:jc w:val="both"/>
        <w:rPr>
          <w:rFonts w:ascii="Times New Roman" w:cs="Times New Roman" w:eastAsia="Times New Roman" w:hAnsi="Times New Roman"/>
          <w:highlight w:val="white"/>
        </w:rPr>
      </w:pPr>
      <w:bookmarkStart w:colFirst="0" w:colLast="0" w:name="_30j0zll" w:id="1"/>
      <w:bookmarkEnd w:id="1"/>
      <w:r w:rsidDel="00000000" w:rsidR="00000000" w:rsidRPr="00000000">
        <w:rPr>
          <w:rFonts w:ascii="Times New Roman" w:cs="Times New Roman" w:eastAsia="Times New Roman" w:hAnsi="Times New Roman"/>
          <w:highlight w:val="white"/>
          <w:rtl w:val="0"/>
        </w:rPr>
        <w:t xml:space="preserve">Afirmamos</w:t>
      </w:r>
      <w:r w:rsidDel="00000000" w:rsidR="00000000" w:rsidRPr="00000000">
        <w:rPr>
          <w:rFonts w:ascii="Times New Roman" w:cs="Times New Roman" w:eastAsia="Times New Roman" w:hAnsi="Times New Roman"/>
          <w:highlight w:val="white"/>
          <w:rtl w:val="0"/>
        </w:rPr>
        <w:t xml:space="preserve"> que a psicanálise não pode ser ciência como a Física e, parece, que é nesse sentido que Skinner esperaria que a psicanálise de Freud se comportasse. A crítica empreendida pelo psicólogo behaviorista consta em seu artigo </w:t>
      </w:r>
      <w:r w:rsidDel="00000000" w:rsidR="00000000" w:rsidRPr="00000000">
        <w:rPr>
          <w:rFonts w:ascii="Times New Roman" w:cs="Times New Roman" w:eastAsia="Times New Roman" w:hAnsi="Times New Roman"/>
          <w:i w:val="1"/>
          <w:highlight w:val="white"/>
          <w:rtl w:val="0"/>
        </w:rPr>
        <w:t xml:space="preserve">Crítica dos conceitos e teorias psicanalíticos</w:t>
      </w:r>
      <w:r w:rsidDel="00000000" w:rsidR="00000000" w:rsidRPr="00000000">
        <w:rPr>
          <w:rFonts w:ascii="Times New Roman" w:cs="Times New Roman" w:eastAsia="Times New Roman" w:hAnsi="Times New Roman"/>
          <w:i w:val="1"/>
          <w:highlight w:val="white"/>
          <w:vertAlign w:val="superscript"/>
        </w:rPr>
        <w:footnoteReference w:customMarkFollows="0" w:id="13"/>
      </w:r>
      <w:r w:rsidDel="00000000" w:rsidR="00000000" w:rsidRPr="00000000">
        <w:rPr>
          <w:rFonts w:ascii="Times New Roman" w:cs="Times New Roman" w:eastAsia="Times New Roman" w:hAnsi="Times New Roman"/>
          <w:highlight w:val="white"/>
          <w:rtl w:val="0"/>
        </w:rPr>
        <w:t xml:space="preserve">. Porém, deixou Freud de seguir uma epistemologia científica ao construir sua psicanálise?</w:t>
      </w:r>
    </w:p>
    <w:p w:rsidR="00000000" w:rsidDel="00000000" w:rsidP="00000000" w:rsidRDefault="00000000" w:rsidRPr="00000000" w14:paraId="0000006C">
      <w:pPr>
        <w:spacing w:after="0" w:before="0" w:line="360" w:lineRule="auto"/>
        <w:ind w:left="0" w:firstLine="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Aparentemente, o que Skinner não conseguiu captar é que Freud construiu sua psicanálise com base na epistemologia especulativa de Kant e Ernst Mach. Mas como trazido por Fulgêncio</w:t>
      </w:r>
      <w:r w:rsidDel="00000000" w:rsidR="00000000" w:rsidRPr="00000000">
        <w:rPr>
          <w:rFonts w:ascii="Times New Roman" w:cs="Times New Roman" w:eastAsia="Times New Roman" w:hAnsi="Times New Roman"/>
          <w:highlight w:val="white"/>
          <w:vertAlign w:val="superscript"/>
        </w:rPr>
        <w:footnoteReference w:customMarkFollows="0" w:id="14"/>
      </w:r>
      <w:r w:rsidDel="00000000" w:rsidR="00000000" w:rsidRPr="00000000">
        <w:rPr>
          <w:rFonts w:ascii="Times New Roman" w:cs="Times New Roman" w:eastAsia="Times New Roman" w:hAnsi="Times New Roman"/>
          <w:highlight w:val="white"/>
          <w:rtl w:val="0"/>
        </w:rPr>
        <w:t xml:space="preserve">, podemos e devemos avaliar a psicanálise cientificamente. Para isso, pegaremos carona no sentido clássico do termo </w:t>
      </w:r>
      <w:r w:rsidDel="00000000" w:rsidR="00000000" w:rsidRPr="00000000">
        <w:rPr>
          <w:rFonts w:ascii="Times New Roman" w:cs="Times New Roman" w:eastAsia="Times New Roman" w:hAnsi="Times New Roman"/>
          <w:i w:val="1"/>
          <w:highlight w:val="white"/>
          <w:rtl w:val="0"/>
        </w:rPr>
        <w:t xml:space="preserve">epistemologia</w:t>
      </w:r>
      <w:r w:rsidDel="00000000" w:rsidR="00000000" w:rsidRPr="00000000">
        <w:rPr>
          <w:rFonts w:ascii="Times New Roman" w:cs="Times New Roman" w:eastAsia="Times New Roman" w:hAnsi="Times New Roman"/>
          <w:highlight w:val="white"/>
          <w:rtl w:val="0"/>
        </w:rPr>
        <w:t xml:space="preserve"> e, tanto Kant quanto Ernst Mach, nos auxiliarão com esta avaliação.</w:t>
      </w:r>
    </w:p>
    <w:p w:rsidR="00000000" w:rsidDel="00000000" w:rsidP="00000000" w:rsidRDefault="00000000" w:rsidRPr="00000000" w14:paraId="0000006D">
      <w:pPr>
        <w:spacing w:after="0" w:before="0" w:line="431" w:lineRule="auto"/>
        <w:ind w:firstLine="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Freud tem como fundamentação de sua formulação teórica, uma parte empírica, e uma outra parte especulativa. Essa última é a sua metapsicologia. Expressaremos na sequência como ambas as partes coadunam-se e qual foi a metodologia de Freud para o desenvolver de sua pesquisa. Estaria esse modo de proceder condizente com alguma concepção científica?</w:t>
      </w:r>
    </w:p>
    <w:p w:rsidR="00000000" w:rsidDel="00000000" w:rsidP="00000000" w:rsidRDefault="00000000" w:rsidRPr="00000000" w14:paraId="0000006E">
      <w:pPr>
        <w:spacing w:after="0" w:before="0" w:line="431" w:lineRule="auto"/>
        <w:ind w:firstLine="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Freud era médico de formação, e nada mais natural que pretendesse para as suas pesquisas a inserção desta numa escola científica. O psicanalista teve por fundamento a própria experiência, mas, ao mesmo tempo, serviu-se de alguns termos descritivos e conceitos fundamentais, o que significou na caracterização da psicanálise a partir de um conjunto de princípios. (cf. Fulgencio, L., 2003, p.133)</w:t>
      </w:r>
    </w:p>
    <w:p w:rsidR="00000000" w:rsidDel="00000000" w:rsidP="00000000" w:rsidRDefault="00000000" w:rsidRPr="00000000" w14:paraId="0000006F">
      <w:pPr>
        <w:spacing w:after="0" w:before="0" w:line="431" w:lineRule="auto"/>
        <w:ind w:firstLine="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Por termos descritivos, por exemplo, pode-se dizer: sonhos são realizações de desejos. Porém, ao buscarmos o modo </w:t>
      </w:r>
      <w:r w:rsidDel="00000000" w:rsidR="00000000" w:rsidRPr="00000000">
        <w:rPr>
          <w:rFonts w:ascii="Times New Roman" w:cs="Times New Roman" w:eastAsia="Times New Roman" w:hAnsi="Times New Roman"/>
          <w:i w:val="1"/>
          <w:highlight w:val="white"/>
          <w:rtl w:val="0"/>
        </w:rPr>
        <w:t xml:space="preserve">como</w:t>
      </w:r>
      <w:r w:rsidDel="00000000" w:rsidR="00000000" w:rsidRPr="00000000">
        <w:rPr>
          <w:rFonts w:ascii="Times New Roman" w:cs="Times New Roman" w:eastAsia="Times New Roman" w:hAnsi="Times New Roman"/>
          <w:highlight w:val="white"/>
          <w:rtl w:val="0"/>
        </w:rPr>
        <w:t xml:space="preserve"> desejos insatisfeitos realizam-se por sonhos, entraríamos agora na metapsicologia, uma vez que outros conceitos não mais descritivos seriam necessários para explicá-lo.</w:t>
      </w:r>
    </w:p>
    <w:p w:rsidR="00000000" w:rsidDel="00000000" w:rsidP="00000000" w:rsidRDefault="00000000" w:rsidRPr="00000000" w14:paraId="00000070">
      <w:pPr>
        <w:spacing w:after="0" w:before="0" w:line="431" w:lineRule="auto"/>
        <w:ind w:firstLine="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Se “a psicanálise repousa solidamente sobre a observação dos fatos da vida da alma” e é “construída partir de um conjunto de fatos, lenta e sofridamente reunidos ao preço de um trabalho metódico”</w:t>
      </w:r>
      <w:r w:rsidDel="00000000" w:rsidR="00000000" w:rsidRPr="00000000">
        <w:rPr>
          <w:rFonts w:ascii="Times New Roman" w:cs="Times New Roman" w:eastAsia="Times New Roman" w:hAnsi="Times New Roman"/>
          <w:highlight w:val="white"/>
          <w:vertAlign w:val="superscript"/>
        </w:rPr>
        <w:footnoteReference w:customMarkFollows="0" w:id="15"/>
      </w:r>
      <w:r w:rsidDel="00000000" w:rsidR="00000000" w:rsidRPr="00000000">
        <w:rPr>
          <w:rFonts w:ascii="Times New Roman" w:cs="Times New Roman" w:eastAsia="Times New Roman" w:hAnsi="Times New Roman"/>
          <w:highlight w:val="white"/>
          <w:rtl w:val="0"/>
        </w:rPr>
        <w:t xml:space="preserve">, por tal reunião estaria Freud remetendo-se à parte fenomênica de sua formulação. Mas essa parte, relaciona-se ainda a uma outra, “que corresponde ao uso de um conjunto de conceitos auxiliares, que ajudam a relacionar e organizar os fatos na busca da resolução dos problemas”</w:t>
      </w:r>
      <w:r w:rsidDel="00000000" w:rsidR="00000000" w:rsidRPr="00000000">
        <w:rPr>
          <w:rFonts w:ascii="Times New Roman" w:cs="Times New Roman" w:eastAsia="Times New Roman" w:hAnsi="Times New Roman"/>
          <w:highlight w:val="white"/>
          <w:vertAlign w:val="superscript"/>
        </w:rPr>
        <w:footnoteReference w:customMarkFollows="0" w:id="16"/>
      </w:r>
      <w:r w:rsidDel="00000000" w:rsidR="00000000" w:rsidRPr="00000000">
        <w:rPr>
          <w:rFonts w:ascii="Times New Roman" w:cs="Times New Roman" w:eastAsia="Times New Roman" w:hAnsi="Times New Roman"/>
          <w:highlight w:val="white"/>
          <w:rtl w:val="0"/>
        </w:rPr>
        <w:t xml:space="preserve">. E é aqui que podemos reconhecer a necessidade do uso de </w:t>
      </w:r>
      <w:r w:rsidDel="00000000" w:rsidR="00000000" w:rsidRPr="00000000">
        <w:rPr>
          <w:rFonts w:ascii="Times New Roman" w:cs="Times New Roman" w:eastAsia="Times New Roman" w:hAnsi="Times New Roman"/>
          <w:i w:val="1"/>
          <w:highlight w:val="white"/>
          <w:rtl w:val="0"/>
        </w:rPr>
        <w:t xml:space="preserve">conceitos fundamentais </w:t>
      </w:r>
      <w:r w:rsidDel="00000000" w:rsidR="00000000" w:rsidRPr="00000000">
        <w:rPr>
          <w:rFonts w:ascii="Times New Roman" w:cs="Times New Roman" w:eastAsia="Times New Roman" w:hAnsi="Times New Roman"/>
          <w:highlight w:val="white"/>
          <w:rtl w:val="0"/>
        </w:rPr>
        <w:t xml:space="preserve">ou </w:t>
      </w:r>
      <w:r w:rsidDel="00000000" w:rsidR="00000000" w:rsidRPr="00000000">
        <w:rPr>
          <w:rFonts w:ascii="Times New Roman" w:cs="Times New Roman" w:eastAsia="Times New Roman" w:hAnsi="Times New Roman"/>
          <w:i w:val="1"/>
          <w:highlight w:val="white"/>
          <w:rtl w:val="0"/>
        </w:rPr>
        <w:t xml:space="preserve">auxiliares</w:t>
      </w:r>
      <w:r w:rsidDel="00000000" w:rsidR="00000000" w:rsidRPr="00000000">
        <w:rPr>
          <w:rFonts w:ascii="Times New Roman" w:cs="Times New Roman" w:eastAsia="Times New Roman" w:hAnsi="Times New Roman"/>
          <w:highlight w:val="white"/>
          <w:rtl w:val="0"/>
        </w:rPr>
        <w:t xml:space="preserve"> para a relação pretendida entre os fatos.</w:t>
      </w:r>
    </w:p>
    <w:p w:rsidR="00000000" w:rsidDel="00000000" w:rsidP="00000000" w:rsidRDefault="00000000" w:rsidRPr="00000000" w14:paraId="00000071">
      <w:pPr>
        <w:spacing w:after="0" w:before="0" w:line="431" w:lineRule="auto"/>
        <w:ind w:firstLine="720"/>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highlight w:val="white"/>
          <w:rtl w:val="0"/>
        </w:rPr>
        <w:t xml:space="preserve">Por exemplo</w:t>
      </w:r>
      <w:r w:rsidDel="00000000" w:rsidR="00000000" w:rsidRPr="00000000">
        <w:rPr>
          <w:rFonts w:ascii="Times New Roman" w:cs="Times New Roman" w:eastAsia="Times New Roman" w:hAnsi="Times New Roman"/>
          <w:highlight w:val="white"/>
          <w:rtl w:val="0"/>
        </w:rPr>
        <w:t xml:space="preserve">, no problema referente às neuropsicoses de defesa, o psicanalista distingue “[...] algo (montante de afeto, soma de excitação) que tem todas as propriedades de uma quantidade – ainda que não haja meio algum de medi-la”</w:t>
      </w:r>
      <w:r w:rsidDel="00000000" w:rsidR="00000000" w:rsidRPr="00000000">
        <w:rPr>
          <w:rFonts w:ascii="Times New Roman" w:cs="Times New Roman" w:eastAsia="Times New Roman" w:hAnsi="Times New Roman"/>
          <w:highlight w:val="white"/>
          <w:vertAlign w:val="superscript"/>
        </w:rPr>
        <w:footnoteReference w:customMarkFollows="0" w:id="17"/>
      </w:r>
      <w:r w:rsidDel="00000000" w:rsidR="00000000" w:rsidRPr="00000000">
        <w:rPr>
          <w:rFonts w:ascii="Times New Roman" w:cs="Times New Roman" w:eastAsia="Times New Roman" w:hAnsi="Times New Roman"/>
          <w:highlight w:val="white"/>
          <w:rtl w:val="0"/>
        </w:rPr>
        <w:t xml:space="preserve">. O que foi chamado de </w:t>
      </w:r>
      <w:r w:rsidDel="00000000" w:rsidR="00000000" w:rsidRPr="00000000">
        <w:rPr>
          <w:rFonts w:ascii="Times New Roman" w:cs="Times New Roman" w:eastAsia="Times New Roman" w:hAnsi="Times New Roman"/>
          <w:i w:val="1"/>
          <w:highlight w:val="white"/>
          <w:rtl w:val="0"/>
        </w:rPr>
        <w:t xml:space="preserve">quantitativo </w:t>
      </w:r>
      <w:r w:rsidDel="00000000" w:rsidR="00000000" w:rsidRPr="00000000">
        <w:rPr>
          <w:rFonts w:ascii="Times New Roman" w:cs="Times New Roman" w:eastAsia="Times New Roman" w:hAnsi="Times New Roman"/>
          <w:highlight w:val="white"/>
          <w:rtl w:val="0"/>
        </w:rPr>
        <w:t xml:space="preserve">entra no domínio da especulação ou dos conceitos fundamentais. Esta especulação é algo pois que não tem referente empírico e também não pode ser medido, mas cumpre uma função importante, ou seja, possibilita relacionar e organizar os dados empíricos. Freud mesmo argumenta:</w:t>
      </w:r>
      <w:r w:rsidDel="00000000" w:rsidR="00000000" w:rsidRPr="00000000">
        <w:rPr>
          <w:rtl w:val="0"/>
        </w:rPr>
      </w:r>
    </w:p>
    <w:p w:rsidR="00000000" w:rsidDel="00000000" w:rsidP="00000000" w:rsidRDefault="00000000" w:rsidRPr="00000000" w14:paraId="00000072">
      <w:pPr>
        <w:spacing w:after="0" w:before="0" w:lineRule="auto"/>
        <w:ind w:left="2260" w:firstLine="7.7165354330702485"/>
        <w:jc w:val="both"/>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73">
      <w:pPr>
        <w:spacing w:after="0" w:before="0" w:lineRule="auto"/>
        <w:ind w:left="2260" w:firstLine="7.7165354330702485"/>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 me pareceu legítimo completar as teorias, que são expressão direta da experiência, por hipóteses que são apropriadas ao controle do material, e que se reportam aos fatos que podem se tornar objeto de observação imediata</w:t>
      </w:r>
      <w:r w:rsidDel="00000000" w:rsidR="00000000" w:rsidRPr="00000000">
        <w:rPr>
          <w:rFonts w:ascii="Times New Roman" w:cs="Times New Roman" w:eastAsia="Times New Roman" w:hAnsi="Times New Roman"/>
          <w:sz w:val="22"/>
          <w:szCs w:val="22"/>
          <w:highlight w:val="white"/>
          <w:vertAlign w:val="superscript"/>
        </w:rPr>
        <w:footnoteReference w:customMarkFollows="0" w:id="18"/>
      </w:r>
      <w:r w:rsidDel="00000000" w:rsidR="00000000" w:rsidRPr="00000000">
        <w:rPr>
          <w:rFonts w:ascii="Times New Roman" w:cs="Times New Roman" w:eastAsia="Times New Roman" w:hAnsi="Times New Roman"/>
          <w:sz w:val="22"/>
          <w:szCs w:val="22"/>
          <w:highlight w:val="white"/>
          <w:rtl w:val="0"/>
        </w:rPr>
        <w:t xml:space="preserve">.</w:t>
      </w:r>
    </w:p>
    <w:p w:rsidR="00000000" w:rsidDel="00000000" w:rsidP="00000000" w:rsidRDefault="00000000" w:rsidRPr="00000000" w14:paraId="00000074">
      <w:pPr>
        <w:spacing w:after="0" w:before="0" w:lineRule="auto"/>
        <w:ind w:left="2260"/>
        <w:jc w:val="both"/>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75">
      <w:pPr>
        <w:spacing w:after="0" w:before="0" w:line="431" w:lineRule="auto"/>
        <w:ind w:firstLine="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O psicanalista reconhece nestes conceitos, recursos aproximativos e que não deveriam ser confundidos com o que se via nos fenômenos. Mas, embora sejam estes recursos, algo diferente dos próprios fatos, a função que cumprem de </w:t>
      </w:r>
      <w:r w:rsidDel="00000000" w:rsidR="00000000" w:rsidRPr="00000000">
        <w:rPr>
          <w:rFonts w:ascii="Times New Roman" w:cs="Times New Roman" w:eastAsia="Times New Roman" w:hAnsi="Times New Roman"/>
          <w:i w:val="1"/>
          <w:highlight w:val="white"/>
          <w:rtl w:val="0"/>
        </w:rPr>
        <w:t xml:space="preserve">relacionar e organizar</w:t>
      </w:r>
      <w:r w:rsidDel="00000000" w:rsidR="00000000" w:rsidRPr="00000000">
        <w:rPr>
          <w:rFonts w:ascii="Times New Roman" w:cs="Times New Roman" w:eastAsia="Times New Roman" w:hAnsi="Times New Roman"/>
          <w:highlight w:val="white"/>
          <w:rtl w:val="0"/>
        </w:rPr>
        <w:t xml:space="preserve"> o que se observava, os tornam específicos para a solução de problemas. Vejamos pois como alguns conceitos e concepções foram sendo articulados frente aos  fenômenos clínicos.</w:t>
      </w:r>
    </w:p>
    <w:p w:rsidR="00000000" w:rsidDel="00000000" w:rsidP="00000000" w:rsidRDefault="00000000" w:rsidRPr="00000000" w14:paraId="00000076">
      <w:pPr>
        <w:spacing w:after="0" w:before="0" w:line="431" w:lineRule="auto"/>
        <w:ind w:firstLine="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 momento em que Freud estava elaborando suas explicações teóricas duas concepções eram vigentes em seu meio, uma mecanicista e outra dinâmica. Assim, tomando como exemplo o fenômeno histérico, vê-se Charcot, Janet e mesmo Brauer justificarem os sintomas observados recorrendo-se a hipóteses fisiológicas. Hipóteses que afirmavam que o fenômeno observado tinha como causa uma lesão, uma inflamação ou mesmo a hereditariedade, resultando, pois, em um sujeito incapaz de integrar acontecimentos de grandes intensidades afetivas. Estas hipóteses enquadram-se em uma concepção mecânica. </w:t>
      </w:r>
    </w:p>
    <w:p w:rsidR="00000000" w:rsidDel="00000000" w:rsidP="00000000" w:rsidRDefault="00000000" w:rsidRPr="00000000" w14:paraId="00000077">
      <w:pPr>
        <w:spacing w:after="0" w:before="0" w:line="431" w:lineRule="auto"/>
        <w:ind w:firstLine="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No entanto, tal concepção não se mostrava suficiente para explicar o fato de sintomas que cessavam, ou mesmo surgiam, após pacientes serem hipnotizados por Charcot. Embora se supunha que a causa da incapacidade de integração do trauma era congênita, não se explicava ainda o processo psíquico que relacionava o trauma ao sintoma.</w:t>
      </w:r>
    </w:p>
    <w:p w:rsidR="00000000" w:rsidDel="00000000" w:rsidP="00000000" w:rsidRDefault="00000000" w:rsidRPr="00000000" w14:paraId="00000078">
      <w:pPr>
        <w:spacing w:after="0" w:before="0" w:line="431"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É o valor heurístico que define o conceito mais adequado à explicação de um fenômeno. Observa-se, então, na concepção mecânica, tal como utilizada por Charcot, Janet e Brauer, uma ineficiência em sua função heurística, justamente por não possibi</w:t>
      </w:r>
      <w:r w:rsidDel="00000000" w:rsidR="00000000" w:rsidRPr="00000000">
        <w:rPr>
          <w:rFonts w:ascii="Times New Roman" w:cs="Times New Roman" w:eastAsia="Times New Roman" w:hAnsi="Times New Roman"/>
          <w:rtl w:val="0"/>
        </w:rPr>
        <w:t xml:space="preserve">litar a compreensão dos fenômenos resultantes da hipnose.</w:t>
      </w:r>
    </w:p>
    <w:p w:rsidR="00000000" w:rsidDel="00000000" w:rsidP="00000000" w:rsidRDefault="00000000" w:rsidRPr="00000000" w14:paraId="00000079">
      <w:pPr>
        <w:spacing w:after="0" w:before="0" w:line="431" w:lineRule="auto"/>
        <w:ind w:firstLine="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Por outro lado</w:t>
      </w:r>
      <w:r w:rsidDel="00000000" w:rsidR="00000000" w:rsidRPr="00000000">
        <w:rPr>
          <w:rFonts w:ascii="Times New Roman" w:cs="Times New Roman" w:eastAsia="Times New Roman" w:hAnsi="Times New Roman"/>
          <w:highlight w:val="white"/>
          <w:rtl w:val="0"/>
        </w:rPr>
        <w:t xml:space="preserve">, há uma linha de pesquisa da qual fez parte Fechner, Helmholtz e Brücke. Para estes o ponto de vista mais adequado é o dinâmico, que “supõe a interação de forças em conflito como um quadro no qual as explicações são procuradas”</w:t>
      </w:r>
      <w:r w:rsidDel="00000000" w:rsidR="00000000" w:rsidRPr="00000000">
        <w:rPr>
          <w:rFonts w:ascii="Times New Roman" w:cs="Times New Roman" w:eastAsia="Times New Roman" w:hAnsi="Times New Roman"/>
          <w:highlight w:val="white"/>
          <w:vertAlign w:val="superscript"/>
        </w:rPr>
        <w:footnoteReference w:customMarkFollows="0" w:id="19"/>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07A">
      <w:pPr>
        <w:spacing w:after="0" w:before="0" w:line="431" w:lineRule="auto"/>
        <w:ind w:firstLine="720"/>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highlight w:val="white"/>
          <w:rtl w:val="0"/>
        </w:rPr>
        <w:t xml:space="preserve">O conceito de pulsão, que Freud fez reincidentes analogias às forças físico-químicas ao longo de sua obra, insere-se nesse contexto da concepção dinâmica. Um conceito de valor heurístico cuja função na psicanálise assemelha-se a função das </w:t>
      </w:r>
      <w:r w:rsidDel="00000000" w:rsidR="00000000" w:rsidRPr="00000000">
        <w:rPr>
          <w:rFonts w:ascii="Times New Roman" w:cs="Times New Roman" w:eastAsia="Times New Roman" w:hAnsi="Times New Roman"/>
          <w:i w:val="1"/>
          <w:highlight w:val="white"/>
          <w:rtl w:val="0"/>
        </w:rPr>
        <w:t xml:space="preserve">forças </w:t>
      </w:r>
      <w:r w:rsidDel="00000000" w:rsidR="00000000" w:rsidRPr="00000000">
        <w:rPr>
          <w:rFonts w:ascii="Times New Roman" w:cs="Times New Roman" w:eastAsia="Times New Roman" w:hAnsi="Times New Roman"/>
          <w:highlight w:val="white"/>
          <w:rtl w:val="0"/>
        </w:rPr>
        <w:t xml:space="preserve">de outras ciências naturais e que também não eram conceitos empíricos, mas construtos teóricos especulativos (Fulgêncio, 2003, p.142-143). Como afirma Fulgêncio,</w:t>
      </w:r>
      <w:r w:rsidDel="00000000" w:rsidR="00000000" w:rsidRPr="00000000">
        <w:rPr>
          <w:rtl w:val="0"/>
        </w:rPr>
      </w:r>
    </w:p>
    <w:p w:rsidR="00000000" w:rsidDel="00000000" w:rsidP="00000000" w:rsidRDefault="00000000" w:rsidRPr="00000000" w14:paraId="0000007B">
      <w:pPr>
        <w:spacing w:after="0" w:before="0" w:lineRule="auto"/>
        <w:ind w:left="2260" w:firstLine="7.7165354330702485"/>
        <w:jc w:val="both"/>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7C">
      <w:pPr>
        <w:spacing w:after="0" w:before="0" w:lineRule="auto"/>
        <w:ind w:left="2260" w:firstLine="7.7165354330702485"/>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As proposições teóricas ou conceitos especulativos concebidos como construções auxiliares para realizar pesquisas não são uma inovação de Freud. Ao contrário, bem antes dele, filósofos, cientistas e epistemólogos já haviam analisado esse tipo de método de pesquisa, considerando-o não apenas aplicável, mas necessário às ciências naturais</w:t>
      </w:r>
      <w:r w:rsidDel="00000000" w:rsidR="00000000" w:rsidRPr="00000000">
        <w:rPr>
          <w:rFonts w:ascii="Times New Roman" w:cs="Times New Roman" w:eastAsia="Times New Roman" w:hAnsi="Times New Roman"/>
          <w:sz w:val="22"/>
          <w:szCs w:val="22"/>
          <w:highlight w:val="white"/>
          <w:vertAlign w:val="superscript"/>
        </w:rPr>
        <w:footnoteReference w:customMarkFollows="0" w:id="20"/>
      </w:r>
      <w:r w:rsidDel="00000000" w:rsidR="00000000" w:rsidRPr="00000000">
        <w:rPr>
          <w:rFonts w:ascii="Times New Roman" w:cs="Times New Roman" w:eastAsia="Times New Roman" w:hAnsi="Times New Roman"/>
          <w:sz w:val="22"/>
          <w:szCs w:val="22"/>
          <w:highlight w:val="white"/>
          <w:rtl w:val="0"/>
        </w:rPr>
        <w:t xml:space="preserve">.</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0" w:before="0" w:lineRule="auto"/>
        <w:ind w:firstLine="720"/>
        <w:jc w:val="both"/>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7E">
      <w:pPr>
        <w:spacing w:after="0" w:before="0" w:line="431" w:lineRule="auto"/>
        <w:ind w:firstLine="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 especulação freudiana serviu-se também de outros pontos de vista. Embora a pulsão seja o fundamento do </w:t>
      </w:r>
      <w:r w:rsidDel="00000000" w:rsidR="00000000" w:rsidRPr="00000000">
        <w:rPr>
          <w:rFonts w:ascii="Times New Roman" w:cs="Times New Roman" w:eastAsia="Times New Roman" w:hAnsi="Times New Roman"/>
          <w:i w:val="1"/>
          <w:highlight w:val="white"/>
          <w:rtl w:val="0"/>
        </w:rPr>
        <w:t xml:space="preserve">constructo</w:t>
      </w:r>
      <w:r w:rsidDel="00000000" w:rsidR="00000000" w:rsidRPr="00000000">
        <w:rPr>
          <w:rFonts w:ascii="Times New Roman" w:cs="Times New Roman" w:eastAsia="Times New Roman" w:hAnsi="Times New Roman"/>
          <w:highlight w:val="white"/>
          <w:rtl w:val="0"/>
        </w:rPr>
        <w:t xml:space="preserve"> freudiano, ele também recorreu ao entendimento feito do psiquismo por um </w:t>
      </w:r>
      <w:r w:rsidDel="00000000" w:rsidR="00000000" w:rsidRPr="00000000">
        <w:rPr>
          <w:rFonts w:ascii="Times New Roman" w:cs="Times New Roman" w:eastAsia="Times New Roman" w:hAnsi="Times New Roman"/>
          <w:i w:val="1"/>
          <w:highlight w:val="white"/>
          <w:rtl w:val="0"/>
        </w:rPr>
        <w:t xml:space="preserve">aparelho </w:t>
      </w:r>
      <w:r w:rsidDel="00000000" w:rsidR="00000000" w:rsidRPr="00000000">
        <w:rPr>
          <w:rFonts w:ascii="Times New Roman" w:cs="Times New Roman" w:eastAsia="Times New Roman" w:hAnsi="Times New Roman"/>
          <w:highlight w:val="white"/>
          <w:rtl w:val="0"/>
        </w:rPr>
        <w:t xml:space="preserve">figurado espacialmente, por onde circula uma energia psíquica de natureza sexual, a libido.</w:t>
      </w:r>
      <w:r w:rsidDel="00000000" w:rsidR="00000000" w:rsidRPr="00000000">
        <w:rPr>
          <w:rFonts w:ascii="Times New Roman" w:cs="Times New Roman" w:eastAsia="Times New Roman" w:hAnsi="Times New Roman"/>
          <w:i w:val="1"/>
          <w:highlight w:val="white"/>
          <w:rtl w:val="0"/>
        </w:rPr>
        <w:t xml:space="preserve"> </w:t>
      </w:r>
      <w:r w:rsidDel="00000000" w:rsidR="00000000" w:rsidRPr="00000000">
        <w:rPr>
          <w:rFonts w:ascii="Times New Roman" w:cs="Times New Roman" w:eastAsia="Times New Roman" w:hAnsi="Times New Roman"/>
          <w:highlight w:val="white"/>
          <w:rtl w:val="0"/>
        </w:rPr>
        <w:t xml:space="preserve">Propondo então que se fale de uma metapsicologia em termos dinâmicos, tópicos e econômicos</w:t>
      </w:r>
      <w:r w:rsidDel="00000000" w:rsidR="00000000" w:rsidRPr="00000000">
        <w:rPr>
          <w:rFonts w:ascii="Times New Roman" w:cs="Times New Roman" w:eastAsia="Times New Roman" w:hAnsi="Times New Roman"/>
          <w:i w:val="1"/>
          <w:highlight w:val="white"/>
          <w:rtl w:val="0"/>
        </w:rPr>
        <w:t xml:space="preserve">. </w:t>
      </w:r>
      <w:r w:rsidDel="00000000" w:rsidR="00000000" w:rsidRPr="00000000">
        <w:rPr>
          <w:rFonts w:ascii="Times New Roman" w:cs="Times New Roman" w:eastAsia="Times New Roman" w:hAnsi="Times New Roman"/>
          <w:highlight w:val="white"/>
          <w:rtl w:val="0"/>
        </w:rPr>
        <w:t xml:space="preserve">(Freud </w:t>
      </w:r>
      <w:r w:rsidDel="00000000" w:rsidR="00000000" w:rsidRPr="00000000">
        <w:rPr>
          <w:rFonts w:ascii="Times New Roman" w:cs="Times New Roman" w:eastAsia="Times New Roman" w:hAnsi="Times New Roman"/>
          <w:i w:val="1"/>
          <w:highlight w:val="white"/>
          <w:rtl w:val="0"/>
        </w:rPr>
        <w:t xml:space="preserve">apud </w:t>
      </w:r>
      <w:r w:rsidDel="00000000" w:rsidR="00000000" w:rsidRPr="00000000">
        <w:rPr>
          <w:rFonts w:ascii="Times New Roman" w:cs="Times New Roman" w:eastAsia="Times New Roman" w:hAnsi="Times New Roman"/>
          <w:highlight w:val="white"/>
          <w:rtl w:val="0"/>
        </w:rPr>
        <w:t xml:space="preserve">Fulgêncio, 2003, p.144)</w:t>
      </w:r>
    </w:p>
    <w:p w:rsidR="00000000" w:rsidDel="00000000" w:rsidP="00000000" w:rsidRDefault="00000000" w:rsidRPr="00000000" w14:paraId="0000007F">
      <w:pPr>
        <w:spacing w:after="0" w:before="0" w:line="431" w:lineRule="auto"/>
        <w:ind w:firstLine="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Deste modo, além do ponto de visto dinâmico, como já mencionado, devemos considerar o tópico, cuja relação é com a figuração do psiquismo, e, por fim, o econômico, que supõe uma energia psíquica. Energia que é avaliada segundo um fator quantitativo e que impulsiona as pulsões, de onde decorre os investimentos afetivos sobre os objetos de desejo (Fulgencio, 2003, p.144).</w:t>
      </w:r>
    </w:p>
    <w:p w:rsidR="00000000" w:rsidDel="00000000" w:rsidP="00000000" w:rsidRDefault="00000000" w:rsidRPr="00000000" w14:paraId="00000080">
      <w:pPr>
        <w:spacing w:after="0" w:before="0" w:line="431" w:lineRule="auto"/>
        <w:ind w:firstLine="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Todos estes termos metapsicológicos apresentam um caráter provisório, isto é,  “avança-se por suposições, faz-se construções auxiliares que são abandonadas se elas não se confirmam”</w:t>
      </w:r>
      <w:r w:rsidDel="00000000" w:rsidR="00000000" w:rsidRPr="00000000">
        <w:rPr>
          <w:rFonts w:ascii="Times New Roman" w:cs="Times New Roman" w:eastAsia="Times New Roman" w:hAnsi="Times New Roman"/>
          <w:highlight w:val="white"/>
          <w:vertAlign w:val="superscript"/>
        </w:rPr>
        <w:footnoteReference w:customMarkFollows="0" w:id="21"/>
      </w:r>
      <w:r w:rsidDel="00000000" w:rsidR="00000000" w:rsidRPr="00000000">
        <w:rPr>
          <w:rFonts w:ascii="Times New Roman" w:cs="Times New Roman" w:eastAsia="Times New Roman" w:hAnsi="Times New Roman"/>
          <w:highlight w:val="white"/>
          <w:rtl w:val="0"/>
        </w:rPr>
        <w:t xml:space="preserve">. É a postura de Freud frente a sua superestrutura especulativa (</w:t>
      </w:r>
      <w:r w:rsidDel="00000000" w:rsidR="00000000" w:rsidRPr="00000000">
        <w:rPr>
          <w:rFonts w:ascii="Times New Roman" w:cs="Times New Roman" w:eastAsia="Times New Roman" w:hAnsi="Times New Roman"/>
          <w:i w:val="1"/>
          <w:highlight w:val="white"/>
          <w:rtl w:val="0"/>
        </w:rPr>
        <w:t xml:space="preserve">spekulativer Überbau</w:t>
      </w:r>
      <w:r w:rsidDel="00000000" w:rsidR="00000000" w:rsidRPr="00000000">
        <w:rPr>
          <w:rFonts w:ascii="Times New Roman" w:cs="Times New Roman" w:eastAsia="Times New Roman" w:hAnsi="Times New Roman"/>
          <w:highlight w:val="white"/>
          <w:rtl w:val="0"/>
        </w:rPr>
        <w:t xml:space="preserve">), “[...] em que cada parte pode ser sacrificada ou trocada sem dano nem remorso, a partir do momento em que uma insuficiência é constatada”</w:t>
      </w:r>
      <w:r w:rsidDel="00000000" w:rsidR="00000000" w:rsidRPr="00000000">
        <w:rPr>
          <w:rFonts w:ascii="Times New Roman" w:cs="Times New Roman" w:eastAsia="Times New Roman" w:hAnsi="Times New Roman"/>
          <w:highlight w:val="white"/>
          <w:vertAlign w:val="superscript"/>
        </w:rPr>
        <w:footnoteReference w:customMarkFollows="0" w:id="22"/>
      </w:r>
      <w:r w:rsidDel="00000000" w:rsidR="00000000" w:rsidRPr="00000000">
        <w:rPr>
          <w:rFonts w:ascii="Times New Roman" w:cs="Times New Roman" w:eastAsia="Times New Roman" w:hAnsi="Times New Roman"/>
          <w:highlight w:val="white"/>
          <w:rtl w:val="0"/>
        </w:rPr>
        <w:t xml:space="preserve">.</w:t>
      </w:r>
    </w:p>
    <w:p w:rsidR="00000000" w:rsidDel="00000000" w:rsidP="00000000" w:rsidRDefault="00000000" w:rsidRPr="00000000" w14:paraId="00000081">
      <w:pPr>
        <w:spacing w:after="0" w:before="0" w:line="431" w:lineRule="auto"/>
        <w:ind w:firstLine="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Embora o apreço de Freud seja aos mestres Fechner, Helmholtz, Brücke e Brentano, que também partilhavam de conceitos especulativos, daremos uma maior importância à Kant e Mach. Referências essas centrais e correspondentes com a atitude teórica de Freud, cujo o modo de se pesquisar naquela época estava já estabelecido, e por isso se tratando de uma influência que não pode ser negada (Fulgêncio, 2003, p.146-147).</w:t>
      </w:r>
    </w:p>
    <w:p w:rsidR="00000000" w:rsidDel="00000000" w:rsidP="00000000" w:rsidRDefault="00000000" w:rsidRPr="00000000" w14:paraId="00000082">
      <w:pPr>
        <w:spacing w:after="0" w:before="0" w:line="431" w:lineRule="auto"/>
        <w:ind w:firstLine="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Kant aponta o lugar onde devemos inserir a psicologia para reconhecê-la como uma ciência natural. Lugar que deveria ser o mesmo que aquele da física empírica, “isto é, do lado da filosofia aplicada, para a qual a filosofia pura contém os princípios a priori e com a qual, portanto, deve estar unida, mas não confundida”</w:t>
      </w:r>
      <w:r w:rsidDel="00000000" w:rsidR="00000000" w:rsidRPr="00000000">
        <w:rPr>
          <w:rFonts w:ascii="Times New Roman" w:cs="Times New Roman" w:eastAsia="Times New Roman" w:hAnsi="Times New Roman"/>
          <w:highlight w:val="white"/>
          <w:vertAlign w:val="superscript"/>
        </w:rPr>
        <w:footnoteReference w:customMarkFollows="0" w:id="23"/>
      </w:r>
      <w:r w:rsidDel="00000000" w:rsidR="00000000" w:rsidRPr="00000000">
        <w:rPr>
          <w:rFonts w:ascii="Times New Roman" w:cs="Times New Roman" w:eastAsia="Times New Roman" w:hAnsi="Times New Roman"/>
          <w:highlight w:val="white"/>
          <w:rtl w:val="0"/>
        </w:rPr>
        <w:t xml:space="preserve">.</w:t>
      </w:r>
    </w:p>
    <w:p w:rsidR="00000000" w:rsidDel="00000000" w:rsidP="00000000" w:rsidRDefault="00000000" w:rsidRPr="00000000" w14:paraId="00000083">
      <w:pPr>
        <w:spacing w:after="0" w:before="0" w:line="431" w:lineRule="auto"/>
        <w:ind w:firstLine="720"/>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highlight w:val="white"/>
          <w:rtl w:val="0"/>
        </w:rPr>
        <w:t xml:space="preserve">A psicologia empírica depende, pois, de conceitos e princípios </w:t>
      </w:r>
      <w:r w:rsidDel="00000000" w:rsidR="00000000" w:rsidRPr="00000000">
        <w:rPr>
          <w:rFonts w:ascii="Times New Roman" w:cs="Times New Roman" w:eastAsia="Times New Roman" w:hAnsi="Times New Roman"/>
          <w:i w:val="1"/>
          <w:highlight w:val="white"/>
          <w:rtl w:val="0"/>
        </w:rPr>
        <w:t xml:space="preserve">a priori. </w:t>
      </w:r>
      <w:r w:rsidDel="00000000" w:rsidR="00000000" w:rsidRPr="00000000">
        <w:rPr>
          <w:rFonts w:ascii="Times New Roman" w:cs="Times New Roman" w:eastAsia="Times New Roman" w:hAnsi="Times New Roman"/>
          <w:highlight w:val="white"/>
          <w:rtl w:val="0"/>
        </w:rPr>
        <w:t xml:space="preserve">E tal como a física, a partir destes, um conhecimento válido poderá ser produzido. </w:t>
      </w:r>
      <w:r w:rsidDel="00000000" w:rsidR="00000000" w:rsidRPr="00000000">
        <w:rPr>
          <w:rtl w:val="0"/>
        </w:rPr>
      </w:r>
    </w:p>
    <w:p w:rsidR="00000000" w:rsidDel="00000000" w:rsidP="00000000" w:rsidRDefault="00000000" w:rsidRPr="00000000" w14:paraId="00000084">
      <w:pPr>
        <w:spacing w:after="0" w:before="0" w:lineRule="auto"/>
        <w:ind w:left="2260" w:firstLine="7.7165354330702485"/>
        <w:jc w:val="both"/>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85">
      <w:pPr>
        <w:spacing w:after="0" w:before="0" w:lineRule="auto"/>
        <w:ind w:left="2260" w:firstLine="7.7165354330702485"/>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 a genuína ciência natural pressupõe uma metafísica da natureza. Esta deve, pois, conter sempre puros princípios, que não são empíricos (é por isso que leva o nome de metafísica)</w:t>
      </w:r>
      <w:r w:rsidDel="00000000" w:rsidR="00000000" w:rsidRPr="00000000">
        <w:rPr>
          <w:rFonts w:ascii="Times New Roman" w:cs="Times New Roman" w:eastAsia="Times New Roman" w:hAnsi="Times New Roman"/>
          <w:sz w:val="22"/>
          <w:szCs w:val="22"/>
          <w:highlight w:val="white"/>
          <w:vertAlign w:val="superscript"/>
        </w:rPr>
        <w:footnoteReference w:customMarkFollows="0" w:id="24"/>
      </w:r>
      <w:r w:rsidDel="00000000" w:rsidR="00000000" w:rsidRPr="00000000">
        <w:rPr>
          <w:rFonts w:ascii="Times New Roman" w:cs="Times New Roman" w:eastAsia="Times New Roman" w:hAnsi="Times New Roman"/>
          <w:sz w:val="22"/>
          <w:szCs w:val="22"/>
          <w:highlight w:val="white"/>
          <w:rtl w:val="0"/>
        </w:rPr>
        <w:t xml:space="preserve">.</w:t>
      </w:r>
    </w:p>
    <w:p w:rsidR="00000000" w:rsidDel="00000000" w:rsidP="00000000" w:rsidRDefault="00000000" w:rsidRPr="00000000" w14:paraId="00000086">
      <w:pPr>
        <w:spacing w:after="0" w:before="0" w:lineRule="auto"/>
        <w:ind w:left="2260"/>
        <w:jc w:val="both"/>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87">
      <w:pPr>
        <w:spacing w:after="0" w:before="0" w:line="431" w:lineRule="auto"/>
        <w:ind w:firstLine="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Após Kant ter analisado a arquitetura da nossa faculdade de conhecer, ele chega a três modos de articularmos o nosso conhecimento: a intuição ou a sensibilidade, o entendimento e a razão. Todos estes dependentes de princípios </w:t>
      </w:r>
      <w:r w:rsidDel="00000000" w:rsidR="00000000" w:rsidRPr="00000000">
        <w:rPr>
          <w:rFonts w:ascii="Times New Roman" w:cs="Times New Roman" w:eastAsia="Times New Roman" w:hAnsi="Times New Roman"/>
          <w:i w:val="1"/>
          <w:highlight w:val="white"/>
          <w:rtl w:val="0"/>
        </w:rPr>
        <w:t xml:space="preserve">a priori</w:t>
      </w:r>
      <w:r w:rsidDel="00000000" w:rsidR="00000000" w:rsidRPr="00000000">
        <w:rPr>
          <w:rFonts w:ascii="Times New Roman" w:cs="Times New Roman" w:eastAsia="Times New Roman" w:hAnsi="Times New Roman"/>
          <w:highlight w:val="white"/>
          <w:rtl w:val="0"/>
        </w:rPr>
        <w:t xml:space="preserve">, ou seja, o espaço e tempo, as categorias e as </w:t>
      </w:r>
      <w:r w:rsidDel="00000000" w:rsidR="00000000" w:rsidRPr="00000000">
        <w:rPr>
          <w:rFonts w:ascii="Times New Roman" w:cs="Times New Roman" w:eastAsia="Times New Roman" w:hAnsi="Times New Roman"/>
          <w:i w:val="1"/>
          <w:highlight w:val="white"/>
          <w:rtl w:val="0"/>
        </w:rPr>
        <w:t xml:space="preserve">ideias</w:t>
      </w:r>
      <w:r w:rsidDel="00000000" w:rsidR="00000000" w:rsidRPr="00000000">
        <w:rPr>
          <w:rFonts w:ascii="Times New Roman" w:cs="Times New Roman" w:eastAsia="Times New Roman" w:hAnsi="Times New Roman"/>
          <w:highlight w:val="white"/>
          <w:rtl w:val="0"/>
        </w:rPr>
        <w:t xml:space="preserve"> (ou os conceitos puros da razão),</w:t>
      </w:r>
      <w:r w:rsidDel="00000000" w:rsidR="00000000" w:rsidRPr="00000000">
        <w:rPr>
          <w:rFonts w:ascii="Times New Roman" w:cs="Times New Roman" w:eastAsia="Times New Roman" w:hAnsi="Times New Roman"/>
          <w:i w:val="1"/>
          <w:highlight w:val="white"/>
          <w:rtl w:val="0"/>
        </w:rPr>
        <w:t xml:space="preserve"> </w:t>
      </w:r>
      <w:r w:rsidDel="00000000" w:rsidR="00000000" w:rsidRPr="00000000">
        <w:rPr>
          <w:rFonts w:ascii="Times New Roman" w:cs="Times New Roman" w:eastAsia="Times New Roman" w:hAnsi="Times New Roman"/>
          <w:highlight w:val="white"/>
          <w:rtl w:val="0"/>
        </w:rPr>
        <w:t xml:space="preserve">respectivamente.</w:t>
      </w:r>
    </w:p>
    <w:p w:rsidR="00000000" w:rsidDel="00000000" w:rsidP="00000000" w:rsidRDefault="00000000" w:rsidRPr="00000000" w14:paraId="00000088">
      <w:pPr>
        <w:spacing w:after="0" w:before="0" w:line="431" w:lineRule="auto"/>
        <w:ind w:firstLine="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Logo, as ideias promovem, desde a razão, a sistematicidade para o entendimento. Um exemplo é o que compreendemos por </w:t>
      </w:r>
      <w:r w:rsidDel="00000000" w:rsidR="00000000" w:rsidRPr="00000000">
        <w:rPr>
          <w:rFonts w:ascii="Times New Roman" w:cs="Times New Roman" w:eastAsia="Times New Roman" w:hAnsi="Times New Roman"/>
          <w:i w:val="1"/>
          <w:highlight w:val="white"/>
          <w:rtl w:val="0"/>
        </w:rPr>
        <w:t xml:space="preserve">natureza como um todo. </w:t>
      </w:r>
      <w:r w:rsidDel="00000000" w:rsidR="00000000" w:rsidRPr="00000000">
        <w:rPr>
          <w:rFonts w:ascii="Times New Roman" w:cs="Times New Roman" w:eastAsia="Times New Roman" w:hAnsi="Times New Roman"/>
          <w:highlight w:val="white"/>
          <w:rtl w:val="0"/>
        </w:rPr>
        <w:t xml:space="preserve">“Sua função é designar um pressuposto para que as leis de determinação entre os fenômenos façam parte de um mesmo sistema”</w:t>
      </w:r>
      <w:r w:rsidDel="00000000" w:rsidR="00000000" w:rsidRPr="00000000">
        <w:rPr>
          <w:rFonts w:ascii="Times New Roman" w:cs="Times New Roman" w:eastAsia="Times New Roman" w:hAnsi="Times New Roman"/>
          <w:highlight w:val="white"/>
          <w:vertAlign w:val="superscript"/>
        </w:rPr>
        <w:footnoteReference w:customMarkFollows="0" w:id="25"/>
      </w:r>
      <w:r w:rsidDel="00000000" w:rsidR="00000000" w:rsidRPr="00000000">
        <w:rPr>
          <w:rFonts w:ascii="Times New Roman" w:cs="Times New Roman" w:eastAsia="Times New Roman" w:hAnsi="Times New Roman"/>
          <w:i w:val="1"/>
          <w:highlight w:val="white"/>
          <w:rtl w:val="0"/>
        </w:rPr>
        <w:t xml:space="preserve">. </w:t>
      </w:r>
      <w:r w:rsidDel="00000000" w:rsidR="00000000" w:rsidRPr="00000000">
        <w:rPr>
          <w:rFonts w:ascii="Times New Roman" w:cs="Times New Roman" w:eastAsia="Times New Roman" w:hAnsi="Times New Roman"/>
          <w:highlight w:val="white"/>
          <w:rtl w:val="0"/>
        </w:rPr>
        <w:t xml:space="preserve">Um conceito abstrato, portanto.</w:t>
      </w:r>
    </w:p>
    <w:p w:rsidR="00000000" w:rsidDel="00000000" w:rsidP="00000000" w:rsidRDefault="00000000" w:rsidRPr="00000000" w14:paraId="00000089">
      <w:pPr>
        <w:spacing w:after="0" w:before="0" w:line="431" w:lineRule="auto"/>
        <w:ind w:firstLine="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Para efeitos quaisquer, a razão visa buscar causas. Mas outras causas poderão sempre ser consideradas nessa busca. Kant então traz que a razão visa postular uma causa originária e incondicionada. Esta é um ente da razão e não advém da experiência sensível.</w:t>
      </w:r>
    </w:p>
    <w:p w:rsidR="00000000" w:rsidDel="00000000" w:rsidP="00000000" w:rsidRDefault="00000000" w:rsidRPr="00000000" w14:paraId="0000008A">
      <w:pPr>
        <w:spacing w:after="0" w:before="0" w:line="431" w:lineRule="auto"/>
        <w:ind w:firstLine="720"/>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highlight w:val="white"/>
          <w:rtl w:val="0"/>
        </w:rPr>
        <w:t xml:space="preserve">Mas Kant restringe em dois pontos de vista guia para se conceber as causas originárias: o mecânico e o dinâmico. Do ponto de vista mecânico ele chega ao átomo, uma unidade indivisível, e do ponto de vista dinâmico, ele chega às forças motrizes. “Tanto os átomos como as forças são conceitos puros (a priori) elaborados pela razão”</w:t>
      </w:r>
      <w:r w:rsidDel="00000000" w:rsidR="00000000" w:rsidRPr="00000000">
        <w:rPr>
          <w:rFonts w:ascii="Times New Roman" w:cs="Times New Roman" w:eastAsia="Times New Roman" w:hAnsi="Times New Roman"/>
          <w:highlight w:val="white"/>
          <w:vertAlign w:val="superscript"/>
        </w:rPr>
        <w:footnoteReference w:customMarkFollows="0" w:id="26"/>
      </w:r>
      <w:r w:rsidDel="00000000" w:rsidR="00000000" w:rsidRPr="00000000">
        <w:rPr>
          <w:rFonts w:ascii="Times New Roman" w:cs="Times New Roman" w:eastAsia="Times New Roman" w:hAnsi="Times New Roman"/>
          <w:i w:val="1"/>
          <w:highlight w:val="white"/>
          <w:rtl w:val="0"/>
        </w:rPr>
        <w:t xml:space="preserve">.</w:t>
      </w:r>
    </w:p>
    <w:p w:rsidR="00000000" w:rsidDel="00000000" w:rsidP="00000000" w:rsidRDefault="00000000" w:rsidRPr="00000000" w14:paraId="0000008B">
      <w:pPr>
        <w:spacing w:after="0" w:before="0" w:line="431" w:lineRule="auto"/>
        <w:ind w:firstLine="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Mas como podemos melhor escolher os pontos de vista guia? “Segundo Kant, trata-se de uma escolha que não pode estar baseada em fatos, mas tão-somente nos frutos que um ou outro pode trazer para a pesquisa empírica”</w:t>
      </w:r>
      <w:r w:rsidDel="00000000" w:rsidR="00000000" w:rsidRPr="00000000">
        <w:rPr>
          <w:rFonts w:ascii="Times New Roman" w:cs="Times New Roman" w:eastAsia="Times New Roman" w:hAnsi="Times New Roman"/>
          <w:highlight w:val="white"/>
          <w:vertAlign w:val="superscript"/>
        </w:rPr>
        <w:footnoteReference w:customMarkFollows="0" w:id="27"/>
      </w:r>
      <w:r w:rsidDel="00000000" w:rsidR="00000000" w:rsidRPr="00000000">
        <w:rPr>
          <w:rFonts w:ascii="Times New Roman" w:cs="Times New Roman" w:eastAsia="Times New Roman" w:hAnsi="Times New Roman"/>
          <w:i w:val="1"/>
          <w:highlight w:val="white"/>
          <w:rtl w:val="0"/>
        </w:rPr>
        <w:t xml:space="preserve">. </w:t>
      </w:r>
      <w:r w:rsidDel="00000000" w:rsidR="00000000" w:rsidRPr="00000000">
        <w:rPr>
          <w:rFonts w:ascii="Times New Roman" w:cs="Times New Roman" w:eastAsia="Times New Roman" w:hAnsi="Times New Roman"/>
          <w:highlight w:val="white"/>
          <w:rtl w:val="0"/>
        </w:rPr>
        <w:t xml:space="preserve">Logo, este critério de escolha é heurístico.</w:t>
      </w:r>
    </w:p>
    <w:p w:rsidR="00000000" w:rsidDel="00000000" w:rsidP="00000000" w:rsidRDefault="00000000" w:rsidRPr="00000000" w14:paraId="0000008C">
      <w:pPr>
        <w:spacing w:after="0" w:before="0" w:line="431" w:lineRule="auto"/>
        <w:ind w:firstLine="720"/>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highlight w:val="white"/>
          <w:rtl w:val="0"/>
        </w:rPr>
        <w:t xml:space="preserve">Da mesma forma, as pulsões foram reconhecidas por Freud como ideias abstratas, tais como as forças motrizes de Kant. Estas, porém, não são um conceito correspondente direto das forças motrizes kantianas, mas “obedece[m] ao mesmo tipo de necessidade metafísica que caracteriza as ciências naturais no programa de pesquisa kantiano”</w:t>
      </w:r>
      <w:r w:rsidDel="00000000" w:rsidR="00000000" w:rsidRPr="00000000">
        <w:rPr>
          <w:rFonts w:ascii="Times New Roman" w:cs="Times New Roman" w:eastAsia="Times New Roman" w:hAnsi="Times New Roman"/>
          <w:highlight w:val="white"/>
          <w:vertAlign w:val="superscript"/>
        </w:rPr>
        <w:footnoteReference w:customMarkFollows="0" w:id="28"/>
      </w:r>
      <w:r w:rsidDel="00000000" w:rsidR="00000000" w:rsidRPr="00000000">
        <w:rPr>
          <w:rFonts w:ascii="Times New Roman" w:cs="Times New Roman" w:eastAsia="Times New Roman" w:hAnsi="Times New Roman"/>
          <w:i w:val="1"/>
          <w:highlight w:val="white"/>
          <w:rtl w:val="0"/>
        </w:rPr>
        <w:t xml:space="preserve">.</w:t>
      </w:r>
    </w:p>
    <w:p w:rsidR="00000000" w:rsidDel="00000000" w:rsidP="00000000" w:rsidRDefault="00000000" w:rsidRPr="00000000" w14:paraId="0000008D">
      <w:pPr>
        <w:spacing w:after="0" w:before="0" w:line="431" w:lineRule="auto"/>
        <w:ind w:firstLine="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Ernst Mach</w:t>
      </w:r>
      <w:r w:rsidDel="00000000" w:rsidR="00000000" w:rsidRPr="00000000">
        <w:rPr>
          <w:rFonts w:ascii="Times New Roman" w:cs="Times New Roman" w:eastAsia="Times New Roman" w:hAnsi="Times New Roman"/>
          <w:highlight w:val="white"/>
          <w:rtl w:val="0"/>
        </w:rPr>
        <w:t xml:space="preserve">,</w:t>
      </w:r>
      <w:r w:rsidDel="00000000" w:rsidR="00000000" w:rsidRPr="00000000">
        <w:rPr>
          <w:rFonts w:ascii="Times New Roman" w:cs="Times New Roman" w:eastAsia="Times New Roman" w:hAnsi="Times New Roman"/>
          <w:highlight w:val="white"/>
          <w:vertAlign w:val="superscript"/>
        </w:rPr>
        <w:footnoteReference w:customMarkFollows="0" w:id="29"/>
      </w:r>
      <w:r w:rsidDel="00000000" w:rsidR="00000000" w:rsidRPr="00000000">
        <w:rPr>
          <w:rFonts w:ascii="Times New Roman" w:cs="Times New Roman" w:eastAsia="Times New Roman" w:hAnsi="Times New Roman"/>
          <w:highlight w:val="white"/>
          <w:rtl w:val="0"/>
        </w:rPr>
        <w:t xml:space="preserve">figura dominante no que concerne à epistemologia da ciência do século XX, contemporâneo de Freud, é outra importante referência à lida epistemológico da psicanálise. Tal como trazido por autores como Assoun (1981) e Loparic (1985), esta referência se dá inclusive pela proximidade das posições epistemológicas de ambos. Em que sentido se dá esta proximidade?</w:t>
      </w:r>
    </w:p>
    <w:p w:rsidR="00000000" w:rsidDel="00000000" w:rsidP="00000000" w:rsidRDefault="00000000" w:rsidRPr="00000000" w14:paraId="0000008E">
      <w:pPr>
        <w:spacing w:after="0" w:before="0" w:line="431" w:lineRule="auto"/>
        <w:ind w:firstLine="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Este físico e filósofo defende o uso de certas especulações como conceitos heurísticos. O objetivo último para a ciência, segundo Mach, é a descrição. Este será atingido a partir da procura de relações de determinações entre os fenômenos. E neste desenvolver da ciência, até esse fim desejado, o filósofo entende como necessário o uso de conceitos e modelos especulativos.</w:t>
      </w:r>
    </w:p>
    <w:p w:rsidR="00000000" w:rsidDel="00000000" w:rsidP="00000000" w:rsidRDefault="00000000" w:rsidRPr="00000000" w14:paraId="0000008F">
      <w:pPr>
        <w:spacing w:after="0" w:before="0" w:line="431" w:lineRule="auto"/>
        <w:ind w:firstLine="720"/>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highlight w:val="white"/>
          <w:rtl w:val="0"/>
        </w:rPr>
        <w:t xml:space="preserve">Na história da física, Mach</w:t>
      </w:r>
      <w:r w:rsidDel="00000000" w:rsidR="00000000" w:rsidRPr="00000000">
        <w:rPr>
          <w:rFonts w:ascii="Times New Roman" w:cs="Times New Roman" w:eastAsia="Times New Roman" w:hAnsi="Times New Roman"/>
          <w:highlight w:val="white"/>
          <w:vertAlign w:val="superscript"/>
        </w:rPr>
        <w:footnoteReference w:customMarkFollows="0" w:id="30"/>
      </w:r>
      <w:r w:rsidDel="00000000" w:rsidR="00000000" w:rsidRPr="00000000">
        <w:rPr>
          <w:rFonts w:ascii="Times New Roman" w:cs="Times New Roman" w:eastAsia="Times New Roman" w:hAnsi="Times New Roman"/>
          <w:highlight w:val="white"/>
          <w:rtl w:val="0"/>
        </w:rPr>
        <w:t xml:space="preserve"> identifica alguns conceitos que operaram como um tipo de mito:</w:t>
      </w:r>
      <w:r w:rsidDel="00000000" w:rsidR="00000000" w:rsidRPr="00000000">
        <w:rPr>
          <w:rFonts w:ascii="Times New Roman" w:cs="Times New Roman" w:eastAsia="Times New Roman" w:hAnsi="Times New Roman"/>
          <w:i w:val="1"/>
          <w:highlight w:val="white"/>
          <w:rtl w:val="0"/>
        </w:rPr>
        <w:t xml:space="preserve"> </w:t>
      </w:r>
      <w:r w:rsidDel="00000000" w:rsidR="00000000" w:rsidRPr="00000000">
        <w:rPr>
          <w:rFonts w:ascii="Times New Roman" w:cs="Times New Roman" w:eastAsia="Times New Roman" w:hAnsi="Times New Roman"/>
          <w:highlight w:val="white"/>
          <w:rtl w:val="0"/>
        </w:rPr>
        <w:t xml:space="preserve">na física aristotélica, por exemplo, haveria os quatro elementos que constituiriam a natureza. Na física newtoniana, de modo semelhante, a própria suposição de forças impulsionadoras</w:t>
      </w:r>
      <w:r w:rsidDel="00000000" w:rsidR="00000000" w:rsidRPr="00000000">
        <w:rPr>
          <w:rFonts w:ascii="Times New Roman" w:cs="Times New Roman" w:eastAsia="Times New Roman" w:hAnsi="Times New Roman"/>
          <w:i w:val="1"/>
          <w:highlight w:val="white"/>
          <w:rtl w:val="0"/>
        </w:rPr>
        <w:t xml:space="preserve">. </w:t>
      </w:r>
      <w:r w:rsidDel="00000000" w:rsidR="00000000" w:rsidRPr="00000000">
        <w:rPr>
          <w:rFonts w:ascii="Times New Roman" w:cs="Times New Roman" w:eastAsia="Times New Roman" w:hAnsi="Times New Roman"/>
          <w:highlight w:val="white"/>
          <w:rtl w:val="0"/>
        </w:rPr>
        <w:t xml:space="preserve">A força seria, pois, apenas um nome para a “circunstância que tem o movimento por consequência”</w:t>
      </w:r>
      <w:r w:rsidDel="00000000" w:rsidR="00000000" w:rsidRPr="00000000">
        <w:rPr>
          <w:rFonts w:ascii="Times New Roman" w:cs="Times New Roman" w:eastAsia="Times New Roman" w:hAnsi="Times New Roman"/>
          <w:highlight w:val="white"/>
          <w:vertAlign w:val="superscript"/>
        </w:rPr>
        <w:footnoteReference w:customMarkFollows="0" w:id="31"/>
      </w:r>
      <w:r w:rsidDel="00000000" w:rsidR="00000000" w:rsidRPr="00000000">
        <w:rPr>
          <w:rFonts w:ascii="Times New Roman" w:cs="Times New Roman" w:eastAsia="Times New Roman" w:hAnsi="Times New Roman"/>
          <w:highlight w:val="white"/>
          <w:rtl w:val="0"/>
        </w:rPr>
        <w:t xml:space="preserve">. Mach afirma:</w:t>
      </w:r>
      <w:r w:rsidDel="00000000" w:rsidR="00000000" w:rsidRPr="00000000">
        <w:rPr>
          <w:rtl w:val="0"/>
        </w:rPr>
      </w:r>
    </w:p>
    <w:p w:rsidR="00000000" w:rsidDel="00000000" w:rsidP="00000000" w:rsidRDefault="00000000" w:rsidRPr="00000000" w14:paraId="00000090">
      <w:pPr>
        <w:spacing w:after="0" w:before="0" w:lineRule="auto"/>
        <w:ind w:left="2260" w:firstLine="7.7165354330702485"/>
        <w:jc w:val="both"/>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91">
      <w:pPr>
        <w:spacing w:after="0" w:before="0" w:lineRule="auto"/>
        <w:ind w:left="2260" w:firstLine="7.7165354330702485"/>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Nós podemos caracterizar com o nome de mitologia da natureza esta ciência do início, com seus elementos fantasistas [terra, fogo, ar e água]. Depois, a mitologia da natureza, animista e demoníaca, foi substituída, pouco a pouco, por uma mitologia das substâncias e das forças, uma mitologia mecânica e automática e, por fim, por uma mitologia dinâmica</w:t>
      </w:r>
      <w:r w:rsidDel="00000000" w:rsidR="00000000" w:rsidRPr="00000000">
        <w:rPr>
          <w:rFonts w:ascii="Times New Roman" w:cs="Times New Roman" w:eastAsia="Times New Roman" w:hAnsi="Times New Roman"/>
          <w:sz w:val="22"/>
          <w:szCs w:val="22"/>
          <w:highlight w:val="white"/>
          <w:vertAlign w:val="superscript"/>
        </w:rPr>
        <w:footnoteReference w:customMarkFollows="0" w:id="32"/>
      </w:r>
      <w:r w:rsidDel="00000000" w:rsidR="00000000" w:rsidRPr="00000000">
        <w:rPr>
          <w:rFonts w:ascii="Times New Roman" w:cs="Times New Roman" w:eastAsia="Times New Roman" w:hAnsi="Times New Roman"/>
          <w:sz w:val="22"/>
          <w:szCs w:val="22"/>
          <w:highlight w:val="white"/>
          <w:rtl w:val="0"/>
        </w:rPr>
        <w:t xml:space="preserve">.</w:t>
      </w:r>
    </w:p>
    <w:p w:rsidR="00000000" w:rsidDel="00000000" w:rsidP="00000000" w:rsidRDefault="00000000" w:rsidRPr="00000000" w14:paraId="00000092">
      <w:pPr>
        <w:spacing w:after="0" w:before="0" w:lineRule="auto"/>
        <w:ind w:left="2260" w:firstLine="7.7165354330702485"/>
        <w:jc w:val="both"/>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93">
      <w:pPr>
        <w:spacing w:after="0" w:before="0" w:line="431" w:lineRule="auto"/>
        <w:ind w:firstLine="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Freud também fez o uso da palavra mitologia para se referir às pulsões. Nas</w:t>
      </w:r>
      <w:r w:rsidDel="00000000" w:rsidR="00000000" w:rsidRPr="00000000">
        <w:rPr>
          <w:rFonts w:ascii="Times New Roman" w:cs="Times New Roman" w:eastAsia="Times New Roman" w:hAnsi="Times New Roman"/>
          <w:i w:val="1"/>
          <w:highlight w:val="white"/>
          <w:rtl w:val="0"/>
        </w:rPr>
        <w:t xml:space="preserve"> Novas conferências introdutórias à psicanálise, </w:t>
      </w:r>
      <w:r w:rsidDel="00000000" w:rsidR="00000000" w:rsidRPr="00000000">
        <w:rPr>
          <w:rFonts w:ascii="Times New Roman" w:cs="Times New Roman" w:eastAsia="Times New Roman" w:hAnsi="Times New Roman"/>
          <w:highlight w:val="white"/>
          <w:rtl w:val="0"/>
        </w:rPr>
        <w:t xml:space="preserve">o psicanalista vienense chama a teoria das pulsões como a “nossa mitologia”</w:t>
      </w:r>
      <w:r w:rsidDel="00000000" w:rsidR="00000000" w:rsidRPr="00000000">
        <w:rPr>
          <w:rFonts w:ascii="Times New Roman" w:cs="Times New Roman" w:eastAsia="Times New Roman" w:hAnsi="Times New Roman"/>
          <w:highlight w:val="white"/>
          <w:vertAlign w:val="superscript"/>
        </w:rPr>
        <w:footnoteReference w:customMarkFollows="0" w:id="33"/>
      </w:r>
      <w:r w:rsidDel="00000000" w:rsidR="00000000" w:rsidRPr="00000000">
        <w:rPr>
          <w:rFonts w:ascii="Times New Roman" w:cs="Times New Roman" w:eastAsia="Times New Roman" w:hAnsi="Times New Roman"/>
          <w:highlight w:val="white"/>
          <w:rtl w:val="0"/>
        </w:rPr>
        <w:t xml:space="preserve">.</w:t>
      </w:r>
    </w:p>
    <w:p w:rsidR="00000000" w:rsidDel="00000000" w:rsidP="00000000" w:rsidRDefault="00000000" w:rsidRPr="00000000" w14:paraId="00000094">
      <w:pPr>
        <w:spacing w:after="0" w:before="0" w:line="431" w:lineRule="auto"/>
        <w:ind w:firstLine="720"/>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highlight w:val="white"/>
          <w:rtl w:val="0"/>
        </w:rPr>
        <w:t xml:space="preserve">Sobre a prática científica é pelo termo representações-fantasia (</w:t>
      </w:r>
      <w:r w:rsidDel="00000000" w:rsidR="00000000" w:rsidRPr="00000000">
        <w:rPr>
          <w:rFonts w:ascii="Times New Roman" w:cs="Times New Roman" w:eastAsia="Times New Roman" w:hAnsi="Times New Roman"/>
          <w:i w:val="1"/>
          <w:highlight w:val="white"/>
          <w:rtl w:val="0"/>
        </w:rPr>
        <w:t xml:space="preserve">Phantasie-Vorstellungen</w:t>
      </w:r>
      <w:r w:rsidDel="00000000" w:rsidR="00000000" w:rsidRPr="00000000">
        <w:rPr>
          <w:rFonts w:ascii="Times New Roman" w:cs="Times New Roman" w:eastAsia="Times New Roman" w:hAnsi="Times New Roman"/>
          <w:highlight w:val="white"/>
          <w:rtl w:val="0"/>
        </w:rPr>
        <w:t xml:space="preserve">) que Mach fala da função heurística de conceitos ou construções auxiliares para a pesquisa. Ao final de uma laboriosa pesquisa, visa-se tão somente a descrição direta dos fenômenos, resultando-se assim no descarte das representações que a auxiliaram. O físico e filósofo exemplifica o uso das representações-fantasia feito por outras ciências: </w:t>
      </w:r>
      <w:r w:rsidDel="00000000" w:rsidR="00000000" w:rsidRPr="00000000">
        <w:rPr>
          <w:rtl w:val="0"/>
        </w:rPr>
      </w:r>
    </w:p>
    <w:p w:rsidR="00000000" w:rsidDel="00000000" w:rsidP="00000000" w:rsidRDefault="00000000" w:rsidRPr="00000000" w14:paraId="00000095">
      <w:pPr>
        <w:spacing w:after="0" w:before="0" w:lineRule="auto"/>
        <w:ind w:left="2260" w:firstLine="7.7165354330702485"/>
        <w:jc w:val="both"/>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96">
      <w:pPr>
        <w:spacing w:after="0" w:before="0" w:lineRule="auto"/>
        <w:ind w:left="2260" w:firstLine="7.7165354330702485"/>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Pensemos nas partículas da luz de Newton, nos átomos de Demócrito e de Dalton, nas teorias dos químicos modernos... e, finalmente, nos modernos íons e elétrons. As múltiplas hipóteses físicas sobre a matéria, os turbilhões cartesianos e eulerianos, que reaparecem nas novas teorias eletromagnéticas de correntes e turbilhões, os sumidouros e as fontes que levam à quarta dimensão do espaço, as partículas ultramundanas que geram a gravitação etc. etc.  poderiam ainda ser mencionados [...]</w:t>
      </w:r>
      <w:r w:rsidDel="00000000" w:rsidR="00000000" w:rsidRPr="00000000">
        <w:rPr>
          <w:rFonts w:ascii="Times New Roman" w:cs="Times New Roman" w:eastAsia="Times New Roman" w:hAnsi="Times New Roman"/>
          <w:sz w:val="22"/>
          <w:szCs w:val="22"/>
          <w:highlight w:val="white"/>
          <w:vertAlign w:val="superscript"/>
        </w:rPr>
        <w:footnoteReference w:customMarkFollows="0" w:id="34"/>
      </w:r>
      <w:r w:rsidDel="00000000" w:rsidR="00000000" w:rsidRPr="00000000">
        <w:rPr>
          <w:rFonts w:ascii="Times New Roman" w:cs="Times New Roman" w:eastAsia="Times New Roman" w:hAnsi="Times New Roman"/>
          <w:sz w:val="22"/>
          <w:szCs w:val="22"/>
          <w:highlight w:val="white"/>
          <w:rtl w:val="0"/>
        </w:rPr>
        <w:t xml:space="preserve">. </w:t>
      </w:r>
    </w:p>
    <w:p w:rsidR="00000000" w:rsidDel="00000000" w:rsidP="00000000" w:rsidRDefault="00000000" w:rsidRPr="00000000" w14:paraId="00000097">
      <w:pPr>
        <w:spacing w:after="0" w:before="0" w:lineRule="auto"/>
        <w:ind w:left="2260"/>
        <w:jc w:val="both"/>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98">
      <w:pPr>
        <w:spacing w:after="0" w:before="0" w:line="360" w:lineRule="auto"/>
        <w:ind w:firstLine="720"/>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highlight w:val="white"/>
          <w:rtl w:val="0"/>
        </w:rPr>
        <w:t xml:space="preserve">É por Mach que podemos reconhecer nas estruturas especulativas freudiana a função heurística e ao mesmo tempo chamá-las de representações-fantasia. Freud parafraseia Mach ao reiterar uma linha de pesquisa para o trato da psicologia como uma ciência empírica tendo, ao mesmo tempo, Kant como sua referência filosófica inicial</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tl w:val="0"/>
        </w:rPr>
      </w:r>
    </w:p>
    <w:p w:rsidR="00000000" w:rsidDel="00000000" w:rsidP="00000000" w:rsidRDefault="00000000" w:rsidRPr="00000000" w14:paraId="00000099">
      <w:pPr>
        <w:spacing w:after="0" w:before="0" w:lineRule="auto"/>
        <w:ind w:left="2267" w:firstLine="0.7165354330703622"/>
        <w:jc w:val="both"/>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9A">
      <w:pPr>
        <w:spacing w:after="0" w:before="0" w:lineRule="auto"/>
        <w:ind w:left="2267" w:firstLine="0.7165354330703622"/>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“Se perguntamos sobre as vias e os meios pelos quais isso [o domínio das pulsões] se produz, não é fácil fornecer uma resposta. Deve-se dizer: ‘É necessário que venha a feiticeira’. Entendam: a bruxa metapsicologia”</w:t>
      </w:r>
      <w:r w:rsidDel="00000000" w:rsidR="00000000" w:rsidRPr="00000000">
        <w:rPr>
          <w:rFonts w:ascii="Times New Roman" w:cs="Times New Roman" w:eastAsia="Times New Roman" w:hAnsi="Times New Roman"/>
          <w:sz w:val="22"/>
          <w:szCs w:val="22"/>
          <w:highlight w:val="white"/>
          <w:vertAlign w:val="superscript"/>
        </w:rPr>
        <w:footnoteReference w:customMarkFollows="0" w:id="35"/>
      </w:r>
      <w:r w:rsidDel="00000000" w:rsidR="00000000" w:rsidRPr="00000000">
        <w:rPr>
          <w:rFonts w:ascii="Times New Roman" w:cs="Times New Roman" w:eastAsia="Times New Roman" w:hAnsi="Times New Roman"/>
          <w:sz w:val="22"/>
          <w:szCs w:val="22"/>
          <w:highlight w:val="white"/>
          <w:rtl w:val="0"/>
        </w:rPr>
        <w:t xml:space="preserve">.</w:t>
      </w:r>
    </w:p>
    <w:p w:rsidR="00000000" w:rsidDel="00000000" w:rsidP="00000000" w:rsidRDefault="00000000" w:rsidRPr="00000000" w14:paraId="0000009B">
      <w:pPr>
        <w:spacing w:after="0" w:before="0" w:lineRule="auto"/>
        <w:ind w:left="0" w:firstLine="0"/>
        <w:jc w:val="both"/>
        <w:rPr>
          <w:rFonts w:ascii="Times New Roman" w:cs="Times New Roman" w:eastAsia="Times New Roman" w:hAnsi="Times New Roman"/>
          <w:sz w:val="22"/>
          <w:szCs w:val="22"/>
          <w:highlight w:val="white"/>
        </w:rPr>
      </w:pPr>
      <w:r w:rsidDel="00000000" w:rsidR="00000000" w:rsidRPr="00000000">
        <w:rPr>
          <w:rtl w:val="0"/>
        </w:rPr>
      </w:r>
    </w:p>
    <w:p w:rsidR="00000000" w:rsidDel="00000000" w:rsidP="00000000" w:rsidRDefault="00000000" w:rsidRPr="00000000" w14:paraId="0000009C">
      <w:pPr>
        <w:spacing w:after="0" w:before="0" w:line="431" w:lineRule="auto"/>
        <w:ind w:firstLine="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Tanto Mach quanto Freud, compreendem alguns conceitos como mitológicos, e os situam em estruturas especulativas, denominando-os de representações-fantasia.  Ambos, de modo semelhante, reconhecem nestes conceitos uma função auxiliar que, ao final de uma laboriosa pesquisa, tornar-se-iam descartáveis.</w:t>
      </w:r>
    </w:p>
    <w:p w:rsidR="00000000" w:rsidDel="00000000" w:rsidP="00000000" w:rsidRDefault="00000000" w:rsidRPr="00000000" w14:paraId="0000009D">
      <w:pPr>
        <w:spacing w:after="0" w:before="0" w:line="431" w:lineRule="auto"/>
        <w:ind w:firstLine="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Freud, nesta posição diante de sua pesquisa, considerava primária a prática clínica frente às generalizações teóricas. O psicanalista desenvolveu seu método especulativo, tal como vimos, de modo a tomá-lo como um </w:t>
      </w:r>
      <w:r w:rsidDel="00000000" w:rsidR="00000000" w:rsidRPr="00000000">
        <w:rPr>
          <w:rFonts w:ascii="Times New Roman" w:cs="Times New Roman" w:eastAsia="Times New Roman" w:hAnsi="Times New Roman"/>
          <w:i w:val="1"/>
          <w:highlight w:val="white"/>
          <w:rtl w:val="0"/>
        </w:rPr>
        <w:t xml:space="preserve">andaime</w:t>
      </w:r>
      <w:r w:rsidDel="00000000" w:rsidR="00000000" w:rsidRPr="00000000">
        <w:rPr>
          <w:rFonts w:ascii="Times New Roman" w:cs="Times New Roman" w:eastAsia="Times New Roman" w:hAnsi="Times New Roman"/>
          <w:highlight w:val="white"/>
          <w:rtl w:val="0"/>
        </w:rPr>
        <w:t xml:space="preserve"> usado em uma obra, e escreve: “A meu ver, é lícito darmos livre curso as nossas especulações, desde que preservemos a frieza de nosso juízo e não tomemos os andaimes pelo edifício” (Freud, 1901/1938, p.136).</w:t>
      </w:r>
    </w:p>
    <w:p w:rsidR="00000000" w:rsidDel="00000000" w:rsidP="00000000" w:rsidRDefault="00000000" w:rsidRPr="00000000" w14:paraId="0000009E">
      <w:pPr>
        <w:spacing w:after="0" w:before="0" w:line="431" w:lineRule="auto"/>
        <w:ind w:firstLine="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w:t>
      </w:r>
      <w:r w:rsidDel="00000000" w:rsidR="00000000" w:rsidRPr="00000000">
        <w:rPr>
          <w:rFonts w:ascii="Times New Roman" w:cs="Times New Roman" w:eastAsia="Times New Roman" w:hAnsi="Times New Roman"/>
          <w:highlight w:val="white"/>
          <w:rtl w:val="0"/>
        </w:rPr>
        <w:t xml:space="preserve"> partir do que acima foi exposto, procuramos mostrar que, tal como entendido por estudos clássicos da epistemologia, adota-se para a ciência um ponto vista cujo o método de pesquisa é convencionalista (Nagel </w:t>
      </w:r>
      <w:r w:rsidDel="00000000" w:rsidR="00000000" w:rsidRPr="00000000">
        <w:rPr>
          <w:rFonts w:ascii="Times New Roman" w:cs="Times New Roman" w:eastAsia="Times New Roman" w:hAnsi="Times New Roman"/>
          <w:i w:val="1"/>
          <w:highlight w:val="white"/>
          <w:rtl w:val="0"/>
        </w:rPr>
        <w:t xml:space="preserve">apud</w:t>
      </w:r>
      <w:r w:rsidDel="00000000" w:rsidR="00000000" w:rsidRPr="00000000">
        <w:rPr>
          <w:rFonts w:ascii="Times New Roman" w:cs="Times New Roman" w:eastAsia="Times New Roman" w:hAnsi="Times New Roman"/>
          <w:highlight w:val="white"/>
          <w:rtl w:val="0"/>
        </w:rPr>
        <w:t xml:space="preserve"> Fulgêncio, 2003, p.155). Este método se aplica também ao proceder epistemológico freudiano. Freud fez uso de conceitos heurísticos, ou, tal como nomeado pela epistemologia clássica, fez uso de modelos com </w:t>
      </w:r>
      <w:r w:rsidDel="00000000" w:rsidR="00000000" w:rsidRPr="00000000">
        <w:rPr>
          <w:rFonts w:ascii="Times New Roman" w:cs="Times New Roman" w:eastAsia="Times New Roman" w:hAnsi="Times New Roman"/>
          <w:i w:val="1"/>
          <w:highlight w:val="white"/>
          <w:rtl w:val="0"/>
        </w:rPr>
        <w:t xml:space="preserve">valor operativos,</w:t>
      </w:r>
      <w:r w:rsidDel="00000000" w:rsidR="00000000" w:rsidRPr="00000000">
        <w:rPr>
          <w:rFonts w:ascii="Times New Roman" w:cs="Times New Roman" w:eastAsia="Times New Roman" w:hAnsi="Times New Roman"/>
          <w:highlight w:val="white"/>
          <w:rtl w:val="0"/>
        </w:rPr>
        <w:t xml:space="preserve"> cuja a função destes era a de </w:t>
      </w:r>
      <w:r w:rsidDel="00000000" w:rsidR="00000000" w:rsidRPr="00000000">
        <w:rPr>
          <w:rFonts w:ascii="Times New Roman" w:cs="Times New Roman" w:eastAsia="Times New Roman" w:hAnsi="Times New Roman"/>
          <w:i w:val="1"/>
          <w:highlight w:val="white"/>
          <w:rtl w:val="0"/>
        </w:rPr>
        <w:t xml:space="preserve">orientação-guia </w:t>
      </w:r>
      <w:r w:rsidDel="00000000" w:rsidR="00000000" w:rsidRPr="00000000">
        <w:rPr>
          <w:rFonts w:ascii="Times New Roman" w:cs="Times New Roman" w:eastAsia="Times New Roman" w:hAnsi="Times New Roman"/>
          <w:highlight w:val="white"/>
          <w:rtl w:val="0"/>
        </w:rPr>
        <w:t xml:space="preserve">para a inteligibilidade dos fenômenos observados na prática de sua clínica.</w:t>
      </w:r>
    </w:p>
    <w:p w:rsidR="00000000" w:rsidDel="00000000" w:rsidP="00000000" w:rsidRDefault="00000000" w:rsidRPr="00000000" w14:paraId="0000009F">
      <w:pPr>
        <w:spacing w:after="0" w:before="0" w:line="431" w:lineRule="auto"/>
        <w:ind w:firstLine="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Mesmo a psicanálise não sendo uma ciência natural, esta pôde, sim, desenvolver a sua epistemologia cujas as bases assemelham-se àquelas da ciência newtoniana.</w:t>
      </w:r>
    </w:p>
    <w:p w:rsidR="00000000" w:rsidDel="00000000" w:rsidP="00000000" w:rsidRDefault="00000000" w:rsidRPr="00000000" w14:paraId="000000A0">
      <w:pPr>
        <w:spacing w:after="0" w:before="0" w:line="431" w:lineRule="auto"/>
        <w:ind w:left="0" w:firstLine="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A1">
      <w:pPr>
        <w:spacing w:after="0" w:before="0" w:line="240" w:lineRule="auto"/>
        <w:ind w:left="0" w:firstLine="0"/>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Bibliografia</w:t>
      </w:r>
    </w:p>
    <w:p w:rsidR="00000000" w:rsidDel="00000000" w:rsidP="00000000" w:rsidRDefault="00000000" w:rsidRPr="00000000" w14:paraId="000000A2">
      <w:pPr>
        <w:spacing w:after="0" w:before="0" w:line="240" w:lineRule="auto"/>
        <w:ind w:left="0" w:firstLine="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A3">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Assoun, P. L., </w:t>
      </w:r>
      <w:r w:rsidDel="00000000" w:rsidR="00000000" w:rsidRPr="00000000">
        <w:rPr>
          <w:rFonts w:ascii="Times New Roman" w:cs="Times New Roman" w:eastAsia="Times New Roman" w:hAnsi="Times New Roman"/>
          <w:i w:val="1"/>
          <w:highlight w:val="white"/>
          <w:rtl w:val="0"/>
        </w:rPr>
        <w:t xml:space="preserve">Freud et Wittgenstein</w:t>
      </w:r>
      <w:r w:rsidDel="00000000" w:rsidR="00000000" w:rsidRPr="00000000">
        <w:rPr>
          <w:rFonts w:ascii="Times New Roman" w:cs="Times New Roman" w:eastAsia="Times New Roman" w:hAnsi="Times New Roman"/>
          <w:highlight w:val="white"/>
          <w:rtl w:val="0"/>
        </w:rPr>
        <w:t xml:space="preserve">. Paris: PUF - Philosophie d'aujourd'hui, 1988.</w:t>
      </w:r>
    </w:p>
    <w:p w:rsidR="00000000" w:rsidDel="00000000" w:rsidP="00000000" w:rsidRDefault="00000000" w:rsidRPr="00000000" w14:paraId="000000A4">
      <w:pPr>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A5">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Beck, L. W. </w:t>
      </w:r>
      <w:r w:rsidDel="00000000" w:rsidR="00000000" w:rsidRPr="00000000">
        <w:rPr>
          <w:rFonts w:ascii="Times New Roman" w:cs="Times New Roman" w:eastAsia="Times New Roman" w:hAnsi="Times New Roman"/>
          <w:i w:val="1"/>
          <w:highlight w:val="white"/>
          <w:rtl w:val="0"/>
        </w:rPr>
        <w:t xml:space="preserve">The Actor and the Spectator: Foundations of the Theory of Human Action</w:t>
      </w:r>
      <w:r w:rsidDel="00000000" w:rsidR="00000000" w:rsidRPr="00000000">
        <w:rPr>
          <w:rFonts w:ascii="Times New Roman" w:cs="Times New Roman" w:eastAsia="Times New Roman" w:hAnsi="Times New Roman"/>
          <w:highlight w:val="white"/>
          <w:rtl w:val="0"/>
        </w:rPr>
        <w:t xml:space="preserve">. Thoemmes Press, Virginia - USA, 1998.</w:t>
      </w:r>
    </w:p>
    <w:p w:rsidR="00000000" w:rsidDel="00000000" w:rsidP="00000000" w:rsidRDefault="00000000" w:rsidRPr="00000000" w14:paraId="000000A6">
      <w:pPr>
        <w:spacing w:after="0" w:before="0" w:line="240" w:lineRule="auto"/>
        <w:ind w:left="0" w:firstLine="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A7">
      <w:pPr>
        <w:spacing w:after="0" w:before="0" w:line="240" w:lineRule="auto"/>
        <w:ind w:left="0"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Freud, S. Projeto para uma Psicologia Científica. </w:t>
      </w:r>
      <w:r w:rsidDel="00000000" w:rsidR="00000000" w:rsidRPr="00000000">
        <w:rPr>
          <w:rFonts w:ascii="Times New Roman" w:cs="Times New Roman" w:eastAsia="Times New Roman" w:hAnsi="Times New Roman"/>
          <w:i w:val="1"/>
          <w:highlight w:val="white"/>
          <w:rtl w:val="0"/>
        </w:rPr>
        <w:t xml:space="preserve">Ed. Standard Brasileira</w:t>
      </w:r>
      <w:r w:rsidDel="00000000" w:rsidR="00000000" w:rsidRPr="00000000">
        <w:rPr>
          <w:rFonts w:ascii="Times New Roman" w:cs="Times New Roman" w:eastAsia="Times New Roman" w:hAnsi="Times New Roman"/>
          <w:highlight w:val="white"/>
          <w:rtl w:val="0"/>
        </w:rPr>
        <w:t xml:space="preserve">, Vol. I. 1895.</w:t>
      </w:r>
    </w:p>
    <w:p w:rsidR="00000000" w:rsidDel="00000000" w:rsidP="00000000" w:rsidRDefault="00000000" w:rsidRPr="00000000" w14:paraId="000000A8">
      <w:pPr>
        <w:spacing w:after="0" w:before="0" w:line="240" w:lineRule="auto"/>
        <w:ind w:left="0" w:firstLine="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A9">
      <w:pPr>
        <w:spacing w:after="0" w:before="0" w:line="240" w:lineRule="auto"/>
        <w:ind w:left="0"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Freud, S. A Interpretação dos Sonhos. </w:t>
      </w:r>
      <w:r w:rsidDel="00000000" w:rsidR="00000000" w:rsidRPr="00000000">
        <w:rPr>
          <w:rFonts w:ascii="Times New Roman" w:cs="Times New Roman" w:eastAsia="Times New Roman" w:hAnsi="Times New Roman"/>
          <w:i w:val="1"/>
          <w:highlight w:val="white"/>
          <w:rtl w:val="0"/>
        </w:rPr>
        <w:t xml:space="preserve">Edição Standard das Obras completas de Sigmund Freud</w:t>
      </w:r>
      <w:r w:rsidDel="00000000" w:rsidR="00000000" w:rsidRPr="00000000">
        <w:rPr>
          <w:rFonts w:ascii="Times New Roman" w:cs="Times New Roman" w:eastAsia="Times New Roman" w:hAnsi="Times New Roman"/>
          <w:highlight w:val="white"/>
          <w:rtl w:val="0"/>
        </w:rPr>
        <w:t xml:space="preserve">. Rio de Janeiro, Imago Editora, vol. V. 1938.</w:t>
      </w:r>
    </w:p>
    <w:p w:rsidR="00000000" w:rsidDel="00000000" w:rsidP="00000000" w:rsidRDefault="00000000" w:rsidRPr="00000000" w14:paraId="000000AA">
      <w:pPr>
        <w:spacing w:after="0" w:before="0" w:line="240" w:lineRule="auto"/>
        <w:ind w:left="0" w:firstLine="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AB">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Fulgencio, L. “As especulações metapsicológicas de Freud”. </w:t>
      </w:r>
      <w:r w:rsidDel="00000000" w:rsidR="00000000" w:rsidRPr="00000000">
        <w:rPr>
          <w:rFonts w:ascii="Times New Roman" w:cs="Times New Roman" w:eastAsia="Times New Roman" w:hAnsi="Times New Roman"/>
          <w:i w:val="1"/>
          <w:highlight w:val="white"/>
          <w:rtl w:val="0"/>
        </w:rPr>
        <w:t xml:space="preserve">Natureza Humana</w:t>
      </w:r>
      <w:r w:rsidDel="00000000" w:rsidR="00000000" w:rsidRPr="00000000">
        <w:rPr>
          <w:rFonts w:ascii="Times New Roman" w:cs="Times New Roman" w:eastAsia="Times New Roman" w:hAnsi="Times New Roman"/>
          <w:highlight w:val="white"/>
          <w:rtl w:val="0"/>
        </w:rPr>
        <w:t xml:space="preserve"> – Revista Internacional de Filosofia e Psicanálise. São Paulo: EDUC, n.1, vol. 5. 2003.</w:t>
      </w:r>
    </w:p>
    <w:p w:rsidR="00000000" w:rsidDel="00000000" w:rsidP="00000000" w:rsidRDefault="00000000" w:rsidRPr="00000000" w14:paraId="000000AC">
      <w:pPr>
        <w:spacing w:after="0" w:before="0" w:line="240" w:lineRule="auto"/>
        <w:ind w:left="0" w:firstLine="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AD">
      <w:pPr>
        <w:spacing w:after="0" w:before="0" w:line="240" w:lineRule="auto"/>
        <w:ind w:left="0"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Hempel, C. G.</w:t>
      </w:r>
      <w:r w:rsidDel="00000000" w:rsidR="00000000" w:rsidRPr="00000000">
        <w:rPr>
          <w:rFonts w:ascii="Times New Roman" w:cs="Times New Roman" w:eastAsia="Times New Roman" w:hAnsi="Times New Roman"/>
          <w:i w:val="1"/>
          <w:highlight w:val="white"/>
          <w:rtl w:val="0"/>
        </w:rPr>
        <w:t xml:space="preserve"> Éléments d’épistémologie</w:t>
      </w:r>
      <w:r w:rsidDel="00000000" w:rsidR="00000000" w:rsidRPr="00000000">
        <w:rPr>
          <w:rFonts w:ascii="Times New Roman" w:cs="Times New Roman" w:eastAsia="Times New Roman" w:hAnsi="Times New Roman"/>
          <w:highlight w:val="white"/>
          <w:rtl w:val="0"/>
        </w:rPr>
        <w:t xml:space="preserve">. Trad. Bertrand Saint-Sernin. Paris V: Armand Colin, 1972.</w:t>
      </w:r>
    </w:p>
    <w:p w:rsidR="00000000" w:rsidDel="00000000" w:rsidP="00000000" w:rsidRDefault="00000000" w:rsidRPr="00000000" w14:paraId="000000AE">
      <w:pPr>
        <w:spacing w:after="0" w:before="0" w:line="240" w:lineRule="auto"/>
        <w:ind w:left="0" w:firstLine="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AF">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Popper, K. </w:t>
      </w:r>
      <w:r w:rsidDel="00000000" w:rsidR="00000000" w:rsidRPr="00000000">
        <w:rPr>
          <w:rFonts w:ascii="Times New Roman" w:cs="Times New Roman" w:eastAsia="Times New Roman" w:hAnsi="Times New Roman"/>
          <w:i w:val="1"/>
          <w:highlight w:val="white"/>
          <w:rtl w:val="0"/>
        </w:rPr>
        <w:t xml:space="preserve">A lógica da descoberta científica</w:t>
      </w:r>
      <w:r w:rsidDel="00000000" w:rsidR="00000000" w:rsidRPr="00000000">
        <w:rPr>
          <w:rFonts w:ascii="Times New Roman" w:cs="Times New Roman" w:eastAsia="Times New Roman" w:hAnsi="Times New Roman"/>
          <w:highlight w:val="white"/>
          <w:rtl w:val="0"/>
        </w:rPr>
        <w:t xml:space="preserve">. São Paulo: Cultrix, 2013.</w:t>
      </w:r>
    </w:p>
    <w:p w:rsidR="00000000" w:rsidDel="00000000" w:rsidP="00000000" w:rsidRDefault="00000000" w:rsidRPr="00000000" w14:paraId="000000B0">
      <w:pPr>
        <w:spacing w:after="0" w:before="0" w:line="240" w:lineRule="auto"/>
        <w:ind w:left="0" w:firstLine="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B1">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Skinner, B, F. “Critique of Psychoanalytic Concepts and Theories”. </w:t>
      </w:r>
      <w:r w:rsidDel="00000000" w:rsidR="00000000" w:rsidRPr="00000000">
        <w:rPr>
          <w:rFonts w:ascii="Times New Roman" w:cs="Times New Roman" w:eastAsia="Times New Roman" w:hAnsi="Times New Roman"/>
          <w:i w:val="1"/>
          <w:highlight w:val="white"/>
          <w:rtl w:val="0"/>
        </w:rPr>
        <w:t xml:space="preserve">Scientific Monthly</w:t>
      </w:r>
      <w:r w:rsidDel="00000000" w:rsidR="00000000" w:rsidRPr="00000000">
        <w:rPr>
          <w:rFonts w:ascii="Times New Roman" w:cs="Times New Roman" w:eastAsia="Times New Roman" w:hAnsi="Times New Roman"/>
          <w:highlight w:val="white"/>
          <w:rtl w:val="0"/>
        </w:rPr>
        <w:t xml:space="preserve">, n.79, p.300-305; Tradução: Marcos Rodrigues da Silva; Marina Pereira Figueiredo; Sarah Zuliani; 1954.</w:t>
      </w:r>
    </w:p>
    <w:p w:rsidR="00000000" w:rsidDel="00000000" w:rsidP="00000000" w:rsidRDefault="00000000" w:rsidRPr="00000000" w14:paraId="000000B2">
      <w:pPr>
        <w:spacing w:after="0" w:before="0" w:line="240" w:lineRule="auto"/>
        <w:ind w:left="0" w:firstLine="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B3">
      <w:pPr>
        <w:spacing w:after="0" w:before="0" w:line="240" w:lineRule="auto"/>
        <w:ind w:left="0"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Wittgenstein, L. Conversações sobre Freud. </w:t>
      </w:r>
      <w:r w:rsidDel="00000000" w:rsidR="00000000" w:rsidRPr="00000000">
        <w:rPr>
          <w:rFonts w:ascii="Times New Roman" w:cs="Times New Roman" w:eastAsia="Times New Roman" w:hAnsi="Times New Roman"/>
          <w:i w:val="1"/>
          <w:highlight w:val="white"/>
          <w:rtl w:val="0"/>
        </w:rPr>
        <w:t xml:space="preserve">Estética, Psicologia e Religião</w:t>
      </w:r>
      <w:r w:rsidDel="00000000" w:rsidR="00000000" w:rsidRPr="00000000">
        <w:rPr>
          <w:rFonts w:ascii="Times New Roman" w:cs="Times New Roman" w:eastAsia="Times New Roman" w:hAnsi="Times New Roman"/>
          <w:highlight w:val="white"/>
          <w:rtl w:val="0"/>
        </w:rPr>
        <w:t xml:space="preserve">. São Paulo: Cultrix, 1970.</w:t>
      </w:r>
    </w:p>
    <w:p w:rsidR="00000000" w:rsidDel="00000000" w:rsidP="00000000" w:rsidRDefault="00000000" w:rsidRPr="00000000" w14:paraId="000000B4">
      <w:pPr>
        <w:spacing w:after="0" w:before="0" w:line="240" w:lineRule="auto"/>
        <w:ind w:left="0" w:firstLine="0"/>
        <w:jc w:val="both"/>
        <w:rPr>
          <w:rFonts w:ascii="Times New Roman" w:cs="Times New Roman" w:eastAsia="Times New Roman" w:hAnsi="Times New Roman"/>
          <w:highlight w:val="white"/>
        </w:rPr>
      </w:pPr>
      <w:r w:rsidDel="00000000" w:rsidR="00000000" w:rsidRPr="00000000">
        <w:rPr>
          <w:rtl w:val="0"/>
        </w:rPr>
      </w:r>
    </w:p>
    <w:sectPr>
      <w:footerReference r:id="rId7" w:type="default"/>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B5">
      <w:pPr>
        <w:keepLines w:val="1"/>
        <w:pBdr>
          <w:top w:space="0" w:sz="0" w:val="nil"/>
          <w:left w:space="0" w:sz="0" w:val="nil"/>
          <w:bottom w:space="0" w:sz="0" w:val="nil"/>
          <w:right w:space="0" w:sz="0" w:val="nil"/>
          <w:between w:space="0" w:sz="0" w:val="nil"/>
        </w:pBdr>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Obviamente, a partir da perspectiva de Popper, essa garantia só existe enquanto não for falseada. Cf. Popper, K. </w:t>
      </w:r>
      <w:r w:rsidDel="00000000" w:rsidR="00000000" w:rsidRPr="00000000">
        <w:rPr>
          <w:rFonts w:ascii="Times New Roman" w:cs="Times New Roman" w:eastAsia="Times New Roman" w:hAnsi="Times New Roman"/>
          <w:i w:val="1"/>
          <w:color w:val="000000"/>
          <w:sz w:val="20"/>
          <w:szCs w:val="20"/>
          <w:rtl w:val="0"/>
        </w:rPr>
        <w:t xml:space="preserve">A lógica da descoberta científica</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São Paulo: Cultrix, 2013</w:t>
      </w:r>
      <w:r w:rsidDel="00000000" w:rsidR="00000000" w:rsidRPr="00000000">
        <w:rPr>
          <w:rFonts w:ascii="Times New Roman" w:cs="Times New Roman" w:eastAsia="Times New Roman" w:hAnsi="Times New Roman"/>
          <w:sz w:val="20"/>
          <w:szCs w:val="20"/>
          <w:rtl w:val="0"/>
        </w:rPr>
        <w:t xml:space="preserve">.</w:t>
      </w:r>
    </w:p>
  </w:footnote>
  <w:footnote w:id="1">
    <w:p w:rsidR="00000000" w:rsidDel="00000000" w:rsidP="00000000" w:rsidRDefault="00000000" w:rsidRPr="00000000" w14:paraId="000000B6">
      <w:pPr>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Wittgenstein, L. Conversações sobre Freud.</w:t>
      </w:r>
      <w:r w:rsidDel="00000000" w:rsidR="00000000" w:rsidRPr="00000000">
        <w:rPr>
          <w:rFonts w:ascii="Times New Roman" w:cs="Times New Roman" w:eastAsia="Times New Roman" w:hAnsi="Times New Roman"/>
          <w:i w:val="1"/>
          <w:sz w:val="20"/>
          <w:szCs w:val="20"/>
          <w:rtl w:val="0"/>
        </w:rPr>
        <w:t xml:space="preserve"> Estética, Psicologia e Religião</w:t>
      </w:r>
      <w:r w:rsidDel="00000000" w:rsidR="00000000" w:rsidRPr="00000000">
        <w:rPr>
          <w:rFonts w:ascii="Times New Roman" w:cs="Times New Roman" w:eastAsia="Times New Roman" w:hAnsi="Times New Roman"/>
          <w:sz w:val="20"/>
          <w:szCs w:val="20"/>
          <w:rtl w:val="0"/>
        </w:rPr>
        <w:t xml:space="preserve">.  São Paulo: Cultrix, 1970, p. 74.</w:t>
      </w:r>
      <w:r w:rsidDel="00000000" w:rsidR="00000000" w:rsidRPr="00000000">
        <w:rPr>
          <w:rtl w:val="0"/>
        </w:rPr>
      </w:r>
    </w:p>
  </w:footnote>
  <w:footnote w:id="2">
    <w:p w:rsidR="00000000" w:rsidDel="00000000" w:rsidP="00000000" w:rsidRDefault="00000000" w:rsidRPr="00000000" w14:paraId="000000B7">
      <w:pPr>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 p. 75.</w:t>
      </w:r>
      <w:r w:rsidDel="00000000" w:rsidR="00000000" w:rsidRPr="00000000">
        <w:rPr>
          <w:rtl w:val="0"/>
        </w:rPr>
      </w:r>
    </w:p>
  </w:footnote>
  <w:footnote w:id="3">
    <w:p w:rsidR="00000000" w:rsidDel="00000000" w:rsidP="00000000" w:rsidRDefault="00000000" w:rsidRPr="00000000" w14:paraId="000000B8">
      <w:pPr>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Freud, S. Projeto para uma Psicologia Científica. </w:t>
      </w:r>
      <w:r w:rsidDel="00000000" w:rsidR="00000000" w:rsidRPr="00000000">
        <w:rPr>
          <w:rFonts w:ascii="Times New Roman" w:cs="Times New Roman" w:eastAsia="Times New Roman" w:hAnsi="Times New Roman"/>
          <w:i w:val="1"/>
          <w:sz w:val="20"/>
          <w:szCs w:val="20"/>
          <w:rtl w:val="0"/>
        </w:rPr>
        <w:t xml:space="preserve">Ed. Standard Brasileira</w:t>
      </w:r>
      <w:r w:rsidDel="00000000" w:rsidR="00000000" w:rsidRPr="00000000">
        <w:rPr>
          <w:rFonts w:ascii="Times New Roman" w:cs="Times New Roman" w:eastAsia="Times New Roman" w:hAnsi="Times New Roman"/>
          <w:sz w:val="20"/>
          <w:szCs w:val="20"/>
          <w:rtl w:val="0"/>
        </w:rPr>
        <w:t xml:space="preserve">, Vol. I, p. 347.</w:t>
      </w:r>
      <w:r w:rsidDel="00000000" w:rsidR="00000000" w:rsidRPr="00000000">
        <w:rPr>
          <w:rtl w:val="0"/>
        </w:rPr>
      </w:r>
    </w:p>
  </w:footnote>
  <w:footnote w:id="4">
    <w:p w:rsidR="00000000" w:rsidDel="00000000" w:rsidP="00000000" w:rsidRDefault="00000000" w:rsidRPr="00000000" w14:paraId="000000B9">
      <w:pPr>
        <w:keepLines w:val="1"/>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Hempel, C. G. </w:t>
      </w:r>
      <w:r w:rsidDel="00000000" w:rsidR="00000000" w:rsidRPr="00000000">
        <w:rPr>
          <w:rFonts w:ascii="Times New Roman" w:cs="Times New Roman" w:eastAsia="Times New Roman" w:hAnsi="Times New Roman"/>
          <w:i w:val="1"/>
          <w:color w:val="000000"/>
          <w:sz w:val="20"/>
          <w:szCs w:val="20"/>
          <w:rtl w:val="0"/>
        </w:rPr>
        <w:t xml:space="preserve">Éléments d’épistémologie.</w:t>
      </w:r>
      <w:r w:rsidDel="00000000" w:rsidR="00000000" w:rsidRPr="00000000">
        <w:rPr>
          <w:rFonts w:ascii="Times New Roman" w:cs="Times New Roman" w:eastAsia="Times New Roman" w:hAnsi="Times New Roman"/>
          <w:color w:val="000000"/>
          <w:sz w:val="20"/>
          <w:szCs w:val="20"/>
          <w:rtl w:val="0"/>
        </w:rPr>
        <w:t xml:space="preserve"> Trad. Bertrand Saint-Sernin. Paris V: Armand Colin, 1972.</w:t>
      </w:r>
    </w:p>
  </w:footnote>
  <w:footnote w:id="5">
    <w:p w:rsidR="00000000" w:rsidDel="00000000" w:rsidP="00000000" w:rsidRDefault="00000000" w:rsidRPr="00000000" w14:paraId="000000BA">
      <w:pPr>
        <w:keepLines w:val="1"/>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vertAlign w:val="superscript"/>
          <w:rtl w:val="0"/>
        </w:rPr>
        <w:t xml:space="preserve">*</w:t>
      </w:r>
      <w:r w:rsidDel="00000000" w:rsidR="00000000" w:rsidRPr="00000000">
        <w:rPr>
          <w:rFonts w:ascii="Times New Roman" w:cs="Times New Roman" w:eastAsia="Times New Roman" w:hAnsi="Times New Roman"/>
          <w:color w:val="000000"/>
          <w:sz w:val="20"/>
          <w:szCs w:val="20"/>
          <w:rtl w:val="0"/>
        </w:rPr>
        <w:t xml:space="preserve"> As traduções que se seguem serão de nossa responsabilidade.</w:t>
      </w:r>
    </w:p>
  </w:footnote>
  <w:footnote w:id="6">
    <w:p w:rsidR="00000000" w:rsidDel="00000000" w:rsidP="00000000" w:rsidRDefault="00000000" w:rsidRPr="00000000" w14:paraId="000000BB">
      <w:pPr>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Beck, L. W. </w:t>
      </w:r>
      <w:r w:rsidDel="00000000" w:rsidR="00000000" w:rsidRPr="00000000">
        <w:rPr>
          <w:rFonts w:ascii="Times New Roman" w:cs="Times New Roman" w:eastAsia="Times New Roman" w:hAnsi="Times New Roman"/>
          <w:i w:val="1"/>
          <w:sz w:val="20"/>
          <w:szCs w:val="20"/>
          <w:rtl w:val="0"/>
        </w:rPr>
        <w:t xml:space="preserve">The Actor and the Spectator: Foundations of the Theory of Human Action.</w:t>
      </w:r>
      <w:r w:rsidDel="00000000" w:rsidR="00000000" w:rsidRPr="00000000">
        <w:rPr>
          <w:rFonts w:ascii="Times New Roman" w:cs="Times New Roman" w:eastAsia="Times New Roman" w:hAnsi="Times New Roman"/>
          <w:sz w:val="20"/>
          <w:szCs w:val="20"/>
          <w:rtl w:val="0"/>
        </w:rPr>
        <w:t xml:space="preserve"> Thoemmes Press, Virginia - USA, 1998, p. 72.</w:t>
      </w:r>
      <w:r w:rsidDel="00000000" w:rsidR="00000000" w:rsidRPr="00000000">
        <w:rPr>
          <w:rtl w:val="0"/>
        </w:rPr>
      </w:r>
    </w:p>
  </w:footnote>
  <w:footnote w:id="7">
    <w:p w:rsidR="00000000" w:rsidDel="00000000" w:rsidP="00000000" w:rsidRDefault="00000000" w:rsidRPr="00000000" w14:paraId="000000BC">
      <w:pPr>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 p. 74.</w:t>
      </w:r>
      <w:r w:rsidDel="00000000" w:rsidR="00000000" w:rsidRPr="00000000">
        <w:rPr>
          <w:rtl w:val="0"/>
        </w:rPr>
      </w:r>
    </w:p>
  </w:footnote>
  <w:footnote w:id="8">
    <w:p w:rsidR="00000000" w:rsidDel="00000000" w:rsidP="00000000" w:rsidRDefault="00000000" w:rsidRPr="00000000" w14:paraId="000000BD">
      <w:pPr>
        <w:keepLines w:val="1"/>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Assoun, P. L., </w:t>
      </w:r>
      <w:r w:rsidDel="00000000" w:rsidR="00000000" w:rsidRPr="00000000">
        <w:rPr>
          <w:rFonts w:ascii="Times New Roman" w:cs="Times New Roman" w:eastAsia="Times New Roman" w:hAnsi="Times New Roman"/>
          <w:i w:val="1"/>
          <w:color w:val="000000"/>
          <w:sz w:val="20"/>
          <w:szCs w:val="20"/>
          <w:rtl w:val="0"/>
        </w:rPr>
        <w:t xml:space="preserve">Freud et Wittgenstein.</w:t>
      </w:r>
      <w:r w:rsidDel="00000000" w:rsidR="00000000" w:rsidRPr="00000000">
        <w:rPr>
          <w:rFonts w:ascii="Times New Roman" w:cs="Times New Roman" w:eastAsia="Times New Roman" w:hAnsi="Times New Roman"/>
          <w:color w:val="000000"/>
          <w:sz w:val="20"/>
          <w:szCs w:val="20"/>
          <w:rtl w:val="0"/>
        </w:rPr>
        <w:t xml:space="preserve"> Paris: PUF - Philosophie d'aujourd'hui, 1988, p. 148.</w:t>
      </w:r>
    </w:p>
  </w:footnote>
  <w:footnote w:id="9">
    <w:p w:rsidR="00000000" w:rsidDel="00000000" w:rsidP="00000000" w:rsidRDefault="00000000" w:rsidRPr="00000000" w14:paraId="000000BE">
      <w:pPr>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 p. 151.</w:t>
      </w:r>
      <w:r w:rsidDel="00000000" w:rsidR="00000000" w:rsidRPr="00000000">
        <w:rPr>
          <w:rtl w:val="0"/>
        </w:rPr>
      </w:r>
    </w:p>
  </w:footnote>
  <w:footnote w:id="10">
    <w:p w:rsidR="00000000" w:rsidDel="00000000" w:rsidP="00000000" w:rsidRDefault="00000000" w:rsidRPr="00000000" w14:paraId="000000BF">
      <w:pPr>
        <w:keepLines w:val="1"/>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ibid., p. 152.</w:t>
      </w:r>
    </w:p>
  </w:footnote>
  <w:footnote w:id="11">
    <w:p w:rsidR="00000000" w:rsidDel="00000000" w:rsidP="00000000" w:rsidRDefault="00000000" w:rsidRPr="00000000" w14:paraId="000000C0">
      <w:pPr>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Apud Assoun, ibid., p. 190.</w:t>
      </w:r>
      <w:r w:rsidDel="00000000" w:rsidR="00000000" w:rsidRPr="00000000">
        <w:rPr>
          <w:rtl w:val="0"/>
        </w:rPr>
      </w:r>
    </w:p>
  </w:footnote>
  <w:footnote w:id="12">
    <w:p w:rsidR="00000000" w:rsidDel="00000000" w:rsidP="00000000" w:rsidRDefault="00000000" w:rsidRPr="00000000" w14:paraId="000000C1">
      <w:pPr>
        <w:keepLines w:val="1"/>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ibid., p. 191.</w:t>
      </w:r>
    </w:p>
  </w:footnote>
  <w:footnote w:id="29">
    <w:p w:rsidR="00000000" w:rsidDel="00000000" w:rsidP="00000000" w:rsidRDefault="00000000" w:rsidRPr="00000000" w14:paraId="000000C2">
      <w:pPr>
        <w:jc w:val="both"/>
        <w:rPr>
          <w:rFonts w:ascii="Times New Roman" w:cs="Times New Roman" w:eastAsia="Times New Roman" w:hAnsi="Times New Roman"/>
          <w:sz w:val="20"/>
          <w:szCs w:val="20"/>
          <w:highlight w:val="yellow"/>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highlight w:val="white"/>
          <w:rtl w:val="0"/>
        </w:rPr>
        <w:t xml:space="preserve"> Físico e filósofo que ao conceituar os recursos auxiliares ou também, as chamadas representações fantasias, exemplifica por Demócrito, que fez uso do átomo, e Newton, pela utilização de partículas de luz, um modo se fazer ciência.</w:t>
      </w:r>
      <w:r w:rsidDel="00000000" w:rsidR="00000000" w:rsidRPr="00000000">
        <w:rPr>
          <w:rtl w:val="0"/>
        </w:rPr>
      </w:r>
    </w:p>
  </w:footnote>
  <w:footnote w:id="30">
    <w:p w:rsidR="00000000" w:rsidDel="00000000" w:rsidP="00000000" w:rsidRDefault="00000000" w:rsidRPr="00000000" w14:paraId="000000C5">
      <w:pPr>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Como trazido por Assoun (1981 e 1985), Mach também foi figura importante para Einstein. No que concerne à proximidade destes dois com Freud, há inclusive (Fulgêncio, 2000) </w:t>
      </w:r>
      <w:r w:rsidDel="00000000" w:rsidR="00000000" w:rsidRPr="00000000">
        <w:rPr>
          <w:rFonts w:ascii="Times New Roman" w:cs="Times New Roman" w:eastAsia="Times New Roman" w:hAnsi="Times New Roman"/>
          <w:sz w:val="20"/>
          <w:szCs w:val="20"/>
          <w:highlight w:val="white"/>
          <w:rtl w:val="0"/>
        </w:rPr>
        <w:t xml:space="preserve">a análise de um documento, de 1912, assinado por Mach, Einstein e Freud, entre outros, em prol da criação de uma Sociedade para a Filosofia Positivista</w:t>
      </w:r>
      <w:r w:rsidDel="00000000" w:rsidR="00000000" w:rsidRPr="00000000">
        <w:rPr>
          <w:rFonts w:ascii="Times New Roman" w:cs="Times New Roman" w:eastAsia="Times New Roman" w:hAnsi="Times New Roman"/>
          <w:i w:val="1"/>
          <w:sz w:val="20"/>
          <w:szCs w:val="20"/>
          <w:highlight w:val="white"/>
          <w:rtl w:val="0"/>
        </w:rPr>
        <w:t xml:space="preserve">.</w:t>
      </w:r>
      <w:r w:rsidDel="00000000" w:rsidR="00000000" w:rsidRPr="00000000">
        <w:rPr>
          <w:rtl w:val="0"/>
        </w:rPr>
      </w:r>
    </w:p>
  </w:footnote>
  <w:footnote w:id="14">
    <w:p w:rsidR="00000000" w:rsidDel="00000000" w:rsidP="00000000" w:rsidRDefault="00000000" w:rsidRPr="00000000" w14:paraId="000000C6">
      <w:pPr>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Fulgencio, L. (2003). As especulações metapsicológicas de Freud. in: </w:t>
      </w:r>
      <w:r w:rsidDel="00000000" w:rsidR="00000000" w:rsidRPr="00000000">
        <w:rPr>
          <w:rFonts w:ascii="Times New Roman" w:cs="Times New Roman" w:eastAsia="Times New Roman" w:hAnsi="Times New Roman"/>
          <w:i w:val="1"/>
          <w:sz w:val="20"/>
          <w:szCs w:val="20"/>
          <w:highlight w:val="white"/>
          <w:rtl w:val="0"/>
        </w:rPr>
        <w:t xml:space="preserve">Natureza Humana</w:t>
      </w:r>
      <w:r w:rsidDel="00000000" w:rsidR="00000000" w:rsidRPr="00000000">
        <w:rPr>
          <w:rFonts w:ascii="Times New Roman" w:cs="Times New Roman" w:eastAsia="Times New Roman" w:hAnsi="Times New Roman"/>
          <w:sz w:val="20"/>
          <w:szCs w:val="20"/>
          <w:highlight w:val="white"/>
          <w:rtl w:val="0"/>
        </w:rPr>
        <w:t xml:space="preserve"> – Revista Internacional de Filosofia e Psicanálise. São Paulo: EDUC, vol. 5. n. 1.</w:t>
      </w:r>
      <w:r w:rsidDel="00000000" w:rsidR="00000000" w:rsidRPr="00000000">
        <w:rPr>
          <w:rtl w:val="0"/>
        </w:rPr>
      </w:r>
    </w:p>
  </w:footnote>
  <w:footnote w:id="15">
    <w:p w:rsidR="00000000" w:rsidDel="00000000" w:rsidP="00000000" w:rsidRDefault="00000000" w:rsidRPr="00000000" w14:paraId="000000C7">
      <w:pPr>
        <w:jc w:val="both"/>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Freud apud Fulgencio, ibid., p.135.</w:t>
      </w:r>
      <w:r w:rsidDel="00000000" w:rsidR="00000000" w:rsidRPr="00000000">
        <w:rPr>
          <w:rtl w:val="0"/>
        </w:rPr>
      </w:r>
    </w:p>
  </w:footnote>
  <w:footnote w:id="16">
    <w:p w:rsidR="00000000" w:rsidDel="00000000" w:rsidP="00000000" w:rsidRDefault="00000000" w:rsidRPr="00000000" w14:paraId="000000C8">
      <w:pPr>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ibid., p.135.</w:t>
      </w:r>
      <w:r w:rsidDel="00000000" w:rsidR="00000000" w:rsidRPr="00000000">
        <w:rPr>
          <w:rtl w:val="0"/>
        </w:rPr>
      </w:r>
    </w:p>
  </w:footnote>
  <w:footnote w:id="17">
    <w:p w:rsidR="00000000" w:rsidDel="00000000" w:rsidP="00000000" w:rsidRDefault="00000000" w:rsidRPr="00000000" w14:paraId="000000C9">
      <w:pPr>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Freud apud Fulgencio, ibid., p.136.</w:t>
      </w:r>
      <w:r w:rsidDel="00000000" w:rsidR="00000000" w:rsidRPr="00000000">
        <w:rPr>
          <w:rtl w:val="0"/>
        </w:rPr>
      </w:r>
    </w:p>
  </w:footnote>
  <w:footnote w:id="18">
    <w:p w:rsidR="00000000" w:rsidDel="00000000" w:rsidP="00000000" w:rsidRDefault="00000000" w:rsidRPr="00000000" w14:paraId="000000CA">
      <w:pPr>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Freud apud Fulgencio, ibid., p.137.</w:t>
      </w:r>
      <w:r w:rsidDel="00000000" w:rsidR="00000000" w:rsidRPr="00000000">
        <w:rPr>
          <w:rtl w:val="0"/>
        </w:rPr>
      </w:r>
    </w:p>
  </w:footnote>
  <w:footnote w:id="19">
    <w:p w:rsidR="00000000" w:rsidDel="00000000" w:rsidP="00000000" w:rsidRDefault="00000000" w:rsidRPr="00000000" w14:paraId="000000CB">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ibid., p.140.</w:t>
      </w:r>
      <w:r w:rsidDel="00000000" w:rsidR="00000000" w:rsidRPr="00000000">
        <w:rPr>
          <w:rtl w:val="0"/>
        </w:rPr>
      </w:r>
    </w:p>
  </w:footnote>
  <w:footnote w:id="20">
    <w:p w:rsidR="00000000" w:rsidDel="00000000" w:rsidP="00000000" w:rsidRDefault="00000000" w:rsidRPr="00000000" w14:paraId="000000CC">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ibid., p.146.</w:t>
      </w:r>
      <w:r w:rsidDel="00000000" w:rsidR="00000000" w:rsidRPr="00000000">
        <w:rPr>
          <w:rtl w:val="0"/>
        </w:rPr>
      </w:r>
    </w:p>
  </w:footnote>
  <w:footnote w:id="21">
    <w:p w:rsidR="00000000" w:rsidDel="00000000" w:rsidP="00000000" w:rsidRDefault="00000000" w:rsidRPr="00000000" w14:paraId="000000CD">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ibid., p.145.</w:t>
      </w:r>
      <w:r w:rsidDel="00000000" w:rsidR="00000000" w:rsidRPr="00000000">
        <w:rPr>
          <w:rtl w:val="0"/>
        </w:rPr>
      </w:r>
    </w:p>
  </w:footnote>
  <w:footnote w:id="22">
    <w:p w:rsidR="00000000" w:rsidDel="00000000" w:rsidP="00000000" w:rsidRDefault="00000000" w:rsidRPr="00000000" w14:paraId="000000CE">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Freud apud Fulgencio, ibid., p.146.</w:t>
      </w:r>
      <w:r w:rsidDel="00000000" w:rsidR="00000000" w:rsidRPr="00000000">
        <w:rPr>
          <w:rtl w:val="0"/>
        </w:rPr>
      </w:r>
    </w:p>
  </w:footnote>
  <w:footnote w:id="23">
    <w:p w:rsidR="00000000" w:rsidDel="00000000" w:rsidP="00000000" w:rsidRDefault="00000000" w:rsidRPr="00000000" w14:paraId="000000CF">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Kant apud Fulgencio, ibid., p.147.</w:t>
      </w:r>
      <w:r w:rsidDel="00000000" w:rsidR="00000000" w:rsidRPr="00000000">
        <w:rPr>
          <w:rtl w:val="0"/>
        </w:rPr>
      </w:r>
    </w:p>
  </w:footnote>
  <w:footnote w:id="24">
    <w:p w:rsidR="00000000" w:rsidDel="00000000" w:rsidP="00000000" w:rsidRDefault="00000000" w:rsidRPr="00000000" w14:paraId="000000D0">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Kant apud Fulgencio, ibid., p.147.</w:t>
      </w:r>
      <w:r w:rsidDel="00000000" w:rsidR="00000000" w:rsidRPr="00000000">
        <w:rPr>
          <w:rtl w:val="0"/>
        </w:rPr>
      </w:r>
    </w:p>
  </w:footnote>
  <w:footnote w:id="25">
    <w:p w:rsidR="00000000" w:rsidDel="00000000" w:rsidP="00000000" w:rsidRDefault="00000000" w:rsidRPr="00000000" w14:paraId="000000D1">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ibid., p.148.</w:t>
      </w:r>
      <w:r w:rsidDel="00000000" w:rsidR="00000000" w:rsidRPr="00000000">
        <w:rPr>
          <w:rtl w:val="0"/>
        </w:rPr>
      </w:r>
    </w:p>
  </w:footnote>
  <w:footnote w:id="26">
    <w:p w:rsidR="00000000" w:rsidDel="00000000" w:rsidP="00000000" w:rsidRDefault="00000000" w:rsidRPr="00000000" w14:paraId="000000D2">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ibid., p.151.</w:t>
      </w:r>
      <w:r w:rsidDel="00000000" w:rsidR="00000000" w:rsidRPr="00000000">
        <w:rPr>
          <w:rtl w:val="0"/>
        </w:rPr>
      </w:r>
    </w:p>
  </w:footnote>
  <w:footnote w:id="27">
    <w:p w:rsidR="00000000" w:rsidDel="00000000" w:rsidP="00000000" w:rsidRDefault="00000000" w:rsidRPr="00000000" w14:paraId="000000D3">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ibid., p.151.</w:t>
      </w:r>
      <w:r w:rsidDel="00000000" w:rsidR="00000000" w:rsidRPr="00000000">
        <w:rPr>
          <w:rtl w:val="0"/>
        </w:rPr>
      </w:r>
    </w:p>
  </w:footnote>
  <w:footnote w:id="28">
    <w:p w:rsidR="00000000" w:rsidDel="00000000" w:rsidP="00000000" w:rsidRDefault="00000000" w:rsidRPr="00000000" w14:paraId="000000D4">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ibid., p.152.</w:t>
      </w:r>
      <w:r w:rsidDel="00000000" w:rsidR="00000000" w:rsidRPr="00000000">
        <w:rPr>
          <w:rtl w:val="0"/>
        </w:rPr>
      </w:r>
    </w:p>
  </w:footnote>
  <w:footnote w:id="31">
    <w:p w:rsidR="00000000" w:rsidDel="00000000" w:rsidP="00000000" w:rsidRDefault="00000000" w:rsidRPr="00000000" w14:paraId="000000D5">
      <w:pPr>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Mach apud Fulgencio, ibid., p.153.</w:t>
      </w:r>
      <w:r w:rsidDel="00000000" w:rsidR="00000000" w:rsidRPr="00000000">
        <w:rPr>
          <w:rtl w:val="0"/>
        </w:rPr>
      </w:r>
    </w:p>
  </w:footnote>
  <w:footnote w:id="32">
    <w:p w:rsidR="00000000" w:rsidDel="00000000" w:rsidP="00000000" w:rsidRDefault="00000000" w:rsidRPr="00000000" w14:paraId="000000D6">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Mach apud Fulgencio, ibid., p.153.</w:t>
      </w:r>
      <w:r w:rsidDel="00000000" w:rsidR="00000000" w:rsidRPr="00000000">
        <w:rPr>
          <w:rtl w:val="0"/>
        </w:rPr>
      </w:r>
    </w:p>
  </w:footnote>
  <w:footnote w:id="33">
    <w:p w:rsidR="00000000" w:rsidDel="00000000" w:rsidP="00000000" w:rsidRDefault="00000000" w:rsidRPr="00000000" w14:paraId="000000D7">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Freud apud Fulgencio, ibid., p.153.</w:t>
      </w:r>
      <w:r w:rsidDel="00000000" w:rsidR="00000000" w:rsidRPr="00000000">
        <w:rPr>
          <w:rtl w:val="0"/>
        </w:rPr>
      </w:r>
    </w:p>
  </w:footnote>
  <w:footnote w:id="34">
    <w:p w:rsidR="00000000" w:rsidDel="00000000" w:rsidP="00000000" w:rsidRDefault="00000000" w:rsidRPr="00000000" w14:paraId="000000D8">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Mach apud Fulgencio, ibid., p.154.</w:t>
      </w:r>
      <w:r w:rsidDel="00000000" w:rsidR="00000000" w:rsidRPr="00000000">
        <w:rPr>
          <w:rtl w:val="0"/>
        </w:rPr>
      </w:r>
    </w:p>
  </w:footnote>
  <w:footnote w:id="35">
    <w:p w:rsidR="00000000" w:rsidDel="00000000" w:rsidP="00000000" w:rsidRDefault="00000000" w:rsidRPr="00000000" w14:paraId="000000D9">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Freud apud Fulgencio, ibid., p.155.</w:t>
      </w:r>
      <w:r w:rsidDel="00000000" w:rsidR="00000000" w:rsidRPr="00000000">
        <w:rPr>
          <w:rtl w:val="0"/>
        </w:rPr>
      </w:r>
    </w:p>
  </w:footnote>
  <w:footnote w:id="13">
    <w:p w:rsidR="00000000" w:rsidDel="00000000" w:rsidP="00000000" w:rsidRDefault="00000000" w:rsidRPr="00000000" w14:paraId="000000DA">
      <w:pPr>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Tradução de nossa autoria referente ao título original: </w:t>
      </w:r>
      <w:r w:rsidDel="00000000" w:rsidR="00000000" w:rsidRPr="00000000">
        <w:rPr>
          <w:rFonts w:ascii="Times New Roman" w:cs="Times New Roman" w:eastAsia="Times New Roman" w:hAnsi="Times New Roman"/>
          <w:i w:val="1"/>
          <w:sz w:val="20"/>
          <w:szCs w:val="20"/>
          <w:rtl w:val="0"/>
        </w:rPr>
        <w:t xml:space="preserve">Critique of Psychoanalytic Concepts and Theories</w:t>
      </w:r>
      <w:r w:rsidDel="00000000" w:rsidR="00000000" w:rsidRPr="00000000">
        <w:rPr>
          <w:rFonts w:ascii="Times New Roman" w:cs="Times New Roman" w:eastAsia="Times New Roman" w:hAnsi="Times New Roman"/>
          <w:sz w:val="20"/>
          <w:szCs w:val="20"/>
          <w:rtl w:val="0"/>
        </w:rPr>
        <w:t xml:space="preserve">. A referência completa do artigo está na bibliografia.</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widowControl w:val="0"/>
      <w:spacing w:before="240" w:line="480" w:lineRule="auto"/>
      <w:jc w:val="both"/>
    </w:pPr>
    <w:rPr>
      <w:b w:val="1"/>
      <w:i w:val="1"/>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