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1536" w14:textId="04B8361D" w:rsidR="00E750F3" w:rsidRPr="00CE6CC0" w:rsidRDefault="54F5D8AB" w:rsidP="005656CB">
      <w:pPr>
        <w:spacing w:line="240" w:lineRule="auto"/>
        <w:jc w:val="center"/>
        <w:rPr>
          <w:rFonts w:ascii="Times" w:hAnsi="Times" w:cs="Times New Roman"/>
          <w:b/>
          <w:bCs/>
        </w:rPr>
      </w:pPr>
      <w:r w:rsidRPr="00CE6CC0">
        <w:rPr>
          <w:rFonts w:ascii="Times" w:hAnsi="Times" w:cs="Times New Roman"/>
          <w:b/>
          <w:bCs/>
        </w:rPr>
        <w:t xml:space="preserve">O NÍVEL DE EVIDENCIAÇÃO DO ATIVO INTANGÍVEL APÓS A ADOÇÃO DAS IFRS: ESTUDO EM ORGANIZAÇÕES DA </w:t>
      </w:r>
      <w:r w:rsidR="008B017B">
        <w:rPr>
          <w:rFonts w:ascii="Times" w:hAnsi="Times" w:cs="Times New Roman"/>
          <w:b/>
          <w:bCs/>
        </w:rPr>
        <w:t>B3</w:t>
      </w:r>
      <w:r w:rsidRPr="00CE6CC0">
        <w:rPr>
          <w:rFonts w:ascii="Times" w:hAnsi="Times" w:cs="Times New Roman"/>
          <w:b/>
          <w:bCs/>
        </w:rPr>
        <w:t xml:space="preserve"> E EURONEXT-LISBOA</w:t>
      </w:r>
    </w:p>
    <w:p w14:paraId="353F7C4B" w14:textId="50C07DAB" w:rsidR="00760CDC" w:rsidRPr="00877608" w:rsidRDefault="00F35BDA" w:rsidP="008B60A3">
      <w:pPr>
        <w:pStyle w:val="NormalWeb"/>
        <w:spacing w:before="240" w:beforeAutospacing="0" w:after="240" w:afterAutospacing="0"/>
        <w:rPr>
          <w:rFonts w:ascii="Times" w:hAnsi="Times"/>
          <w:color w:val="111111"/>
        </w:rPr>
      </w:pPr>
      <w:r>
        <w:rPr>
          <w:rFonts w:ascii="Times" w:hAnsi="Times"/>
          <w:color w:val="111111"/>
        </w:rPr>
        <w:t xml:space="preserve">Murillo José Torelli Pinto </w:t>
      </w:r>
      <w:r w:rsidR="001171EF" w:rsidRPr="00F35BDA">
        <w:rPr>
          <w:rStyle w:val="Refdenotaderodap"/>
          <w:rFonts w:ascii="Times" w:hAnsi="Times"/>
          <w:color w:val="111111"/>
          <w:sz w:val="32"/>
        </w:rPr>
        <w:footnoteReference w:id="1"/>
      </w:r>
    </w:p>
    <w:p w14:paraId="5F902362" w14:textId="03A1ECAB" w:rsidR="00760CDC" w:rsidRPr="00877608" w:rsidRDefault="00F35BDA" w:rsidP="008B60A3">
      <w:pPr>
        <w:pStyle w:val="NormalWeb"/>
        <w:spacing w:before="240" w:beforeAutospacing="0" w:after="240" w:afterAutospacing="0"/>
        <w:rPr>
          <w:rFonts w:ascii="Times" w:hAnsi="Times"/>
          <w:color w:val="111111"/>
        </w:rPr>
      </w:pPr>
      <w:r w:rsidRPr="00F35BDA">
        <w:rPr>
          <w:rFonts w:ascii="Times" w:hAnsi="Times"/>
          <w:color w:val="111111"/>
        </w:rPr>
        <w:t>Thamires Arcanja dos Santos</w:t>
      </w:r>
      <w:r>
        <w:rPr>
          <w:rFonts w:ascii="Times" w:hAnsi="Times"/>
          <w:color w:val="111111"/>
        </w:rPr>
        <w:t xml:space="preserve"> </w:t>
      </w:r>
      <w:r w:rsidR="00DE15C1" w:rsidRPr="00F35BDA">
        <w:rPr>
          <w:rStyle w:val="Refdenotaderodap"/>
          <w:rFonts w:ascii="Times" w:hAnsi="Times"/>
          <w:color w:val="111111"/>
          <w:sz w:val="32"/>
        </w:rPr>
        <w:footnoteReference w:id="2"/>
      </w:r>
    </w:p>
    <w:p w14:paraId="44401537" w14:textId="27EFB558" w:rsidR="00E750F3" w:rsidRDefault="00B632E6" w:rsidP="008B60A3">
      <w:pPr>
        <w:pStyle w:val="NormalWeb"/>
        <w:spacing w:before="240" w:beforeAutospacing="0" w:after="240" w:afterAutospacing="0"/>
        <w:rPr>
          <w:rFonts w:ascii="Times" w:hAnsi="Times"/>
          <w:color w:val="111111"/>
        </w:rPr>
      </w:pPr>
      <w:r w:rsidRPr="00B632E6">
        <w:rPr>
          <w:rFonts w:ascii="Times" w:hAnsi="Times"/>
          <w:color w:val="111111"/>
        </w:rPr>
        <w:t>Heitor Laranjeira Vitor</w:t>
      </w:r>
      <w:r>
        <w:rPr>
          <w:rFonts w:ascii="Times" w:hAnsi="Times"/>
          <w:color w:val="111111"/>
        </w:rPr>
        <w:t xml:space="preserve"> </w:t>
      </w:r>
      <w:r w:rsidR="00DE15C1" w:rsidRPr="00B632E6">
        <w:rPr>
          <w:rStyle w:val="Refdenotaderodap"/>
          <w:rFonts w:ascii="Times" w:hAnsi="Times"/>
          <w:color w:val="111111"/>
          <w:sz w:val="32"/>
        </w:rPr>
        <w:footnoteReference w:id="3"/>
      </w:r>
    </w:p>
    <w:p w14:paraId="60D679F7" w14:textId="3C786C5A" w:rsidR="00760CDC" w:rsidRDefault="00B632E6" w:rsidP="00D368C5">
      <w:pPr>
        <w:pStyle w:val="NormalWeb"/>
        <w:spacing w:before="240" w:beforeAutospacing="0" w:after="240" w:afterAutospacing="0"/>
        <w:rPr>
          <w:rFonts w:ascii="Times" w:hAnsi="Times"/>
          <w:color w:val="111111"/>
        </w:rPr>
      </w:pPr>
      <w:r w:rsidRPr="00B632E6">
        <w:rPr>
          <w:rFonts w:ascii="Times" w:hAnsi="Times"/>
          <w:color w:val="111111"/>
        </w:rPr>
        <w:t>Tiago Oliveira Santos</w:t>
      </w:r>
      <w:r>
        <w:rPr>
          <w:rFonts w:ascii="Times" w:hAnsi="Times"/>
          <w:color w:val="111111"/>
        </w:rPr>
        <w:t xml:space="preserve"> </w:t>
      </w:r>
      <w:r w:rsidR="00D368C5" w:rsidRPr="00B632E6">
        <w:rPr>
          <w:rStyle w:val="Refdenotaderodap"/>
          <w:rFonts w:ascii="Times" w:hAnsi="Times"/>
          <w:color w:val="111111"/>
          <w:sz w:val="32"/>
        </w:rPr>
        <w:footnoteReference w:id="4"/>
      </w:r>
    </w:p>
    <w:p w14:paraId="373FF2ED" w14:textId="4AEDA1A4" w:rsidR="00B632E6" w:rsidRPr="00684511" w:rsidRDefault="00684511" w:rsidP="00B632E6">
      <w:pPr>
        <w:pStyle w:val="NormalWeb"/>
        <w:spacing w:before="240" w:beforeAutospacing="0" w:after="240" w:afterAutospacing="0"/>
        <w:rPr>
          <w:rFonts w:ascii="Times" w:hAnsi="Times"/>
          <w:color w:val="111111"/>
          <w:sz w:val="32"/>
        </w:rPr>
      </w:pPr>
      <w:r w:rsidRPr="00684511">
        <w:rPr>
          <w:rFonts w:ascii="Times" w:hAnsi="Times"/>
          <w:color w:val="111111"/>
        </w:rPr>
        <w:t>Gabriela Felipe da Silva</w:t>
      </w:r>
      <w:r>
        <w:rPr>
          <w:rFonts w:ascii="Times" w:hAnsi="Times"/>
          <w:color w:val="111111"/>
        </w:rPr>
        <w:t xml:space="preserve"> </w:t>
      </w:r>
      <w:r w:rsidR="00B632E6" w:rsidRPr="00684511">
        <w:rPr>
          <w:rStyle w:val="Refdenotaderodap"/>
          <w:rFonts w:ascii="Times" w:hAnsi="Times"/>
          <w:color w:val="111111"/>
          <w:sz w:val="32"/>
        </w:rPr>
        <w:footnoteReference w:id="5"/>
      </w:r>
    </w:p>
    <w:p w14:paraId="3F944C4D" w14:textId="77777777" w:rsidR="00B632E6" w:rsidRPr="00D368C5" w:rsidRDefault="00B632E6" w:rsidP="00D368C5">
      <w:pPr>
        <w:pStyle w:val="NormalWeb"/>
        <w:spacing w:before="240" w:beforeAutospacing="0" w:after="240" w:afterAutospacing="0"/>
        <w:rPr>
          <w:rFonts w:ascii="Times" w:hAnsi="Times"/>
          <w:color w:val="111111"/>
        </w:rPr>
      </w:pPr>
    </w:p>
    <w:p w14:paraId="0EA78496" w14:textId="77777777" w:rsidR="00760CDC" w:rsidRPr="00CE6CC0" w:rsidRDefault="00760CDC" w:rsidP="008B60A3">
      <w:pPr>
        <w:spacing w:line="240" w:lineRule="auto"/>
        <w:rPr>
          <w:rFonts w:ascii="Times" w:hAnsi="Times" w:cs="Times New Roman"/>
          <w:szCs w:val="24"/>
        </w:rPr>
      </w:pPr>
    </w:p>
    <w:p w14:paraId="44401538" w14:textId="77777777" w:rsidR="00E750F3" w:rsidRPr="00CE6CC0" w:rsidRDefault="54F5D8AB" w:rsidP="008B60A3">
      <w:pPr>
        <w:spacing w:afterLines="120" w:after="288" w:line="240" w:lineRule="auto"/>
        <w:rPr>
          <w:rFonts w:ascii="Times" w:hAnsi="Times" w:cs="Times New Roman"/>
          <w:b/>
          <w:bCs/>
        </w:rPr>
      </w:pPr>
      <w:r w:rsidRPr="00CE6CC0">
        <w:rPr>
          <w:rFonts w:ascii="Times" w:hAnsi="Times" w:cs="Times New Roman"/>
          <w:b/>
          <w:bCs/>
        </w:rPr>
        <w:t>RESUMO</w:t>
      </w:r>
    </w:p>
    <w:p w14:paraId="44401539" w14:textId="165FA713" w:rsidR="00E750F3" w:rsidRPr="00CE6CC0" w:rsidRDefault="00E750F3" w:rsidP="008B60A3">
      <w:pPr>
        <w:spacing w:afterLines="120" w:after="288" w:line="240" w:lineRule="auto"/>
        <w:rPr>
          <w:rFonts w:ascii="Times" w:hAnsi="Times" w:cs="Times New Roman"/>
        </w:rPr>
      </w:pPr>
      <w:r w:rsidRPr="00CE6CC0">
        <w:rPr>
          <w:rFonts w:ascii="Times" w:hAnsi="Times" w:cs="Times New Roman"/>
        </w:rPr>
        <w:t xml:space="preserve">A convergência da contabilidade aos </w:t>
      </w:r>
      <w:r w:rsidR="00773516" w:rsidRPr="00CE6CC0">
        <w:rPr>
          <w:rFonts w:ascii="Times" w:hAnsi="Times" w:cs="Times New Roman"/>
        </w:rPr>
        <w:t xml:space="preserve">padrões internacionais por meio </w:t>
      </w:r>
      <w:r w:rsidRPr="00CE6CC0">
        <w:rPr>
          <w:rFonts w:ascii="Times" w:hAnsi="Times" w:cs="Times New Roman"/>
        </w:rPr>
        <w:t xml:space="preserve">das </w:t>
      </w:r>
      <w:r w:rsidRPr="00CE6CC0">
        <w:rPr>
          <w:rFonts w:ascii="Times" w:hAnsi="Times" w:cs="Times New Roman"/>
          <w:i/>
          <w:iCs/>
        </w:rPr>
        <w:t>Internacional Financial Reporting Standards</w:t>
      </w:r>
      <w:r w:rsidRPr="00CE6CC0">
        <w:rPr>
          <w:rFonts w:ascii="Times" w:hAnsi="Times" w:cs="Times New Roman"/>
        </w:rPr>
        <w:t xml:space="preserve"> (IFRS) trouxe alterações significativas tanto na legislação portuguesa quanto na brasileira. Por este motivo o presente estudo teve por objetivo analisar o nível de aderência às exigências de evidenciação obrigatórias do ativo intangível, conforme a IAS 38 (</w:t>
      </w:r>
      <w:r w:rsidRPr="00CE6CC0">
        <w:rPr>
          <w:rFonts w:ascii="Times" w:hAnsi="Times" w:cs="Times New Roman"/>
          <w:i/>
          <w:iCs/>
          <w:shd w:val="clear" w:color="auto" w:fill="FFFFFF"/>
        </w:rPr>
        <w:t>International Accounting Standards</w:t>
      </w:r>
      <w:r w:rsidRPr="00CE6CC0">
        <w:rPr>
          <w:rFonts w:ascii="Times" w:hAnsi="Times" w:cs="Times New Roman"/>
          <w:shd w:val="clear" w:color="auto" w:fill="FFFFFF"/>
        </w:rPr>
        <w:t>)</w:t>
      </w:r>
      <w:r w:rsidR="00043A56" w:rsidRPr="00CE6CC0">
        <w:rPr>
          <w:rFonts w:ascii="Times" w:hAnsi="Times" w:cs="Times New Roman"/>
          <w:shd w:val="clear" w:color="auto" w:fill="FFFFFF"/>
        </w:rPr>
        <w:t xml:space="preserve"> e suas traduções, </w:t>
      </w:r>
      <w:r w:rsidR="00123634" w:rsidRPr="00CE6CC0">
        <w:rPr>
          <w:rFonts w:ascii="Times" w:hAnsi="Times" w:cs="Times New Roman"/>
          <w:shd w:val="clear" w:color="auto" w:fill="FFFFFF"/>
        </w:rPr>
        <w:t>CPC 04 (Comitê de Pronunciamento Contábil) no Brasil e NCRF 6 (Normalização Contabilística de Relato Financeiro) em Portugal</w:t>
      </w:r>
      <w:r w:rsidRPr="00CE6CC0">
        <w:rPr>
          <w:rFonts w:ascii="Times" w:hAnsi="Times" w:cs="Times New Roman"/>
        </w:rPr>
        <w:t xml:space="preserve">. A </w:t>
      </w:r>
      <w:r w:rsidR="00043A56" w:rsidRPr="00CE6CC0">
        <w:rPr>
          <w:rFonts w:ascii="Times" w:hAnsi="Times" w:cs="Times New Roman"/>
        </w:rPr>
        <w:t>população</w:t>
      </w:r>
      <w:r w:rsidRPr="00CE6CC0">
        <w:rPr>
          <w:rFonts w:ascii="Times" w:hAnsi="Times" w:cs="Times New Roman"/>
        </w:rPr>
        <w:t xml:space="preserve"> </w:t>
      </w:r>
      <w:r w:rsidR="00043A56" w:rsidRPr="00CE6CC0">
        <w:rPr>
          <w:rFonts w:ascii="Times" w:hAnsi="Times" w:cs="Times New Roman"/>
        </w:rPr>
        <w:t>deste estudo</w:t>
      </w:r>
      <w:r w:rsidRPr="00CE6CC0">
        <w:rPr>
          <w:rFonts w:ascii="Times" w:hAnsi="Times" w:cs="Times New Roman"/>
        </w:rPr>
        <w:t xml:space="preserve"> compreendeu as companhias abertas não financeiras listadas na </w:t>
      </w:r>
      <w:r w:rsidR="008B017B">
        <w:rPr>
          <w:rFonts w:ascii="Times" w:hAnsi="Times" w:cs="Times New Roman"/>
        </w:rPr>
        <w:t>B3</w:t>
      </w:r>
      <w:r w:rsidRPr="00CE6CC0">
        <w:rPr>
          <w:rFonts w:ascii="Times" w:hAnsi="Times" w:cs="Times New Roman"/>
        </w:rPr>
        <w:t xml:space="preserve"> e na EURONEXT, </w:t>
      </w:r>
      <w:r w:rsidR="00C36F21">
        <w:rPr>
          <w:rFonts w:ascii="Times" w:hAnsi="Times" w:cs="Times New Roman"/>
        </w:rPr>
        <w:t>a</w:t>
      </w:r>
      <w:r w:rsidRPr="00CE6CC0">
        <w:rPr>
          <w:rFonts w:ascii="Times" w:hAnsi="Times" w:cs="Times New Roman"/>
        </w:rPr>
        <w:t xml:space="preserve"> amostra final foi composta </w:t>
      </w:r>
      <w:r w:rsidR="00123634" w:rsidRPr="00CE6CC0">
        <w:rPr>
          <w:rFonts w:ascii="Times" w:hAnsi="Times" w:cs="Times New Roman"/>
        </w:rPr>
        <w:t>por</w:t>
      </w:r>
      <w:r w:rsidRPr="00CE6CC0">
        <w:rPr>
          <w:rFonts w:ascii="Times" w:hAnsi="Times" w:cs="Times New Roman"/>
        </w:rPr>
        <w:t xml:space="preserve"> 7</w:t>
      </w:r>
      <w:r w:rsidR="00123634" w:rsidRPr="00CE6CC0">
        <w:rPr>
          <w:rFonts w:ascii="Times" w:hAnsi="Times" w:cs="Times New Roman"/>
        </w:rPr>
        <w:t>5</w:t>
      </w:r>
      <w:r w:rsidRPr="00CE6CC0">
        <w:rPr>
          <w:rFonts w:ascii="Times" w:hAnsi="Times" w:cs="Times New Roman"/>
        </w:rPr>
        <w:t xml:space="preserve"> empresas brasileiras e 32 empresas portuguesas</w:t>
      </w:r>
      <w:r w:rsidR="003E50EE" w:rsidRPr="00CE6CC0">
        <w:rPr>
          <w:rFonts w:ascii="Times" w:hAnsi="Times" w:cs="Times New Roman"/>
        </w:rPr>
        <w:t xml:space="preserve">. </w:t>
      </w:r>
      <w:r w:rsidR="00061FDE" w:rsidRPr="00CE6CC0">
        <w:rPr>
          <w:rFonts w:ascii="Times" w:hAnsi="Times" w:cs="Times New Roman"/>
        </w:rPr>
        <w:t>Este trabalho é de natureza</w:t>
      </w:r>
      <w:r w:rsidR="00027B41" w:rsidRPr="00CE6CC0">
        <w:rPr>
          <w:rFonts w:ascii="Times" w:hAnsi="Times" w:cs="Times New Roman"/>
        </w:rPr>
        <w:t xml:space="preserve"> </w:t>
      </w:r>
      <w:r w:rsidR="00061FDE" w:rsidRPr="00CE6CC0">
        <w:rPr>
          <w:rFonts w:ascii="Times" w:hAnsi="Times" w:cs="Times New Roman"/>
        </w:rPr>
        <w:t>qualitativa</w:t>
      </w:r>
      <w:r w:rsidRPr="00CE6CC0">
        <w:rPr>
          <w:rFonts w:ascii="Times" w:hAnsi="Times" w:cs="Times New Roman"/>
        </w:rPr>
        <w:t>-</w:t>
      </w:r>
      <w:r w:rsidR="00043A56" w:rsidRPr="00CE6CC0">
        <w:rPr>
          <w:rFonts w:ascii="Times" w:hAnsi="Times" w:cs="Times New Roman"/>
        </w:rPr>
        <w:t xml:space="preserve"> </w:t>
      </w:r>
      <w:r w:rsidRPr="00CE6CC0">
        <w:rPr>
          <w:rFonts w:ascii="Times" w:hAnsi="Times" w:cs="Times New Roman"/>
        </w:rPr>
        <w:t>d</w:t>
      </w:r>
      <w:r w:rsidR="00061FDE" w:rsidRPr="00CE6CC0">
        <w:rPr>
          <w:rFonts w:ascii="Times" w:hAnsi="Times" w:cs="Times New Roman"/>
        </w:rPr>
        <w:t>escritivo de caráter documental e</w:t>
      </w:r>
      <w:r w:rsidRPr="00CE6CC0">
        <w:rPr>
          <w:rFonts w:ascii="Times" w:hAnsi="Times" w:cs="Times New Roman"/>
        </w:rPr>
        <w:t xml:space="preserve"> o tratamento dos dados foi realizado por meio da análise de conteúdo das demonstrações financeiras e notas explicativas referentes ao ano de 2016. Foi determinado o nível de evidenciação obrigatório (NEO) para ser cumprido por cada emp</w:t>
      </w:r>
      <w:r w:rsidR="00061FDE" w:rsidRPr="00CE6CC0">
        <w:rPr>
          <w:rFonts w:ascii="Times" w:hAnsi="Times" w:cs="Times New Roman"/>
        </w:rPr>
        <w:t>resa da amostra, composto por 29</w:t>
      </w:r>
      <w:r w:rsidRPr="00CE6CC0">
        <w:rPr>
          <w:rFonts w:ascii="Times" w:hAnsi="Times" w:cs="Times New Roman"/>
        </w:rPr>
        <w:t xml:space="preserve"> itens. Como resultado, constatou-se que todos os setores analisados atenderam, pelo menos, mais da metade dos itens exigidos pela norma de ativos intangíveis, porém, nenhum deles atendeu plenamente aos requisitos</w:t>
      </w:r>
      <w:r w:rsidR="00C5009D" w:rsidRPr="00CE6CC0">
        <w:rPr>
          <w:rFonts w:ascii="Times" w:hAnsi="Times" w:cs="Times New Roman"/>
        </w:rPr>
        <w:t xml:space="preserve"> requeridos pela norma</w:t>
      </w:r>
      <w:r w:rsidRPr="00CE6CC0">
        <w:rPr>
          <w:rFonts w:ascii="Times" w:hAnsi="Times" w:cs="Times New Roman"/>
        </w:rPr>
        <w:t xml:space="preserve">. Os setores com maior destaque em conformidade na apresentação dos requisitos solicitados foram Petróleo e Gás com 90% para o Brasil e </w:t>
      </w:r>
      <w:r w:rsidR="00C5009D" w:rsidRPr="00CE6CC0">
        <w:rPr>
          <w:rFonts w:ascii="Times" w:hAnsi="Times" w:cs="Times New Roman"/>
        </w:rPr>
        <w:t>Utilidade Pública com 96</w:t>
      </w:r>
      <w:r w:rsidRPr="00CE6CC0">
        <w:rPr>
          <w:rFonts w:ascii="Times" w:hAnsi="Times" w:cs="Times New Roman"/>
        </w:rPr>
        <w:t xml:space="preserve">% em Portugal, enquanto os setores de </w:t>
      </w:r>
      <w:r w:rsidR="00C5009D" w:rsidRPr="00CE6CC0">
        <w:rPr>
          <w:rFonts w:ascii="Times" w:hAnsi="Times" w:cs="Times New Roman"/>
        </w:rPr>
        <w:t>Consumo Cíclico no Brasil com 61% e Saúde em Portugal com 55</w:t>
      </w:r>
      <w:r w:rsidRPr="00CE6CC0">
        <w:rPr>
          <w:rFonts w:ascii="Times" w:hAnsi="Times" w:cs="Times New Roman"/>
        </w:rPr>
        <w:t>%</w:t>
      </w:r>
      <w:r w:rsidR="00C5009D" w:rsidRPr="00CE6CC0">
        <w:rPr>
          <w:rFonts w:ascii="Times" w:hAnsi="Times" w:cs="Times New Roman"/>
        </w:rPr>
        <w:t>,</w:t>
      </w:r>
      <w:r w:rsidRPr="00CE6CC0">
        <w:rPr>
          <w:rFonts w:ascii="Times" w:hAnsi="Times" w:cs="Times New Roman"/>
        </w:rPr>
        <w:t xml:space="preserve"> foram os de menor aderência. </w:t>
      </w:r>
    </w:p>
    <w:p w14:paraId="4440153C" w14:textId="77777777" w:rsidR="00E750F3" w:rsidRPr="00CE6CC0" w:rsidRDefault="54F5D8AB" w:rsidP="008B60A3">
      <w:pPr>
        <w:spacing w:afterLines="120" w:after="288" w:line="240" w:lineRule="auto"/>
        <w:rPr>
          <w:rFonts w:ascii="Times" w:hAnsi="Times" w:cs="Times New Roman"/>
        </w:rPr>
      </w:pPr>
      <w:r w:rsidRPr="00CE6CC0">
        <w:rPr>
          <w:rFonts w:ascii="Times" w:hAnsi="Times" w:cs="Times New Roman"/>
          <w:b/>
          <w:bCs/>
        </w:rPr>
        <w:t>Palavras Chave</w:t>
      </w:r>
      <w:r w:rsidRPr="00CE6CC0">
        <w:rPr>
          <w:rFonts w:ascii="Times" w:hAnsi="Times" w:cs="Times New Roman"/>
        </w:rPr>
        <w:t>: Ativo intangível; Evidenciação; IAS 38.</w:t>
      </w:r>
    </w:p>
    <w:p w14:paraId="4440153D" w14:textId="77777777" w:rsidR="00534D09" w:rsidRPr="00CE6CC0" w:rsidRDefault="00534D09" w:rsidP="008B60A3">
      <w:pPr>
        <w:spacing w:line="240" w:lineRule="auto"/>
        <w:rPr>
          <w:rFonts w:ascii="Times" w:hAnsi="Times"/>
          <w:szCs w:val="24"/>
        </w:rPr>
      </w:pPr>
    </w:p>
    <w:p w14:paraId="4440153E" w14:textId="77777777" w:rsidR="00C5009D" w:rsidRPr="00CE6CC0" w:rsidRDefault="00C5009D" w:rsidP="008B60A3">
      <w:pPr>
        <w:spacing w:line="240" w:lineRule="auto"/>
        <w:rPr>
          <w:rFonts w:ascii="Times" w:hAnsi="Times"/>
          <w:szCs w:val="24"/>
        </w:rPr>
      </w:pPr>
    </w:p>
    <w:p w14:paraId="44401543" w14:textId="77777777" w:rsidR="00A217B8" w:rsidRPr="00CE6CC0" w:rsidRDefault="54F5D8AB" w:rsidP="008B60A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w:eastAsia="Times New Roman" w:hAnsi="Times" w:cs="Times New Roman"/>
          <w:b/>
          <w:bCs/>
          <w:color w:val="212121"/>
          <w:lang w:val="en" w:eastAsia="pt-BR"/>
        </w:rPr>
      </w:pPr>
      <w:r w:rsidRPr="00CE6CC0">
        <w:rPr>
          <w:rFonts w:ascii="Times" w:eastAsia="Times New Roman" w:hAnsi="Times" w:cs="Times New Roman"/>
          <w:b/>
          <w:bCs/>
          <w:color w:val="212121"/>
          <w:lang w:val="en" w:eastAsia="pt-BR"/>
        </w:rPr>
        <w:t>ABSTRACT</w:t>
      </w:r>
    </w:p>
    <w:p w14:paraId="44401544" w14:textId="087AB8B2" w:rsidR="00A217B8" w:rsidRPr="00CE6CC0" w:rsidRDefault="00A217B8" w:rsidP="008B60A3">
      <w:pPr>
        <w:pStyle w:val="Pr-formataoHTML"/>
        <w:shd w:val="clear" w:color="auto" w:fill="FFFFFF" w:themeFill="background1"/>
        <w:jc w:val="both"/>
        <w:rPr>
          <w:rFonts w:ascii="Times" w:hAnsi="Times" w:cs="Times New Roman"/>
          <w:color w:val="212121"/>
          <w:sz w:val="24"/>
          <w:szCs w:val="24"/>
          <w:lang w:val="en-US"/>
        </w:rPr>
      </w:pPr>
      <w:r w:rsidRPr="00CE6CC0">
        <w:rPr>
          <w:rFonts w:ascii="Times" w:hAnsi="Times"/>
          <w:lang w:val="en-US"/>
        </w:rPr>
        <w:br/>
      </w:r>
      <w:r w:rsidR="54F5D8AB" w:rsidRPr="00CE6CC0">
        <w:rPr>
          <w:rFonts w:ascii="Times" w:hAnsi="Times" w:cs="Times New Roman"/>
          <w:color w:val="212121"/>
          <w:sz w:val="24"/>
          <w:szCs w:val="24"/>
          <w:lang w:val="en"/>
        </w:rPr>
        <w:t xml:space="preserve">The convergence of accounting to international standards through International Financial Reporting Standards (IFRS) brought significant results both in Portuguese and Brazilian legislation. For example, IAS 38 (International Accounting Standards) and its translations, CPC 04 (Accounting Pronouncement Committee) in Brazil and NCRF 6 (Accounting Standardization in Financial Reporting) in Portugal. The population of this study comprised as listed non-financial companies listed on the </w:t>
      </w:r>
      <w:r w:rsidR="00080328">
        <w:rPr>
          <w:rFonts w:ascii="Times" w:hAnsi="Times" w:cs="Times New Roman"/>
          <w:color w:val="212121"/>
          <w:sz w:val="24"/>
          <w:szCs w:val="24"/>
          <w:lang w:val="en"/>
        </w:rPr>
        <w:t>B3</w:t>
      </w:r>
      <w:r w:rsidR="54F5D8AB" w:rsidRPr="00CE6CC0">
        <w:rPr>
          <w:rFonts w:ascii="Times" w:hAnsi="Times" w:cs="Times New Roman"/>
          <w:color w:val="212121"/>
          <w:sz w:val="24"/>
          <w:szCs w:val="24"/>
          <w:lang w:val="en"/>
        </w:rPr>
        <w:t xml:space="preserve"> and EURONEXT, whose final sample was composed of 75 Brazilian companies and 32 Portuguese companies. This work is qualitative and descriptive in nature and documental in nature, and data processing was performed through analysis of the content of the financial statements and explanatory notes for the year 2016. The level of mandatory disclosure (NEO) was determined to be met by each sample company, composed of 29 items. As a result, it was found that all sectors analyzed met at least more than half of the items required by the intangible assets standard, however, none of them fully met the requirements required by the standard. The sectors with the highest emphasis in complying with the requirements requested were Petroleum and Gas with 90% for Brazil and Public Utility with 96% in Portugal, while the Consumer Cycle sectors in Brazil with 61% and Health in Portugal with 55% were the ones with the lowest adhesion.</w:t>
      </w:r>
    </w:p>
    <w:p w14:paraId="44401545" w14:textId="77777777" w:rsidR="00A217B8" w:rsidRPr="00CE6CC0" w:rsidRDefault="00A217B8" w:rsidP="008B60A3">
      <w:pPr>
        <w:pStyle w:val="Pr-formataoHTML"/>
        <w:shd w:val="clear" w:color="auto" w:fill="FFFFFF"/>
        <w:jc w:val="both"/>
        <w:rPr>
          <w:rFonts w:ascii="Times" w:hAnsi="Times" w:cs="Times New Roman"/>
          <w:color w:val="212121"/>
          <w:sz w:val="24"/>
          <w:szCs w:val="24"/>
          <w:lang w:val="en-US"/>
        </w:rPr>
      </w:pPr>
    </w:p>
    <w:p w14:paraId="44401546" w14:textId="77777777" w:rsidR="00C5009D" w:rsidRPr="00CE6CC0" w:rsidRDefault="00C5009D" w:rsidP="008B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w:eastAsia="Times New Roman" w:hAnsi="Times" w:cs="Courier New"/>
          <w:color w:val="212121"/>
          <w:sz w:val="20"/>
          <w:szCs w:val="20"/>
          <w:lang w:val="en-US" w:eastAsia="pt-BR"/>
        </w:rPr>
      </w:pPr>
    </w:p>
    <w:p w14:paraId="44401547" w14:textId="77777777" w:rsidR="00A217B8" w:rsidRPr="00CE6CC0" w:rsidRDefault="00A217B8" w:rsidP="008B60A3">
      <w:pPr>
        <w:spacing w:line="240" w:lineRule="auto"/>
        <w:rPr>
          <w:rFonts w:ascii="Times" w:hAnsi="Times"/>
          <w:szCs w:val="24"/>
          <w:lang w:val="en-US"/>
        </w:rPr>
      </w:pPr>
    </w:p>
    <w:p w14:paraId="44401548" w14:textId="77777777" w:rsidR="00A217B8" w:rsidRPr="00CE6CC0" w:rsidRDefault="54F5D8AB" w:rsidP="008B60A3">
      <w:pPr>
        <w:pStyle w:val="Pr-formataoHTML"/>
        <w:shd w:val="clear" w:color="auto" w:fill="FFFFFF" w:themeFill="background1"/>
        <w:rPr>
          <w:rFonts w:ascii="Times" w:hAnsi="Times" w:cs="Times New Roman"/>
          <w:color w:val="212121"/>
          <w:sz w:val="24"/>
          <w:szCs w:val="24"/>
          <w:lang w:val="en"/>
        </w:rPr>
      </w:pPr>
      <w:r w:rsidRPr="00CE6CC0">
        <w:rPr>
          <w:rFonts w:ascii="Times" w:hAnsi="Times" w:cs="Times New Roman"/>
          <w:b/>
          <w:bCs/>
          <w:color w:val="212121"/>
          <w:sz w:val="24"/>
          <w:szCs w:val="24"/>
          <w:lang w:val="en"/>
        </w:rPr>
        <w:t>Keywords:</w:t>
      </w:r>
      <w:r w:rsidRPr="00CE6CC0">
        <w:rPr>
          <w:rFonts w:ascii="Times" w:hAnsi="Times" w:cs="Times New Roman"/>
          <w:color w:val="212121"/>
          <w:sz w:val="24"/>
          <w:szCs w:val="24"/>
          <w:lang w:val="en"/>
        </w:rPr>
        <w:t xml:space="preserve"> Intangible assets; Disclosure; IAS 38.</w:t>
      </w:r>
    </w:p>
    <w:p w14:paraId="44401549" w14:textId="77777777" w:rsidR="00C5009D" w:rsidRPr="00CE6CC0" w:rsidRDefault="00C5009D" w:rsidP="008B60A3">
      <w:pPr>
        <w:spacing w:line="240" w:lineRule="auto"/>
        <w:rPr>
          <w:rFonts w:ascii="Times" w:hAnsi="Times"/>
          <w:szCs w:val="24"/>
          <w:lang w:val="en-US"/>
        </w:rPr>
      </w:pPr>
    </w:p>
    <w:p w14:paraId="4440154A" w14:textId="77777777" w:rsidR="00A217B8" w:rsidRPr="00CE6CC0" w:rsidRDefault="00A217B8" w:rsidP="008B60A3">
      <w:pPr>
        <w:spacing w:line="240" w:lineRule="auto"/>
        <w:rPr>
          <w:rFonts w:ascii="Times" w:hAnsi="Times"/>
          <w:szCs w:val="24"/>
          <w:lang w:val="en-US"/>
        </w:rPr>
      </w:pPr>
    </w:p>
    <w:p w14:paraId="4440154B" w14:textId="77777777" w:rsidR="00A217B8" w:rsidRPr="00CE6CC0" w:rsidRDefault="00A217B8" w:rsidP="008B60A3">
      <w:pPr>
        <w:spacing w:line="240" w:lineRule="auto"/>
        <w:rPr>
          <w:rFonts w:ascii="Times" w:hAnsi="Times"/>
          <w:szCs w:val="24"/>
          <w:lang w:val="en-US"/>
        </w:rPr>
      </w:pPr>
    </w:p>
    <w:p w14:paraId="4440154C" w14:textId="77777777" w:rsidR="00A217B8" w:rsidRPr="00CE6CC0" w:rsidRDefault="00A217B8" w:rsidP="008B60A3">
      <w:pPr>
        <w:spacing w:line="240" w:lineRule="auto"/>
        <w:rPr>
          <w:rFonts w:ascii="Times" w:hAnsi="Times"/>
          <w:szCs w:val="24"/>
          <w:lang w:val="en-US"/>
        </w:rPr>
      </w:pPr>
    </w:p>
    <w:p w14:paraId="4440154D" w14:textId="77777777" w:rsidR="00A217B8" w:rsidRPr="00CE6CC0" w:rsidRDefault="00A217B8" w:rsidP="008B60A3">
      <w:pPr>
        <w:spacing w:line="240" w:lineRule="auto"/>
        <w:rPr>
          <w:rFonts w:ascii="Times" w:hAnsi="Times"/>
          <w:szCs w:val="24"/>
          <w:lang w:val="en-US"/>
        </w:rPr>
      </w:pPr>
    </w:p>
    <w:p w14:paraId="4440154E" w14:textId="77777777" w:rsidR="00A217B8" w:rsidRPr="00CE6CC0" w:rsidRDefault="00A217B8" w:rsidP="008B60A3">
      <w:pPr>
        <w:spacing w:line="240" w:lineRule="auto"/>
        <w:rPr>
          <w:rFonts w:ascii="Times" w:hAnsi="Times"/>
          <w:szCs w:val="24"/>
          <w:lang w:val="en-US"/>
        </w:rPr>
      </w:pPr>
    </w:p>
    <w:p w14:paraId="4440154F" w14:textId="77777777" w:rsidR="00A217B8" w:rsidRPr="00CE6CC0" w:rsidRDefault="00A217B8" w:rsidP="008B60A3">
      <w:pPr>
        <w:spacing w:line="240" w:lineRule="auto"/>
        <w:rPr>
          <w:rFonts w:ascii="Times" w:hAnsi="Times"/>
          <w:szCs w:val="24"/>
          <w:lang w:val="en-US"/>
        </w:rPr>
      </w:pPr>
    </w:p>
    <w:p w14:paraId="44401550" w14:textId="77777777" w:rsidR="00A217B8" w:rsidRPr="00CE6CC0" w:rsidRDefault="00A217B8" w:rsidP="008B60A3">
      <w:pPr>
        <w:spacing w:line="240" w:lineRule="auto"/>
        <w:rPr>
          <w:rFonts w:ascii="Times" w:hAnsi="Times"/>
          <w:szCs w:val="24"/>
          <w:lang w:val="en-US"/>
        </w:rPr>
      </w:pPr>
    </w:p>
    <w:p w14:paraId="44401551" w14:textId="77777777" w:rsidR="00A217B8" w:rsidRPr="00CE6CC0" w:rsidRDefault="00A217B8" w:rsidP="008B60A3">
      <w:pPr>
        <w:spacing w:line="240" w:lineRule="auto"/>
        <w:rPr>
          <w:rFonts w:ascii="Times" w:hAnsi="Times"/>
          <w:szCs w:val="24"/>
          <w:lang w:val="en-US"/>
        </w:rPr>
      </w:pPr>
    </w:p>
    <w:p w14:paraId="44401552" w14:textId="77777777" w:rsidR="00A217B8" w:rsidRPr="00CE6CC0" w:rsidRDefault="00A217B8" w:rsidP="008B60A3">
      <w:pPr>
        <w:spacing w:line="240" w:lineRule="auto"/>
        <w:rPr>
          <w:rFonts w:ascii="Times" w:hAnsi="Times"/>
          <w:szCs w:val="24"/>
          <w:lang w:val="en-US"/>
        </w:rPr>
      </w:pPr>
    </w:p>
    <w:p w14:paraId="44401553" w14:textId="77777777" w:rsidR="00A217B8" w:rsidRPr="00CE6CC0" w:rsidRDefault="00A217B8" w:rsidP="008B60A3">
      <w:pPr>
        <w:spacing w:line="240" w:lineRule="auto"/>
        <w:rPr>
          <w:rFonts w:ascii="Times" w:hAnsi="Times"/>
          <w:szCs w:val="24"/>
          <w:lang w:val="en-US"/>
        </w:rPr>
      </w:pPr>
    </w:p>
    <w:p w14:paraId="44401554" w14:textId="77777777" w:rsidR="00A217B8" w:rsidRPr="00CE6CC0" w:rsidRDefault="00A217B8" w:rsidP="008B60A3">
      <w:pPr>
        <w:spacing w:line="240" w:lineRule="auto"/>
        <w:rPr>
          <w:rFonts w:ascii="Times" w:hAnsi="Times"/>
          <w:szCs w:val="24"/>
          <w:lang w:val="en-US"/>
        </w:rPr>
      </w:pPr>
    </w:p>
    <w:p w14:paraId="44401555" w14:textId="77777777" w:rsidR="00A217B8" w:rsidRPr="00CE6CC0" w:rsidRDefault="00A217B8" w:rsidP="008B60A3">
      <w:pPr>
        <w:spacing w:line="240" w:lineRule="auto"/>
        <w:rPr>
          <w:rFonts w:ascii="Times" w:hAnsi="Times"/>
          <w:szCs w:val="24"/>
          <w:lang w:val="en-US"/>
        </w:rPr>
      </w:pPr>
    </w:p>
    <w:p w14:paraId="45EFE9FD" w14:textId="77777777" w:rsidR="00861769" w:rsidRPr="00CE6CC0" w:rsidRDefault="00861769" w:rsidP="008B60A3">
      <w:pPr>
        <w:pStyle w:val="PargrafodaLista"/>
        <w:numPr>
          <w:ilvl w:val="0"/>
          <w:numId w:val="13"/>
        </w:numPr>
        <w:spacing w:line="240" w:lineRule="auto"/>
        <w:ind w:firstLine="0"/>
        <w:rPr>
          <w:rFonts w:ascii="Times" w:hAnsi="Times" w:cs="Times New Roman"/>
          <w:b/>
          <w:szCs w:val="24"/>
          <w:lang w:val="en-US"/>
        </w:rPr>
        <w:sectPr w:rsidR="00861769" w:rsidRPr="00CE6CC0" w:rsidSect="00773516">
          <w:pgSz w:w="11906" w:h="16838"/>
          <w:pgMar w:top="1560" w:right="1134" w:bottom="1134" w:left="1701" w:header="709" w:footer="709" w:gutter="0"/>
          <w:cols w:space="708"/>
          <w:docGrid w:linePitch="360"/>
        </w:sectPr>
      </w:pPr>
    </w:p>
    <w:p w14:paraId="44401557" w14:textId="77B53F4A" w:rsidR="000D6A6A" w:rsidRPr="00D368C5" w:rsidRDefault="54F5D8AB" w:rsidP="008B60A3">
      <w:pPr>
        <w:pStyle w:val="PargrafodaLista"/>
        <w:numPr>
          <w:ilvl w:val="0"/>
          <w:numId w:val="13"/>
        </w:numPr>
        <w:spacing w:line="240" w:lineRule="auto"/>
        <w:ind w:firstLine="0"/>
        <w:rPr>
          <w:rFonts w:ascii="Times" w:hAnsi="Times" w:cs="Times New Roman"/>
          <w:b/>
          <w:bCs/>
        </w:rPr>
      </w:pPr>
      <w:r w:rsidRPr="00CE6CC0">
        <w:rPr>
          <w:rFonts w:ascii="Times" w:hAnsi="Times" w:cs="Times New Roman"/>
          <w:b/>
          <w:bCs/>
        </w:rPr>
        <w:lastRenderedPageBreak/>
        <w:t>INTRODUÇÃO</w:t>
      </w:r>
    </w:p>
    <w:p w14:paraId="44401558" w14:textId="1132480E" w:rsidR="00964326" w:rsidRPr="00CE6CC0" w:rsidRDefault="009A6FF0" w:rsidP="008B60A3">
      <w:pPr>
        <w:spacing w:line="240" w:lineRule="auto"/>
        <w:rPr>
          <w:rFonts w:ascii="Times" w:hAnsi="Times" w:cs="Times New Roman"/>
        </w:rPr>
      </w:pPr>
      <w:r w:rsidRPr="00CE6CC0">
        <w:rPr>
          <w:rFonts w:ascii="Times" w:hAnsi="Times" w:cs="Times New Roman"/>
        </w:rPr>
        <w:t xml:space="preserve">No contexto atual onde a tecnologia proporciona grandes avanços para a humanidade, os ativos intangíveis possuem grande importância quanto </w:t>
      </w:r>
      <w:r w:rsidR="003517BB" w:rsidRPr="00CE6CC0">
        <w:rPr>
          <w:rFonts w:ascii="Times" w:hAnsi="Times" w:cs="Times New Roman"/>
        </w:rPr>
        <w:t>a representatividade</w:t>
      </w:r>
      <w:r w:rsidRPr="00CE6CC0">
        <w:rPr>
          <w:rFonts w:ascii="Times" w:hAnsi="Times" w:cs="Times New Roman"/>
        </w:rPr>
        <w:t xml:space="preserve"> e inovação das entidades, </w:t>
      </w:r>
      <w:r w:rsidR="003517BB" w:rsidRPr="00CE6CC0">
        <w:rPr>
          <w:rFonts w:ascii="Times" w:hAnsi="Times" w:cs="Times New Roman"/>
        </w:rPr>
        <w:t>uma vez que</w:t>
      </w:r>
      <w:r w:rsidRPr="00CE6CC0">
        <w:rPr>
          <w:rFonts w:ascii="Times" w:hAnsi="Times" w:cs="Times New Roman"/>
        </w:rPr>
        <w:t xml:space="preserve"> impacta</w:t>
      </w:r>
      <w:r w:rsidR="003517BB" w:rsidRPr="00CE6CC0">
        <w:rPr>
          <w:rFonts w:ascii="Times" w:hAnsi="Times" w:cs="Times New Roman"/>
        </w:rPr>
        <w:t>m</w:t>
      </w:r>
      <w:r w:rsidRPr="00CE6CC0">
        <w:rPr>
          <w:rFonts w:ascii="Times" w:hAnsi="Times" w:cs="Times New Roman"/>
        </w:rPr>
        <w:t xml:space="preserve"> positivamente no</w:t>
      </w:r>
      <w:r w:rsidR="00964326" w:rsidRPr="00CE6CC0">
        <w:rPr>
          <w:rFonts w:ascii="Times" w:hAnsi="Times" w:cs="Times New Roman"/>
        </w:rPr>
        <w:t xml:space="preserve"> desenvolvimento e </w:t>
      </w:r>
      <w:r w:rsidR="003517BB" w:rsidRPr="00CE6CC0">
        <w:rPr>
          <w:rFonts w:ascii="Times" w:hAnsi="Times" w:cs="Times New Roman"/>
        </w:rPr>
        <w:t>diferenciação entre as companhias, tornando</w:t>
      </w:r>
      <w:r w:rsidR="002602CA" w:rsidRPr="00CE6CC0">
        <w:rPr>
          <w:rFonts w:ascii="Times" w:hAnsi="Times" w:cs="Times New Roman"/>
        </w:rPr>
        <w:t xml:space="preserve">-se </w:t>
      </w:r>
      <w:r w:rsidR="003517BB" w:rsidRPr="00CE6CC0">
        <w:rPr>
          <w:rFonts w:ascii="Times" w:hAnsi="Times" w:cs="Times New Roman"/>
        </w:rPr>
        <w:t>fundamentais</w:t>
      </w:r>
      <w:r w:rsidR="00964326" w:rsidRPr="00CE6CC0">
        <w:rPr>
          <w:rFonts w:ascii="Times" w:hAnsi="Times" w:cs="Times New Roman"/>
        </w:rPr>
        <w:t xml:space="preserve"> </w:t>
      </w:r>
      <w:r w:rsidR="003517BB" w:rsidRPr="00CE6CC0">
        <w:rPr>
          <w:rFonts w:ascii="Times" w:hAnsi="Times" w:cs="Times New Roman"/>
        </w:rPr>
        <w:t xml:space="preserve">na criação de valor </w:t>
      </w:r>
      <w:r w:rsidR="00373ED3" w:rsidRPr="00CE6CC0">
        <w:rPr>
          <w:rFonts w:ascii="Times" w:hAnsi="Times" w:cs="Times New Roman"/>
        </w:rPr>
        <w:t xml:space="preserve">(mais-valia) </w:t>
      </w:r>
      <w:r w:rsidR="003517BB" w:rsidRPr="00CE6CC0">
        <w:rPr>
          <w:rFonts w:ascii="Times" w:hAnsi="Times" w:cs="Times New Roman"/>
        </w:rPr>
        <w:t>das organizações</w:t>
      </w:r>
      <w:r w:rsidR="00964326" w:rsidRPr="00CE6CC0">
        <w:rPr>
          <w:rFonts w:ascii="Times" w:hAnsi="Times" w:cs="Times New Roman"/>
        </w:rPr>
        <w:t xml:space="preserve">. </w:t>
      </w:r>
      <w:r w:rsidR="003517BB" w:rsidRPr="00CE6CC0">
        <w:rPr>
          <w:rFonts w:ascii="Times" w:hAnsi="Times" w:cs="Times New Roman"/>
        </w:rPr>
        <w:t xml:space="preserve">Desta forma, </w:t>
      </w:r>
      <w:r w:rsidR="003C6461" w:rsidRPr="00CE6CC0">
        <w:rPr>
          <w:rFonts w:ascii="Times" w:hAnsi="Times" w:cs="Times New Roman"/>
        </w:rPr>
        <w:t>torna-se relevante a</w:t>
      </w:r>
      <w:r w:rsidR="003517BB" w:rsidRPr="00CE6CC0">
        <w:rPr>
          <w:rFonts w:ascii="Times" w:hAnsi="Times" w:cs="Times New Roman"/>
        </w:rPr>
        <w:t xml:space="preserve"> sua </w:t>
      </w:r>
      <w:r w:rsidR="003C6461" w:rsidRPr="00CE6CC0">
        <w:rPr>
          <w:rFonts w:ascii="Times" w:hAnsi="Times" w:cs="Times New Roman"/>
        </w:rPr>
        <w:t>apresentação e divulgação nas demonstrações financeiras</w:t>
      </w:r>
      <w:r w:rsidR="00964326" w:rsidRPr="00CE6CC0">
        <w:rPr>
          <w:rFonts w:ascii="Times" w:hAnsi="Times" w:cs="Times New Roman"/>
        </w:rPr>
        <w:t>.</w:t>
      </w:r>
      <w:r w:rsidR="003C6461" w:rsidRPr="00CE6CC0">
        <w:rPr>
          <w:rFonts w:ascii="Times" w:hAnsi="Times" w:cs="Times New Roman"/>
        </w:rPr>
        <w:t xml:space="preserve"> (MANTOVANI;</w:t>
      </w:r>
      <w:r w:rsidR="00773516" w:rsidRPr="00CE6CC0">
        <w:rPr>
          <w:rFonts w:ascii="Times" w:hAnsi="Times" w:cs="Times New Roman"/>
        </w:rPr>
        <w:t xml:space="preserve"> </w:t>
      </w:r>
      <w:r w:rsidR="003C6461" w:rsidRPr="00CE6CC0">
        <w:rPr>
          <w:rFonts w:ascii="Times" w:hAnsi="Times" w:cs="Times New Roman"/>
        </w:rPr>
        <w:t>SANTOS,</w:t>
      </w:r>
      <w:r w:rsidR="00EC4298">
        <w:rPr>
          <w:rFonts w:ascii="Times" w:hAnsi="Times" w:cs="Times New Roman"/>
        </w:rPr>
        <w:t xml:space="preserve"> </w:t>
      </w:r>
      <w:r w:rsidR="003C6461" w:rsidRPr="00CE6CC0">
        <w:rPr>
          <w:rFonts w:ascii="Times" w:hAnsi="Times" w:cs="Times New Roman"/>
        </w:rPr>
        <w:t>2014)</w:t>
      </w:r>
      <w:r w:rsidR="00850C14" w:rsidRPr="00CE6CC0">
        <w:rPr>
          <w:rFonts w:ascii="Times" w:hAnsi="Times" w:cs="Times New Roman"/>
        </w:rPr>
        <w:t>.</w:t>
      </w:r>
    </w:p>
    <w:p w14:paraId="4440155C" w14:textId="4259B206" w:rsidR="00FB62BB" w:rsidRPr="00CE6CC0" w:rsidRDefault="54F5D8AB" w:rsidP="008B60A3">
      <w:pPr>
        <w:spacing w:line="240" w:lineRule="auto"/>
        <w:rPr>
          <w:rFonts w:ascii="Times" w:hAnsi="Times" w:cs="Times New Roman"/>
        </w:rPr>
      </w:pPr>
      <w:r w:rsidRPr="00CE6CC0">
        <w:rPr>
          <w:rFonts w:ascii="Times" w:hAnsi="Times" w:cs="Times New Roman"/>
        </w:rPr>
        <w:t>O ativo intangível é suportado pela norma IAS 38, emitido pelo IASC (</w:t>
      </w:r>
      <w:r w:rsidRPr="00CE6CC0">
        <w:rPr>
          <w:rFonts w:ascii="Times" w:hAnsi="Times" w:cs="Times New Roman"/>
          <w:i/>
          <w:iCs/>
        </w:rPr>
        <w:t>International Accounting Standards Committee</w:t>
      </w:r>
      <w:r w:rsidRPr="00CE6CC0">
        <w:rPr>
          <w:rFonts w:ascii="Times" w:hAnsi="Times" w:cs="Times New Roman"/>
        </w:rPr>
        <w:t>), cujo objetivo principal é estabelecer qual o tratamento contábil dos ativos intangíveis, exceto, exclusivamente por aqueles tratados de outra norma. No Brasil, a norma em questão foi traduzida e reescrita no CPC 04, criado pelo Comitê de Pronunciamento Contábil, em Portugal foi traduzida e reescrita pelo Sistema de Normalização Contabilística de Relato Financeiro, a NCRF 6.</w:t>
      </w:r>
    </w:p>
    <w:p w14:paraId="2FD4D9C3" w14:textId="33A5C574" w:rsidR="00C61860" w:rsidRPr="00CE6CC0" w:rsidRDefault="54F5D8AB" w:rsidP="008B60A3">
      <w:pPr>
        <w:autoSpaceDE w:val="0"/>
        <w:autoSpaceDN w:val="0"/>
        <w:adjustRightInd w:val="0"/>
        <w:spacing w:line="240" w:lineRule="auto"/>
        <w:rPr>
          <w:rFonts w:ascii="Times" w:hAnsi="Times" w:cs="Times New Roman"/>
        </w:rPr>
      </w:pPr>
      <w:r w:rsidRPr="00CE6CC0">
        <w:rPr>
          <w:rFonts w:ascii="Times" w:hAnsi="Times" w:cs="Times New Roman"/>
        </w:rPr>
        <w:t>Estudos como Macagnan (2009), Kang e Gray (2011), Maia e Formigoni (2012), Street e Bryant (2000), Klann et.al (2014) apresentam os fatores que podem influenciar o nível de evidenciação na divulgação de informações relativas ao do ativo intangível nas demonstrações financeiras das companhias. Como principais fatores, atenta-se às características: tamanho da empresa, nível de Governança Corporativa, setor de atuação, auditoria externa, alavancagem, tamanho de mercado de capitais, entre outros.</w:t>
      </w:r>
    </w:p>
    <w:p w14:paraId="4440155F" w14:textId="6F089DD3" w:rsidR="00B43DE0" w:rsidRPr="00CE6CC0" w:rsidRDefault="54F5D8AB" w:rsidP="008B60A3">
      <w:pPr>
        <w:spacing w:after="0" w:line="240" w:lineRule="auto"/>
        <w:rPr>
          <w:rFonts w:ascii="Times" w:hAnsi="Times" w:cs="Times New Roman"/>
        </w:rPr>
      </w:pPr>
      <w:r w:rsidRPr="00CE6CC0">
        <w:rPr>
          <w:rFonts w:ascii="Times" w:hAnsi="Times" w:cs="Times New Roman"/>
        </w:rPr>
        <w:t xml:space="preserve">Com base no exposto, elaborou-se a seguinte questão de pesquisa: qual o atual NEO (Nível de Evidenciação Obrigatório) do Ativo Intangível nos diferentes setores da </w:t>
      </w:r>
      <w:r w:rsidR="009B4267">
        <w:rPr>
          <w:rFonts w:ascii="Times" w:hAnsi="Times" w:cs="Times New Roman"/>
        </w:rPr>
        <w:t>B3 – Bolsa Brasil Balcão</w:t>
      </w:r>
      <w:r w:rsidRPr="00CE6CC0">
        <w:rPr>
          <w:rFonts w:ascii="Times" w:hAnsi="Times" w:cs="Times New Roman"/>
        </w:rPr>
        <w:t xml:space="preserve"> e EuroNext – Lisboa após a adoção das Normas Internacionais de contabilidade - IFRS?</w:t>
      </w:r>
    </w:p>
    <w:p w14:paraId="44401560" w14:textId="6AFC4D2D" w:rsidR="000D6A6A" w:rsidRPr="00CE6CC0" w:rsidRDefault="54F5D8AB" w:rsidP="008B60A3">
      <w:pPr>
        <w:spacing w:after="0" w:line="240" w:lineRule="auto"/>
        <w:rPr>
          <w:rFonts w:ascii="Times" w:hAnsi="Times" w:cs="Times New Roman"/>
        </w:rPr>
      </w:pPr>
      <w:r w:rsidRPr="00CE6CC0">
        <w:rPr>
          <w:rFonts w:ascii="Times" w:hAnsi="Times" w:cs="Times New Roman"/>
        </w:rPr>
        <w:t xml:space="preserve">Partindo das premissas anteriormente apresentadas, este trabalho tem como objetivo verificar qual o atual NEO do Ativo Intangível das companhias da </w:t>
      </w:r>
      <w:r w:rsidR="009B4267">
        <w:rPr>
          <w:rFonts w:ascii="Times" w:hAnsi="Times" w:cs="Times New Roman"/>
        </w:rPr>
        <w:t>B3 - Brasil</w:t>
      </w:r>
      <w:r w:rsidRPr="00CE6CC0">
        <w:rPr>
          <w:rFonts w:ascii="Times" w:hAnsi="Times" w:cs="Times New Roman"/>
        </w:rPr>
        <w:t xml:space="preserve"> e EURONEXT – LISBOA e apresentar a diferença de evidenciação tanto entre os setores de cada país quanto entre Bolsas de Valores anteriormente citadas.</w:t>
      </w:r>
    </w:p>
    <w:p w14:paraId="44401561" w14:textId="65A232F8" w:rsidR="00EC66ED" w:rsidRPr="004D0EA6" w:rsidRDefault="54F5D8AB" w:rsidP="008B60A3">
      <w:pPr>
        <w:spacing w:after="0" w:line="240" w:lineRule="auto"/>
        <w:rPr>
          <w:rFonts w:ascii="Times" w:hAnsi="Times" w:cs="Times New Roman"/>
        </w:rPr>
      </w:pPr>
      <w:r w:rsidRPr="00CE6CC0">
        <w:rPr>
          <w:rFonts w:ascii="Times" w:hAnsi="Times" w:cs="Times New Roman"/>
        </w:rPr>
        <w:t xml:space="preserve">Devido às mudanças que ocorrem periodicamente na área contábil tanto em Portugal quanto no Brasil, a importância desta pesquisa justifica-se pela necessidade de verificação da aderência às novas normas internacionais IFRS em relação ao ativo intangível, uma vez que tais normas impactam diretamente na divulgação das informações, e por consequência, na tomada de decisão de diversos </w:t>
      </w:r>
      <w:r w:rsidR="004D0EA6" w:rsidRPr="004D0EA6">
        <w:rPr>
          <w:rFonts w:ascii="Times" w:hAnsi="Times" w:cs="Times New Roman"/>
          <w:iCs/>
        </w:rPr>
        <w:t>usuários da informação</w:t>
      </w:r>
      <w:r w:rsidRPr="004D0EA6">
        <w:rPr>
          <w:rFonts w:ascii="Times" w:hAnsi="Times" w:cs="Times New Roman"/>
        </w:rPr>
        <w:t>.</w:t>
      </w:r>
    </w:p>
    <w:p w14:paraId="44401563" w14:textId="77777777" w:rsidR="00FB6810" w:rsidRPr="00CE6CC0" w:rsidRDefault="00FB6810" w:rsidP="008B60A3">
      <w:pPr>
        <w:spacing w:line="240" w:lineRule="auto"/>
        <w:rPr>
          <w:rFonts w:ascii="Times" w:hAnsi="Times" w:cs="Times New Roman"/>
          <w:szCs w:val="24"/>
        </w:rPr>
      </w:pPr>
    </w:p>
    <w:p w14:paraId="44401564" w14:textId="167AA089" w:rsidR="00FB6810" w:rsidRPr="00CE6CC0" w:rsidRDefault="54F5D8AB" w:rsidP="008B60A3">
      <w:pPr>
        <w:spacing w:line="240" w:lineRule="auto"/>
        <w:rPr>
          <w:rFonts w:ascii="Times" w:hAnsi="Times" w:cs="Times New Roman"/>
        </w:rPr>
      </w:pPr>
      <w:r w:rsidRPr="00CE6CC0">
        <w:rPr>
          <w:rFonts w:ascii="Times" w:hAnsi="Times" w:cs="Times New Roman"/>
          <w:b/>
          <w:bCs/>
        </w:rPr>
        <w:t>2.  REFERENCIAL TEÓRICO</w:t>
      </w:r>
    </w:p>
    <w:p w14:paraId="44401572" w14:textId="7123A406" w:rsidR="00CC710C" w:rsidRPr="00CE6CC0" w:rsidRDefault="00CC710C" w:rsidP="008B60A3">
      <w:pPr>
        <w:autoSpaceDE w:val="0"/>
        <w:autoSpaceDN w:val="0"/>
        <w:adjustRightInd w:val="0"/>
        <w:spacing w:line="240" w:lineRule="auto"/>
        <w:rPr>
          <w:rFonts w:ascii="Times" w:hAnsi="Times" w:cs="Times New Roman"/>
          <w:szCs w:val="24"/>
        </w:rPr>
      </w:pPr>
    </w:p>
    <w:p w14:paraId="44401573" w14:textId="7452BD12" w:rsidR="00FB6810" w:rsidRPr="00CE6CC0" w:rsidRDefault="00C10201" w:rsidP="008B60A3">
      <w:pPr>
        <w:spacing w:afterLines="120" w:after="288" w:line="240" w:lineRule="auto"/>
        <w:contextualSpacing/>
        <w:rPr>
          <w:rFonts w:ascii="Times" w:hAnsi="Times" w:cs="Times New Roman"/>
          <w:b/>
          <w:bCs/>
        </w:rPr>
      </w:pPr>
      <w:r>
        <w:rPr>
          <w:rFonts w:ascii="Times" w:hAnsi="Times" w:cs="Times New Roman"/>
          <w:b/>
          <w:bCs/>
        </w:rPr>
        <w:t>2.1</w:t>
      </w:r>
      <w:r w:rsidR="54F5D8AB" w:rsidRPr="00CE6CC0">
        <w:rPr>
          <w:rFonts w:ascii="Times" w:hAnsi="Times" w:cs="Times New Roman"/>
          <w:b/>
          <w:bCs/>
        </w:rPr>
        <w:t>.  ATIVO INTANGÍVEL</w:t>
      </w:r>
    </w:p>
    <w:p w14:paraId="61075474" w14:textId="77777777" w:rsidR="00A04111" w:rsidRPr="00CE6CC0" w:rsidRDefault="00A04111" w:rsidP="008B60A3">
      <w:pPr>
        <w:spacing w:afterLines="120" w:after="288" w:line="240" w:lineRule="auto"/>
        <w:contextualSpacing/>
        <w:rPr>
          <w:rFonts w:ascii="Times" w:hAnsi="Times" w:cs="Times New Roman"/>
          <w:b/>
          <w:bCs/>
          <w:szCs w:val="24"/>
        </w:rPr>
      </w:pPr>
    </w:p>
    <w:p w14:paraId="44401574" w14:textId="29FD0EC1" w:rsidR="0084448F" w:rsidRPr="00CE6CC0" w:rsidRDefault="54F5D8AB" w:rsidP="008B60A3">
      <w:pPr>
        <w:autoSpaceDE w:val="0"/>
        <w:autoSpaceDN w:val="0"/>
        <w:adjustRightInd w:val="0"/>
        <w:spacing w:line="240" w:lineRule="auto"/>
        <w:rPr>
          <w:rFonts w:ascii="Times" w:hAnsi="Times" w:cs="Times New Roman"/>
        </w:rPr>
      </w:pPr>
      <w:r w:rsidRPr="00CE6CC0">
        <w:rPr>
          <w:rFonts w:ascii="Times" w:hAnsi="Times" w:cs="Times New Roman"/>
        </w:rPr>
        <w:t>O CPC 00 – Estrutura Conceitual para elaboração e divulgação de Relatório Contábil-Financeiro define ativo como: "um recurso controlado pela entidade como resultado de eventos passados, e do qual se espera benefícios econômicos futuros fluam para entidade", ou seja, como principais características temos: a) controle ou posse do recurso b) potencial em contribuir, direta ou indiretamente, para o fluxo de caixa ou equivalentes de caixa para a entidade. (SILVA; MARQUES; SANTOS, 2009)</w:t>
      </w:r>
    </w:p>
    <w:p w14:paraId="44401575" w14:textId="5A8B7465" w:rsidR="00FB6810" w:rsidRPr="00CE6CC0" w:rsidRDefault="54F5D8AB" w:rsidP="008B60A3">
      <w:pPr>
        <w:spacing w:afterLines="120" w:after="288" w:line="240" w:lineRule="auto"/>
        <w:contextualSpacing/>
        <w:rPr>
          <w:rFonts w:ascii="Times" w:hAnsi="Times" w:cs="Times New Roman"/>
        </w:rPr>
      </w:pPr>
      <w:r w:rsidRPr="00CE6CC0">
        <w:rPr>
          <w:rFonts w:ascii="Times" w:hAnsi="Times" w:cs="Times New Roman"/>
        </w:rPr>
        <w:t xml:space="preserve">Tanto a IAS 38 (2017, p. A6) quanto suas traduções, o CPC 04 (2017, p.6) e a                    NCRF 6 (2017, p.5), definem ativo intangível como: “um ativo não monetário, identificável e sem substância física”, considerando a definição de ativo conforme o CPC 00 como “um </w:t>
      </w:r>
      <w:r w:rsidRPr="00CE6CC0">
        <w:rPr>
          <w:rFonts w:ascii="Times" w:hAnsi="Times" w:cs="Times New Roman"/>
        </w:rPr>
        <w:lastRenderedPageBreak/>
        <w:t xml:space="preserve">recurso controlado pela entidade como resultado de eventos passados; e do qual se espera que resultem benefícios econômicos futuros para a entidade”. </w:t>
      </w:r>
    </w:p>
    <w:p w14:paraId="44401576" w14:textId="77777777" w:rsidR="00FB6810" w:rsidRPr="00CE6CC0" w:rsidRDefault="54F5D8AB" w:rsidP="008B60A3">
      <w:pPr>
        <w:spacing w:line="240" w:lineRule="auto"/>
        <w:rPr>
          <w:rFonts w:ascii="Times" w:hAnsi="Times" w:cs="Times New Roman"/>
        </w:rPr>
      </w:pPr>
      <w:r w:rsidRPr="00CE6CC0">
        <w:rPr>
          <w:rFonts w:ascii="Times" w:hAnsi="Times" w:cs="Times New Roman"/>
        </w:rPr>
        <w:t>Nesse âmbito, Iudícibus, Martins e Gelbcke (2008), afirmam também que os intangíveis compreendem os bens, em que o valor não está presente na substancia física, mas nos direitos de propriedade legalmente auferidos pelos seus proprietários em suas aquisições. Tendo por base as citações anteriores, é possível afirmar que o ativo intangível não tem uma sustância física, mas tem sua propriedade comprovada.</w:t>
      </w:r>
    </w:p>
    <w:p w14:paraId="44401578" w14:textId="2D1C15F4" w:rsidR="00A51DB0" w:rsidRPr="00A30C20" w:rsidRDefault="54F5D8AB" w:rsidP="008B60A3">
      <w:pPr>
        <w:spacing w:line="240" w:lineRule="auto"/>
        <w:rPr>
          <w:rFonts w:ascii="Times" w:hAnsi="Times" w:cs="Times New Roman"/>
        </w:rPr>
      </w:pPr>
      <w:r w:rsidRPr="00CE6CC0">
        <w:rPr>
          <w:rFonts w:ascii="Times" w:hAnsi="Times" w:cs="Times New Roman"/>
        </w:rPr>
        <w:t xml:space="preserve"> Hendriksen e Van Breda (2007, p. 315) afirmam que: </w:t>
      </w:r>
    </w:p>
    <w:p w14:paraId="44401579" w14:textId="367674D1" w:rsidR="00CC7402" w:rsidRPr="00CE6CC0" w:rsidRDefault="54F5D8AB" w:rsidP="008B60A3">
      <w:pPr>
        <w:spacing w:after="0" w:line="240" w:lineRule="auto"/>
        <w:ind w:left="4111"/>
        <w:rPr>
          <w:rFonts w:ascii="Times" w:hAnsi="Times" w:cs="Times New Roman"/>
        </w:rPr>
      </w:pPr>
      <w:r w:rsidRPr="00CE6CC0">
        <w:rPr>
          <w:rFonts w:ascii="Times" w:hAnsi="Times" w:cs="Times New Roman"/>
        </w:rPr>
        <w:t>“os ativos intangíveis formam uma das áreas mais        complexas da contabilidade, em parte em virtude das dificuldades de definição, mas principalmente por causa das incertezas a respeito da mensuração de seus valores e da estimação de suas vidas úteis”.</w:t>
      </w:r>
    </w:p>
    <w:p w14:paraId="4440157A" w14:textId="77777777" w:rsidR="00FB6810" w:rsidRPr="00CE6CC0" w:rsidRDefault="00FB6810" w:rsidP="008B60A3">
      <w:pPr>
        <w:autoSpaceDE w:val="0"/>
        <w:autoSpaceDN w:val="0"/>
        <w:adjustRightInd w:val="0"/>
        <w:spacing w:line="240" w:lineRule="auto"/>
        <w:rPr>
          <w:rFonts w:ascii="Times" w:hAnsi="Times" w:cs="Times New Roman"/>
          <w:szCs w:val="24"/>
        </w:rPr>
      </w:pPr>
    </w:p>
    <w:p w14:paraId="4440157B" w14:textId="33616C16" w:rsidR="009E3375" w:rsidRPr="00CE6CC0" w:rsidRDefault="54F5D8AB" w:rsidP="008B60A3">
      <w:pPr>
        <w:autoSpaceDE w:val="0"/>
        <w:autoSpaceDN w:val="0"/>
        <w:adjustRightInd w:val="0"/>
        <w:spacing w:after="0" w:line="240" w:lineRule="auto"/>
        <w:rPr>
          <w:rFonts w:ascii="Times" w:hAnsi="Times" w:cs="Times New Roman"/>
        </w:rPr>
      </w:pPr>
      <w:r w:rsidRPr="00CE6CC0">
        <w:rPr>
          <w:rFonts w:ascii="Times" w:hAnsi="Times" w:cs="Times New Roman"/>
        </w:rPr>
        <w:t>Em sua definição, Kayo</w:t>
      </w:r>
      <w:r w:rsidR="00F66E6A">
        <w:rPr>
          <w:rFonts w:ascii="Times" w:hAnsi="Times" w:cs="Times New Roman"/>
        </w:rPr>
        <w:t xml:space="preserve"> e Kimura</w:t>
      </w:r>
      <w:r w:rsidRPr="00CE6CC0">
        <w:rPr>
          <w:rFonts w:ascii="Times" w:hAnsi="Times" w:cs="Times New Roman"/>
        </w:rPr>
        <w:t xml:space="preserve"> (2006) defende</w:t>
      </w:r>
      <w:r w:rsidR="00D734E7">
        <w:rPr>
          <w:rFonts w:ascii="Times" w:hAnsi="Times" w:cs="Times New Roman"/>
        </w:rPr>
        <w:t>m</w:t>
      </w:r>
      <w:r w:rsidRPr="00CE6CC0">
        <w:rPr>
          <w:rFonts w:ascii="Times" w:hAnsi="Times" w:cs="Times New Roman"/>
        </w:rPr>
        <w:t xml:space="preserve"> a ideia de que ativo intangível é “um conjunto estruturado de conhecimentos práticos e atitudes da empresa que, ao interagir com seus ativos tangíveis, contribui para a criação de valor das organizações”.</w:t>
      </w:r>
    </w:p>
    <w:p w14:paraId="0754F629" w14:textId="5F76A30D" w:rsidR="00773516" w:rsidRPr="00CE6CC0" w:rsidRDefault="004C7626" w:rsidP="008B60A3">
      <w:pPr>
        <w:autoSpaceDE w:val="0"/>
        <w:autoSpaceDN w:val="0"/>
        <w:adjustRightInd w:val="0"/>
        <w:spacing w:line="240" w:lineRule="auto"/>
        <w:contextualSpacing/>
        <w:rPr>
          <w:rFonts w:ascii="Times" w:hAnsi="Times" w:cs="Times New Roman"/>
          <w:szCs w:val="24"/>
        </w:rPr>
      </w:pPr>
      <w:r w:rsidRPr="00CE6CC0">
        <w:rPr>
          <w:rFonts w:ascii="Times" w:hAnsi="Times" w:cs="Times New Roman"/>
          <w:szCs w:val="24"/>
        </w:rPr>
        <w:tab/>
      </w:r>
    </w:p>
    <w:p w14:paraId="4440157F" w14:textId="418C587C" w:rsidR="00FB6810" w:rsidRPr="00CE6CC0" w:rsidRDefault="00C10201" w:rsidP="008B60A3">
      <w:pPr>
        <w:autoSpaceDE w:val="0"/>
        <w:autoSpaceDN w:val="0"/>
        <w:adjustRightInd w:val="0"/>
        <w:spacing w:line="240" w:lineRule="auto"/>
        <w:rPr>
          <w:rFonts w:ascii="Times" w:hAnsi="Times" w:cs="Times New Roman"/>
          <w:b/>
          <w:bCs/>
        </w:rPr>
      </w:pPr>
      <w:r>
        <w:rPr>
          <w:rFonts w:ascii="Times" w:hAnsi="Times" w:cs="Times New Roman"/>
          <w:b/>
          <w:bCs/>
        </w:rPr>
        <w:t>2.2</w:t>
      </w:r>
      <w:r w:rsidR="54F5D8AB" w:rsidRPr="00CE6CC0">
        <w:rPr>
          <w:rFonts w:ascii="Times" w:hAnsi="Times" w:cs="Times New Roman"/>
          <w:b/>
          <w:bCs/>
        </w:rPr>
        <w:t>.  RECONHECIMENTO E MENSURAÇÃO DO ATIVO INTANGÍVEL</w:t>
      </w:r>
    </w:p>
    <w:p w14:paraId="44401581" w14:textId="50E9253D" w:rsidR="00FB6810" w:rsidRPr="00CE6CC0" w:rsidRDefault="54F5D8AB" w:rsidP="008B60A3">
      <w:pPr>
        <w:autoSpaceDE w:val="0"/>
        <w:autoSpaceDN w:val="0"/>
        <w:adjustRightInd w:val="0"/>
        <w:spacing w:after="0" w:line="240" w:lineRule="auto"/>
        <w:rPr>
          <w:rFonts w:ascii="Times" w:hAnsi="Times" w:cs="Times New Roman"/>
          <w:color w:val="000000" w:themeColor="text1"/>
        </w:rPr>
      </w:pPr>
      <w:r w:rsidRPr="00CE6CC0">
        <w:rPr>
          <w:rFonts w:ascii="Times" w:hAnsi="Times" w:cs="Times New Roman"/>
          <w:color w:val="000000" w:themeColor="text1"/>
        </w:rPr>
        <w:t xml:space="preserve">Em relação ao reconhecimento dos ativos intangíveis, a IAS 38, o CPC 04 e a NCRF 6 abordam que “para um item ser reconhecido como ativo intangível é necessário atender à definição de ativo e ainda:   </w:t>
      </w:r>
    </w:p>
    <w:p w14:paraId="44401582" w14:textId="79E3503C" w:rsidR="00FB6810" w:rsidRPr="00CE6CC0" w:rsidRDefault="54F5D8AB" w:rsidP="008B60A3">
      <w:pPr>
        <w:autoSpaceDE w:val="0"/>
        <w:autoSpaceDN w:val="0"/>
        <w:adjustRightInd w:val="0"/>
        <w:spacing w:line="240" w:lineRule="auto"/>
        <w:ind w:left="2268"/>
        <w:rPr>
          <w:rFonts w:ascii="Times" w:hAnsi="Times" w:cs="Times New Roman"/>
          <w:i/>
          <w:iCs/>
          <w:color w:val="000000" w:themeColor="text1"/>
        </w:rPr>
      </w:pPr>
      <w:r w:rsidRPr="00CE6CC0">
        <w:rPr>
          <w:rFonts w:ascii="Times" w:hAnsi="Times" w:cs="Times New Roman"/>
          <w:i/>
          <w:iCs/>
          <w:color w:val="000000" w:themeColor="text1"/>
        </w:rPr>
        <w:t xml:space="preserve">(a) for provável que os benefícios econômicos futuros esperados atribuíveis ao ativo serão gerados em favor da entidade; </w:t>
      </w:r>
    </w:p>
    <w:p w14:paraId="44401583" w14:textId="1449EC66" w:rsidR="00FB6810" w:rsidRPr="00CE6CC0" w:rsidRDefault="54F5D8AB" w:rsidP="008B60A3">
      <w:pPr>
        <w:autoSpaceDE w:val="0"/>
        <w:autoSpaceDN w:val="0"/>
        <w:adjustRightInd w:val="0"/>
        <w:spacing w:line="240" w:lineRule="auto"/>
        <w:ind w:left="2268"/>
        <w:rPr>
          <w:rFonts w:ascii="Times" w:hAnsi="Times" w:cs="Times New Roman"/>
          <w:i/>
          <w:iCs/>
          <w:color w:val="000000" w:themeColor="text1"/>
        </w:rPr>
      </w:pPr>
      <w:r w:rsidRPr="00CE6CC0">
        <w:rPr>
          <w:rFonts w:ascii="Times" w:hAnsi="Times" w:cs="Times New Roman"/>
          <w:i/>
          <w:iCs/>
          <w:color w:val="000000" w:themeColor="text1"/>
        </w:rPr>
        <w:t>(b) o custo do ativo possa ser mensurado com confiabilidade.</w:t>
      </w:r>
      <w:r w:rsidR="004D0EA6">
        <w:rPr>
          <w:rFonts w:ascii="Times" w:hAnsi="Times" w:cs="Times New Roman"/>
          <w:i/>
          <w:iCs/>
          <w:color w:val="000000" w:themeColor="text1"/>
        </w:rPr>
        <w:t>”</w:t>
      </w:r>
      <w:bookmarkStart w:id="0" w:name="_GoBack"/>
      <w:bookmarkEnd w:id="0"/>
      <w:r w:rsidRPr="00CE6CC0">
        <w:rPr>
          <w:rFonts w:ascii="Times" w:hAnsi="Times" w:cs="Times New Roman"/>
          <w:i/>
          <w:iCs/>
          <w:color w:val="000000" w:themeColor="text1"/>
        </w:rPr>
        <w:t xml:space="preserve"> </w:t>
      </w:r>
    </w:p>
    <w:p w14:paraId="44401586" w14:textId="77777777" w:rsidR="00FB6810" w:rsidRPr="00CE6CC0" w:rsidRDefault="54F5D8AB" w:rsidP="008B60A3">
      <w:pPr>
        <w:spacing w:line="240" w:lineRule="auto"/>
        <w:rPr>
          <w:rFonts w:ascii="Times" w:hAnsi="Times" w:cs="Times New Roman"/>
        </w:rPr>
      </w:pPr>
      <w:r w:rsidRPr="00CE6CC0">
        <w:rPr>
          <w:rFonts w:ascii="Times" w:hAnsi="Times" w:cs="Times New Roman"/>
        </w:rPr>
        <w:t>A Norma esclarece que existem três formas para que o ativo intangível seja reconhecido: primeira forma de reconhecimento é o desenvolvimento interno, onde são mensurados levando em consideração alguns critérios como confiabilidade na mensuração dos gastos, viabilidade do projeto, entre outros; a segunda forma de reconhecimento é a aquisição em separado, onde a mensuração se dá com base no custo; e a terceira forma de reconhecimento de ativo intangível é a aquisição em uma combinação de negócios, onde a mensuração acontece pelo valor justo.</w:t>
      </w:r>
    </w:p>
    <w:p w14:paraId="44401587" w14:textId="77777777" w:rsidR="00FB6810" w:rsidRPr="00CE6CC0" w:rsidRDefault="54F5D8AB" w:rsidP="008B60A3">
      <w:pPr>
        <w:spacing w:line="240" w:lineRule="auto"/>
        <w:contextualSpacing/>
        <w:rPr>
          <w:rFonts w:ascii="Times" w:hAnsi="Times" w:cs="Times New Roman"/>
        </w:rPr>
      </w:pPr>
      <w:r w:rsidRPr="00CE6CC0">
        <w:rPr>
          <w:rFonts w:ascii="Times" w:hAnsi="Times" w:cs="Times New Roman"/>
        </w:rPr>
        <w:t>Dado o reconhecimento e mensuração dos ativos intangíveis registrados, estes devem ser separados por classes, como por exemplo marcas, títulos de periódicos licenças, software, entre outros, para facilitar o entendimento das demonstrações ao usuário.</w:t>
      </w:r>
    </w:p>
    <w:p w14:paraId="4A943472" w14:textId="77777777" w:rsidR="00773516" w:rsidRPr="00CE6CC0" w:rsidRDefault="00773516" w:rsidP="008B60A3">
      <w:pPr>
        <w:spacing w:line="240" w:lineRule="auto"/>
        <w:contextualSpacing/>
        <w:rPr>
          <w:rFonts w:ascii="Times" w:hAnsi="Times" w:cs="Times New Roman"/>
          <w:szCs w:val="24"/>
        </w:rPr>
      </w:pPr>
    </w:p>
    <w:p w14:paraId="44401589" w14:textId="24F13C75" w:rsidR="00FB6810" w:rsidRPr="00CE6CC0" w:rsidRDefault="00C10201" w:rsidP="008B60A3">
      <w:pPr>
        <w:spacing w:before="100" w:beforeAutospacing="1" w:after="100" w:afterAutospacing="1" w:line="240" w:lineRule="auto"/>
        <w:jc w:val="left"/>
        <w:outlineLvl w:val="2"/>
        <w:rPr>
          <w:rFonts w:ascii="Times" w:eastAsia="Times New Roman" w:hAnsi="Times" w:cs="Times New Roman"/>
          <w:b/>
          <w:bCs/>
          <w:lang w:eastAsia="pt-BR"/>
        </w:rPr>
      </w:pPr>
      <w:r>
        <w:rPr>
          <w:rFonts w:ascii="Times" w:hAnsi="Times" w:cs="Times New Roman"/>
          <w:b/>
          <w:bCs/>
          <w:color w:val="000000" w:themeColor="text1"/>
        </w:rPr>
        <w:t>2.3</w:t>
      </w:r>
      <w:r w:rsidR="54F5D8AB" w:rsidRPr="00CE6CC0">
        <w:rPr>
          <w:rFonts w:ascii="Times" w:hAnsi="Times" w:cs="Times New Roman"/>
          <w:b/>
          <w:bCs/>
          <w:color w:val="000000" w:themeColor="text1"/>
        </w:rPr>
        <w:t>.</w:t>
      </w:r>
      <w:r w:rsidR="54F5D8AB" w:rsidRPr="00CE6CC0">
        <w:rPr>
          <w:rFonts w:ascii="Times" w:eastAsia="Times New Roman" w:hAnsi="Times" w:cs="Times New Roman"/>
          <w:b/>
          <w:bCs/>
          <w:lang w:eastAsia="pt-BR"/>
        </w:rPr>
        <w:t xml:space="preserve">  EVIDENCIAÇÃO (</w:t>
      </w:r>
      <w:r w:rsidR="54F5D8AB" w:rsidRPr="00CE6CC0">
        <w:rPr>
          <w:rFonts w:ascii="Times" w:eastAsia="Times New Roman" w:hAnsi="Times" w:cs="Times New Roman"/>
          <w:b/>
          <w:bCs/>
          <w:i/>
          <w:iCs/>
          <w:lang w:eastAsia="pt-BR"/>
        </w:rPr>
        <w:t>DISCLOSURE</w:t>
      </w:r>
      <w:r w:rsidR="54F5D8AB" w:rsidRPr="00CE6CC0">
        <w:rPr>
          <w:rFonts w:ascii="Times" w:eastAsia="Times New Roman" w:hAnsi="Times" w:cs="Times New Roman"/>
          <w:b/>
          <w:bCs/>
          <w:lang w:eastAsia="pt-BR"/>
        </w:rPr>
        <w:t>) DOS INTANGÍVEIS.</w:t>
      </w:r>
    </w:p>
    <w:p w14:paraId="4440158A" w14:textId="77777777" w:rsidR="00223681" w:rsidRPr="00CE6CC0" w:rsidRDefault="54F5D8AB" w:rsidP="008B60A3">
      <w:pPr>
        <w:autoSpaceDE w:val="0"/>
        <w:autoSpaceDN w:val="0"/>
        <w:adjustRightInd w:val="0"/>
        <w:spacing w:after="0" w:line="240" w:lineRule="auto"/>
        <w:rPr>
          <w:rFonts w:ascii="Times" w:hAnsi="Times" w:cs="ArialNarrow"/>
          <w:sz w:val="20"/>
          <w:szCs w:val="20"/>
        </w:rPr>
      </w:pPr>
      <w:r w:rsidRPr="00CE6CC0">
        <w:rPr>
          <w:rFonts w:ascii="Times" w:hAnsi="Times" w:cs="Times New Roman"/>
        </w:rPr>
        <w:t>Antes das IFRS entrarem em vigor, não havia qualquer norma específica sobre as divulgações dos ativos intangíveis. Uma das grandes alterações para o ativo intangível trazidas pelas Normas Internacionais de Contabilidade foi a criação de um subgrupo “Intangível” no ativo não circulante (Permanente), dentro do Balanço Patrimonial, com isso estabeleceram critérios de reconhecimento, mensuração e evidenciação dos intangíveis em notas explicativas. (GRECCO; SANTOS, 2014).</w:t>
      </w:r>
    </w:p>
    <w:p w14:paraId="4440158B" w14:textId="77777777" w:rsidR="007941B4" w:rsidRPr="00CE6CC0" w:rsidRDefault="54F5D8AB" w:rsidP="008B60A3">
      <w:pPr>
        <w:autoSpaceDE w:val="0"/>
        <w:autoSpaceDN w:val="0"/>
        <w:adjustRightInd w:val="0"/>
        <w:spacing w:line="240" w:lineRule="auto"/>
        <w:rPr>
          <w:rFonts w:ascii="Times" w:hAnsi="Times" w:cs="Times New Roman"/>
        </w:rPr>
      </w:pPr>
      <w:r w:rsidRPr="00CE6CC0">
        <w:rPr>
          <w:rFonts w:ascii="Times" w:hAnsi="Times" w:cs="Times New Roman"/>
        </w:rPr>
        <w:t xml:space="preserve">Autores como Bontis, Keow e Richardson (2000) e Perez e Famá (2006) afirmam que o ativo intangível influencia diretamente no desempenho e na criação de valor das organizações, e assim desenvolve um importante papel para as entidades. </w:t>
      </w:r>
    </w:p>
    <w:p w14:paraId="4440158C" w14:textId="77777777" w:rsidR="00EF7E80" w:rsidRPr="00CE6CC0" w:rsidRDefault="54F5D8AB" w:rsidP="008B60A3">
      <w:pPr>
        <w:autoSpaceDE w:val="0"/>
        <w:autoSpaceDN w:val="0"/>
        <w:adjustRightInd w:val="0"/>
        <w:spacing w:line="240" w:lineRule="auto"/>
        <w:rPr>
          <w:rFonts w:ascii="Times" w:eastAsia="Times New Roman" w:hAnsi="Times" w:cs="Times New Roman"/>
          <w:lang w:eastAsia="pt-BR"/>
        </w:rPr>
      </w:pPr>
      <w:r w:rsidRPr="00CE6CC0">
        <w:rPr>
          <w:rFonts w:ascii="Times" w:eastAsia="Times New Roman" w:hAnsi="Times" w:cs="Times New Roman"/>
          <w:lang w:eastAsia="pt-BR"/>
        </w:rPr>
        <w:lastRenderedPageBreak/>
        <w:t>De acordo com Vasconcelos e Viana (2002), a evidenciação possui um papel essencial na contabilidade e no mercado de capitais devido a necessidade da informação ser apresentada de forma clara, correta, íntegra, tempestiva, compreensível e relevante, uma vez que influencia diretamente na tomada de decisão de diversos </w:t>
      </w:r>
      <w:r w:rsidRPr="00CE6CC0">
        <w:rPr>
          <w:rFonts w:ascii="Times" w:eastAsia="Times New Roman" w:hAnsi="Times" w:cs="Times New Roman"/>
          <w:i/>
          <w:iCs/>
          <w:lang w:eastAsia="pt-BR"/>
        </w:rPr>
        <w:t>stakeholders,</w:t>
      </w:r>
      <w:r w:rsidRPr="00CE6CC0">
        <w:rPr>
          <w:rFonts w:ascii="Times" w:eastAsia="Times New Roman" w:hAnsi="Times" w:cs="Times New Roman"/>
          <w:lang w:eastAsia="pt-BR"/>
        </w:rPr>
        <w:t xml:space="preserve"> dentre eles: investidores, credores, bancos, clientes, governo e mercado de capitais. </w:t>
      </w:r>
    </w:p>
    <w:p w14:paraId="4440158D" w14:textId="39FA4894" w:rsidR="0071224A" w:rsidRPr="00CE6CC0" w:rsidRDefault="54F5D8AB" w:rsidP="008B60A3">
      <w:pPr>
        <w:autoSpaceDE w:val="0"/>
        <w:autoSpaceDN w:val="0"/>
        <w:adjustRightInd w:val="0"/>
        <w:spacing w:line="240" w:lineRule="auto"/>
        <w:rPr>
          <w:rFonts w:ascii="Times" w:eastAsia="Times New Roman" w:hAnsi="Times" w:cs="Times New Roman"/>
          <w:lang w:eastAsia="pt-BR"/>
        </w:rPr>
      </w:pPr>
      <w:r w:rsidRPr="00CE6CC0">
        <w:rPr>
          <w:rFonts w:ascii="Times" w:eastAsia="Times New Roman" w:hAnsi="Times" w:cs="Times New Roman"/>
          <w:lang w:eastAsia="pt-BR"/>
        </w:rPr>
        <w:t xml:space="preserve">Para Murcia (2009) a evidenciação refere-se à prestação de informações, de uma forma mais detalhada sobre a situação econômico-financeira de uma empresa, assim, organizações que melhor evidenciam tais informações possibilitam ao usuário melhor tomada de decisão. </w:t>
      </w:r>
    </w:p>
    <w:p w14:paraId="4440158E" w14:textId="77777777" w:rsidR="00534C68" w:rsidRPr="00CE6CC0" w:rsidRDefault="54F5D8AB" w:rsidP="008B60A3">
      <w:pPr>
        <w:autoSpaceDE w:val="0"/>
        <w:autoSpaceDN w:val="0"/>
        <w:adjustRightInd w:val="0"/>
        <w:spacing w:line="240" w:lineRule="auto"/>
        <w:rPr>
          <w:rFonts w:ascii="Times" w:eastAsia="Times New Roman" w:hAnsi="Times" w:cs="Times New Roman"/>
          <w:lang w:eastAsia="pt-BR"/>
        </w:rPr>
      </w:pPr>
      <w:r w:rsidRPr="00CE6CC0">
        <w:rPr>
          <w:rFonts w:ascii="Times" w:eastAsia="Times New Roman" w:hAnsi="Times" w:cs="Times New Roman"/>
          <w:lang w:eastAsia="pt-BR"/>
        </w:rPr>
        <w:t>Iudícibus (2004) e Hendriksen e Van Breda (2009) apresentam as seguintes formas de evidenciação: (a) forma e apresentação das demonstrações contábeis; (b) informações entre parênteses; (c) notas explicativas; (d) quadros e demonstrações suplementares; (e) parecer de auditoria; e (f) relatório da diretoria.</w:t>
      </w:r>
    </w:p>
    <w:p w14:paraId="4440158F" w14:textId="77777777" w:rsidR="00FB6810" w:rsidRPr="00CE6CC0" w:rsidRDefault="54F5D8AB" w:rsidP="008B60A3">
      <w:pPr>
        <w:spacing w:line="240" w:lineRule="auto"/>
        <w:rPr>
          <w:rFonts w:ascii="Times" w:hAnsi="Times" w:cs="Times New Roman"/>
        </w:rPr>
      </w:pPr>
      <w:r w:rsidRPr="00CE6CC0">
        <w:rPr>
          <w:rFonts w:ascii="Times" w:eastAsia="Times New Roman" w:hAnsi="Times" w:cs="Times New Roman"/>
          <w:lang w:eastAsia="pt-BR"/>
        </w:rPr>
        <w:t>Dantas </w:t>
      </w:r>
      <w:r w:rsidRPr="00CE6CC0">
        <w:rPr>
          <w:rFonts w:ascii="Times" w:eastAsia="Times New Roman" w:hAnsi="Times" w:cs="Times New Roman"/>
          <w:i/>
          <w:iCs/>
          <w:lang w:eastAsia="pt-BR"/>
        </w:rPr>
        <w:t>et al. </w:t>
      </w:r>
      <w:r w:rsidRPr="00CE6CC0">
        <w:rPr>
          <w:rFonts w:ascii="Times" w:eastAsia="Times New Roman" w:hAnsi="Times" w:cs="Times New Roman"/>
          <w:lang w:eastAsia="pt-BR"/>
        </w:rPr>
        <w:t>(2005) destaca que diversos estudos têm sido realizados para avaliar os benefícios de uma evidenciação adequada tanto para meio científico quanto para o meio empresarial. Além disso, uma série de pesquisas publicadas avaliam possíveis fatores que influenciam nível do </w:t>
      </w:r>
      <w:r w:rsidRPr="00CE6CC0">
        <w:rPr>
          <w:rFonts w:ascii="Times" w:eastAsia="Times New Roman" w:hAnsi="Times" w:cs="Times New Roman"/>
          <w:i/>
          <w:iCs/>
          <w:lang w:eastAsia="pt-BR"/>
        </w:rPr>
        <w:t>disclosure</w:t>
      </w:r>
      <w:r w:rsidRPr="00CE6CC0">
        <w:rPr>
          <w:rFonts w:ascii="Times" w:eastAsia="Times New Roman" w:hAnsi="Times" w:cs="Times New Roman"/>
          <w:lang w:eastAsia="pt-BR"/>
        </w:rPr>
        <w:t xml:space="preserve">, entre os quais se pode citar a relação da evidenciação com o setor, empresa de auditoria, nível de endividamento, nível de governança, </w:t>
      </w:r>
      <w:r w:rsidRPr="00CE6CC0">
        <w:rPr>
          <w:rFonts w:ascii="Times" w:hAnsi="Times" w:cs="Times New Roman"/>
        </w:rPr>
        <w:t>o tamanho, o grau de internacionalização, os anos de existência e a diferença entre o preço da ação sobre o valor contábil da empresa explicam a maior extensão da evidenciação de informação de recursos intangíveis.</w:t>
      </w:r>
    </w:p>
    <w:p w14:paraId="44401591" w14:textId="1E442B04" w:rsidR="006B2620" w:rsidRPr="00A30C20" w:rsidRDefault="54F5D8AB" w:rsidP="008B60A3">
      <w:pPr>
        <w:spacing w:line="240" w:lineRule="auto"/>
        <w:rPr>
          <w:rFonts w:ascii="Times" w:eastAsia="Times New Roman" w:hAnsi="Times" w:cs="Times New Roman"/>
          <w:lang w:eastAsia="pt-BR"/>
        </w:rPr>
      </w:pPr>
      <w:r w:rsidRPr="00CE6CC0">
        <w:rPr>
          <w:rFonts w:ascii="Times" w:eastAsia="Times New Roman" w:hAnsi="Times" w:cs="Times New Roman"/>
          <w:lang w:eastAsia="pt-BR"/>
        </w:rPr>
        <w:t>Em seus estudos Maia, Formigoni e Silva (2012), concluíram que:</w:t>
      </w:r>
    </w:p>
    <w:p w14:paraId="096FB85C" w14:textId="04899927" w:rsidR="00CC0671" w:rsidRPr="00A30C20" w:rsidRDefault="54F5D8AB" w:rsidP="00A30C20">
      <w:pPr>
        <w:spacing w:line="240" w:lineRule="auto"/>
        <w:ind w:left="2268"/>
        <w:rPr>
          <w:rFonts w:ascii="Times" w:eastAsia="Times New Roman" w:hAnsi="Times" w:cs="Times New Roman"/>
          <w:i/>
          <w:iCs/>
          <w:lang w:eastAsia="pt-BR"/>
        </w:rPr>
      </w:pPr>
      <w:r w:rsidRPr="00CE6CC0">
        <w:rPr>
          <w:rFonts w:ascii="Times" w:eastAsia="Times New Roman" w:hAnsi="Times" w:cs="Times New Roman"/>
          <w:i/>
          <w:iCs/>
          <w:lang w:eastAsia="pt-BR"/>
        </w:rPr>
        <w:t>“Os resultados sugerem que o nível de evidenciação obrigatório é influenciado positivamente pelo porte da empresa de auditoria externa. Verificou-se que as empresas de auditoria externa classificadas na categoria Big Four influenciaram positivamente o nível de evidenciação obrigatório das companhias abertas brasileiras no período analisado. ”</w:t>
      </w:r>
    </w:p>
    <w:p w14:paraId="44401599" w14:textId="2F5921BA" w:rsidR="001846AA" w:rsidRPr="00CE6CC0" w:rsidRDefault="54F5D8AB" w:rsidP="008B60A3">
      <w:pPr>
        <w:autoSpaceDE w:val="0"/>
        <w:autoSpaceDN w:val="0"/>
        <w:adjustRightInd w:val="0"/>
        <w:spacing w:line="240" w:lineRule="auto"/>
        <w:rPr>
          <w:rFonts w:ascii="Times" w:eastAsia="Times New Roman" w:hAnsi="Times" w:cs="Times New Roman"/>
          <w:color w:val="000000" w:themeColor="text1"/>
          <w:lang w:eastAsia="pt-BR"/>
        </w:rPr>
      </w:pPr>
      <w:r w:rsidRPr="00CE6CC0">
        <w:rPr>
          <w:rFonts w:ascii="Times" w:eastAsia="Times New Roman" w:hAnsi="Times" w:cs="Times New Roman"/>
          <w:color w:val="000000" w:themeColor="text1"/>
          <w:lang w:eastAsia="pt-BR"/>
        </w:rPr>
        <w:t>As notas explicativas são fontes de informações complementares às demonstrações financeiras, e proporcionam público (usuário da informação) maior clareza e compreensão dos valores apresentados nas demonstrações financeiras. Assim, é de suma importância a apresentação das informações conforme as normas que regem os elementos contábeis e financeiros. (NEVES; VICECONTI, 2006).</w:t>
      </w:r>
    </w:p>
    <w:p w14:paraId="4440159A" w14:textId="77777777" w:rsidR="00FB6810" w:rsidRPr="00CE6CC0" w:rsidRDefault="54F5D8AB" w:rsidP="008B60A3">
      <w:pPr>
        <w:autoSpaceDE w:val="0"/>
        <w:autoSpaceDN w:val="0"/>
        <w:adjustRightInd w:val="0"/>
        <w:spacing w:line="240" w:lineRule="auto"/>
        <w:rPr>
          <w:rFonts w:ascii="Times" w:eastAsia="Times New Roman" w:hAnsi="Times" w:cs="Times New Roman"/>
          <w:lang w:eastAsia="pt-BR"/>
        </w:rPr>
      </w:pPr>
      <w:r w:rsidRPr="00CE6CC0">
        <w:rPr>
          <w:rFonts w:ascii="Times" w:eastAsia="Times New Roman" w:hAnsi="Times" w:cs="Times New Roman"/>
          <w:lang w:eastAsia="pt-BR"/>
        </w:rPr>
        <w:t xml:space="preserve">Kayo </w:t>
      </w:r>
      <w:r w:rsidRPr="00CE6CC0">
        <w:rPr>
          <w:rFonts w:ascii="Times" w:eastAsia="Times New Roman" w:hAnsi="Times" w:cs="Times New Roman"/>
          <w:i/>
          <w:iCs/>
          <w:lang w:eastAsia="pt-BR"/>
        </w:rPr>
        <w:t>et al</w:t>
      </w:r>
      <w:r w:rsidRPr="00CE6CC0">
        <w:rPr>
          <w:rFonts w:ascii="Times" w:eastAsia="Times New Roman" w:hAnsi="Times" w:cs="Times New Roman"/>
          <w:lang w:eastAsia="pt-BR"/>
        </w:rPr>
        <w:t xml:space="preserve">. (2006), afirma que a </w:t>
      </w:r>
      <w:r w:rsidRPr="00CE6CC0">
        <w:rPr>
          <w:rFonts w:ascii="Times" w:hAnsi="Times" w:cs="Times New Roman"/>
        </w:rPr>
        <w:t xml:space="preserve">evidenciação dos ativos intangíveis nos demonstrativos financeiros tem grande importância no momento de avaliação do patrimônio das empresas, além de serem importantes fontes de criação de valor e </w:t>
      </w:r>
      <w:r w:rsidRPr="00CE6CC0">
        <w:rPr>
          <w:rFonts w:ascii="Times" w:eastAsia="Times New Roman" w:hAnsi="Times" w:cs="Times New Roman"/>
          <w:lang w:eastAsia="pt-BR"/>
        </w:rPr>
        <w:t xml:space="preserve">acrescentam ainda que os ativos intangíveis são importantes fatores de diferenciação contribuindo na obtenção de vantagens competitivas. </w:t>
      </w:r>
    </w:p>
    <w:p w14:paraId="4440159C" w14:textId="604C80E6" w:rsidR="00EC66ED" w:rsidRPr="00B642B3" w:rsidRDefault="54F5D8AB" w:rsidP="008B60A3">
      <w:pPr>
        <w:autoSpaceDE w:val="0"/>
        <w:autoSpaceDN w:val="0"/>
        <w:adjustRightInd w:val="0"/>
        <w:spacing w:line="240" w:lineRule="auto"/>
        <w:rPr>
          <w:rFonts w:ascii="Times" w:hAnsi="Times" w:cs="Times New Roman"/>
        </w:rPr>
      </w:pPr>
      <w:r w:rsidRPr="00CE6CC0">
        <w:rPr>
          <w:rFonts w:ascii="Times" w:eastAsia="Times New Roman" w:hAnsi="Times" w:cs="Times New Roman"/>
          <w:lang w:eastAsia="pt-BR"/>
        </w:rPr>
        <w:t xml:space="preserve">A pesquisa de </w:t>
      </w:r>
      <w:r w:rsidRPr="00CE6CC0">
        <w:rPr>
          <w:rFonts w:ascii="Times" w:hAnsi="Times" w:cs="Times New Roman"/>
        </w:rPr>
        <w:t>Igarash &amp; Igarashi (2011) e Grecco &amp; Santos (2014) mostraram que há necessidade de melhor evidenciação, por parte das empresas, das informações relativas aos intangíveis considerados relevantes para a avaliação do patrimônio e para a tomada de decisão.</w:t>
      </w:r>
    </w:p>
    <w:p w14:paraId="684AC4CD" w14:textId="77777777" w:rsidR="00476A35" w:rsidRPr="00CE6CC0" w:rsidRDefault="00476A35" w:rsidP="008B60A3">
      <w:pPr>
        <w:autoSpaceDE w:val="0"/>
        <w:autoSpaceDN w:val="0"/>
        <w:adjustRightInd w:val="0"/>
        <w:spacing w:line="240" w:lineRule="auto"/>
        <w:rPr>
          <w:rFonts w:ascii="Times" w:hAnsi="Times" w:cs="Times New Roman"/>
          <w:szCs w:val="24"/>
        </w:rPr>
      </w:pPr>
    </w:p>
    <w:p w14:paraId="4440159D" w14:textId="111263C2" w:rsidR="00FB6810" w:rsidRPr="00CE6CC0" w:rsidRDefault="54F5D8AB" w:rsidP="008B60A3">
      <w:pPr>
        <w:spacing w:afterLines="120" w:after="288" w:line="240" w:lineRule="auto"/>
        <w:ind w:left="284"/>
        <w:jc w:val="left"/>
        <w:rPr>
          <w:rFonts w:ascii="Times" w:hAnsi="Times" w:cs="Times New Roman"/>
          <w:b/>
          <w:bCs/>
        </w:rPr>
      </w:pPr>
      <w:r w:rsidRPr="00CE6CC0">
        <w:rPr>
          <w:rFonts w:ascii="Times" w:hAnsi="Times" w:cs="Times New Roman"/>
          <w:b/>
          <w:bCs/>
        </w:rPr>
        <w:t>3.  PROCEDIMENTOS METODOLÓGICOS</w:t>
      </w:r>
    </w:p>
    <w:p w14:paraId="4440159E" w14:textId="77777777" w:rsidR="00FB6810" w:rsidRPr="00CE6CC0" w:rsidRDefault="54F5D8AB" w:rsidP="008B60A3">
      <w:pPr>
        <w:spacing w:line="240" w:lineRule="auto"/>
        <w:rPr>
          <w:rFonts w:ascii="Times" w:hAnsi="Times" w:cs="Times New Roman"/>
        </w:rPr>
      </w:pPr>
      <w:r w:rsidRPr="00CE6CC0">
        <w:rPr>
          <w:rFonts w:ascii="Times" w:hAnsi="Times" w:cs="Times New Roman"/>
        </w:rPr>
        <w:t xml:space="preserve">Este trabalho é de natureza descritiva, pois tem o propósito de abranger a descrição do nível de evidenciação obrigatória do ativo intangível nas demonstrações contábeis das empresas </w:t>
      </w:r>
      <w:r w:rsidRPr="00CE6CC0">
        <w:rPr>
          <w:rFonts w:ascii="Times" w:hAnsi="Times" w:cs="Times New Roman"/>
        </w:rPr>
        <w:lastRenderedPageBreak/>
        <w:t>pesquisadas. Este tipo de metodologia detalha as características de determinada população ou fenômeno conforme Gil (2008) e Martins e Theóphilo (2007).</w:t>
      </w:r>
    </w:p>
    <w:p w14:paraId="4440159F" w14:textId="77777777" w:rsidR="00460769" w:rsidRPr="00CE6CC0" w:rsidRDefault="54F5D8AB" w:rsidP="008B60A3">
      <w:pPr>
        <w:spacing w:line="240" w:lineRule="auto"/>
        <w:rPr>
          <w:rFonts w:ascii="Times" w:hAnsi="Times" w:cs="Times New Roman"/>
        </w:rPr>
      </w:pPr>
      <w:r w:rsidRPr="00CE6CC0">
        <w:rPr>
          <w:rFonts w:ascii="Times" w:hAnsi="Times" w:cs="Times New Roman"/>
        </w:rPr>
        <w:t xml:space="preserve">A abordagem do problema, dispôs de método qualitativo em função da imprescindibilidade de análises sobre as ocorrências examinadas. Sobre os procedimentos, trata-se de pesquisa documental de análise de conteúdo. </w:t>
      </w:r>
    </w:p>
    <w:p w14:paraId="444015A0" w14:textId="4C852927" w:rsidR="00FB6810" w:rsidRPr="00CE6CC0" w:rsidRDefault="54F5D8AB" w:rsidP="008B60A3">
      <w:pPr>
        <w:spacing w:line="240" w:lineRule="auto"/>
        <w:rPr>
          <w:rFonts w:ascii="Times" w:hAnsi="Times" w:cs="Times New Roman"/>
        </w:rPr>
      </w:pPr>
      <w:r w:rsidRPr="00CE6CC0">
        <w:rPr>
          <w:rFonts w:ascii="Times" w:hAnsi="Times" w:cs="Times New Roman"/>
        </w:rPr>
        <w:t>Segundo Moraes (1999), analise de conteúdo compreende a análise de dados qualitativos, uma vez que este tipo de pesquisa é utilizado para descrever e interpretar o conteúdo de toda classe de documentos e textos, como por exemplo, as demonstrações financeiras e notas explicativas.</w:t>
      </w:r>
    </w:p>
    <w:p w14:paraId="444015A2" w14:textId="77777777" w:rsidR="00FB6810" w:rsidRPr="00CE6CC0" w:rsidRDefault="00FB6810" w:rsidP="008B60A3">
      <w:pPr>
        <w:spacing w:line="240" w:lineRule="auto"/>
        <w:rPr>
          <w:rFonts w:ascii="Times" w:hAnsi="Times" w:cs="Times New Roman"/>
          <w:szCs w:val="24"/>
        </w:rPr>
      </w:pPr>
    </w:p>
    <w:p w14:paraId="444015A3" w14:textId="77777777" w:rsidR="00FB6810" w:rsidRPr="00CE6CC0" w:rsidRDefault="54F5D8AB" w:rsidP="008B60A3">
      <w:pPr>
        <w:pStyle w:val="PargrafodaLista"/>
        <w:numPr>
          <w:ilvl w:val="1"/>
          <w:numId w:val="6"/>
        </w:numPr>
        <w:tabs>
          <w:tab w:val="left" w:pos="709"/>
        </w:tabs>
        <w:spacing w:after="160" w:line="240" w:lineRule="auto"/>
        <w:ind w:left="357" w:firstLine="0"/>
        <w:jc w:val="left"/>
        <w:rPr>
          <w:rFonts w:ascii="Times" w:hAnsi="Times" w:cs="Times New Roman"/>
          <w:b/>
          <w:bCs/>
        </w:rPr>
      </w:pPr>
      <w:r w:rsidRPr="00CE6CC0">
        <w:rPr>
          <w:rFonts w:ascii="Times" w:hAnsi="Times" w:cs="Times New Roman"/>
          <w:b/>
          <w:bCs/>
        </w:rPr>
        <w:t xml:space="preserve">SELEÇÃO DA AMOSTRA </w:t>
      </w:r>
    </w:p>
    <w:p w14:paraId="444015A4" w14:textId="4C99AC84" w:rsidR="00FB6810" w:rsidRPr="00CE6CC0" w:rsidRDefault="00FB6810" w:rsidP="008B60A3">
      <w:pPr>
        <w:tabs>
          <w:tab w:val="left" w:pos="709"/>
        </w:tabs>
        <w:spacing w:line="240" w:lineRule="auto"/>
        <w:rPr>
          <w:rFonts w:ascii="Times" w:hAnsi="Times" w:cs="Times New Roman"/>
        </w:rPr>
      </w:pPr>
      <w:r w:rsidRPr="00CE6CC0">
        <w:rPr>
          <w:rFonts w:ascii="Times" w:hAnsi="Times" w:cs="Times New Roman"/>
        </w:rPr>
        <w:t xml:space="preserve">A população definida para esta pesquisa é composta por companhias abertas listadas na </w:t>
      </w:r>
      <w:r w:rsidR="008B017B">
        <w:rPr>
          <w:rFonts w:ascii="Times" w:hAnsi="Times" w:cs="Times New Roman"/>
        </w:rPr>
        <w:t>B3</w:t>
      </w:r>
      <w:r w:rsidR="008C2169" w:rsidRPr="00CE6CC0">
        <w:rPr>
          <w:rFonts w:ascii="Times" w:hAnsi="Times" w:cs="Times New Roman"/>
        </w:rPr>
        <w:t xml:space="preserve"> (Brasil) e na EURONEXT-LISBOA</w:t>
      </w:r>
      <w:r w:rsidRPr="00CE6CC0">
        <w:rPr>
          <w:rFonts w:ascii="Times" w:hAnsi="Times" w:cs="Times New Roman"/>
        </w:rPr>
        <w:t xml:space="preserve"> (Portugal), com exceção das instituições financeiras e seguradoras, pois estas possuem regulamentação própria e especificidades patrimoniais não comparáveis aos demais tipos de empresas.</w:t>
      </w:r>
    </w:p>
    <w:p w14:paraId="444015A5" w14:textId="70FE26F8" w:rsidR="00FB6810" w:rsidRPr="00CE6CC0" w:rsidRDefault="00FB6810" w:rsidP="008B60A3">
      <w:pPr>
        <w:tabs>
          <w:tab w:val="left" w:pos="709"/>
        </w:tabs>
        <w:spacing w:line="240" w:lineRule="auto"/>
        <w:rPr>
          <w:rFonts w:ascii="Times" w:hAnsi="Times" w:cs="Times New Roman"/>
        </w:rPr>
      </w:pPr>
      <w:r w:rsidRPr="00CE6CC0">
        <w:rPr>
          <w:rFonts w:ascii="Times" w:hAnsi="Times" w:cs="Times New Roman"/>
        </w:rPr>
        <w:t>P</w:t>
      </w:r>
      <w:r w:rsidR="008C2169" w:rsidRPr="00CE6CC0">
        <w:rPr>
          <w:rFonts w:ascii="Times" w:hAnsi="Times" w:cs="Times New Roman"/>
        </w:rPr>
        <w:t>ara a amostra da Bolsa de Valores portuguesa</w:t>
      </w:r>
      <w:r w:rsidRPr="00CE6CC0">
        <w:rPr>
          <w:rFonts w:ascii="Times" w:hAnsi="Times" w:cs="Times New Roman"/>
        </w:rPr>
        <w:t xml:space="preserve">, foram selecionadas todas as </w:t>
      </w:r>
      <w:r w:rsidR="008C2169" w:rsidRPr="00CE6CC0">
        <w:rPr>
          <w:rFonts w:ascii="Times" w:hAnsi="Times" w:cs="Times New Roman"/>
        </w:rPr>
        <w:t xml:space="preserve">companhias </w:t>
      </w:r>
      <w:r w:rsidRPr="00CE6CC0">
        <w:rPr>
          <w:rFonts w:ascii="Times" w:hAnsi="Times" w:cs="Times New Roman"/>
        </w:rPr>
        <w:t>listadas, devido ao pequeno</w:t>
      </w:r>
      <w:r w:rsidR="008C2169" w:rsidRPr="00CE6CC0">
        <w:rPr>
          <w:rFonts w:ascii="Times" w:hAnsi="Times" w:cs="Times New Roman"/>
        </w:rPr>
        <w:t xml:space="preserve"> número de empresas cadastradas, assim obtivemos uma população total de</w:t>
      </w:r>
      <w:r w:rsidRPr="00CE6CC0">
        <w:rPr>
          <w:rFonts w:ascii="Times" w:hAnsi="Times" w:cs="Times New Roman"/>
        </w:rPr>
        <w:t xml:space="preserve"> 54 entidades, excluíram-se e entidades que não possuem ativo intangível reconhecido em suas demonstrações financeiras, totalizando</w:t>
      </w:r>
      <w:r w:rsidR="008C2169" w:rsidRPr="00CE6CC0">
        <w:rPr>
          <w:rFonts w:ascii="Times" w:hAnsi="Times" w:cs="Times New Roman"/>
        </w:rPr>
        <w:t xml:space="preserve"> uma amostra de</w:t>
      </w:r>
      <w:r w:rsidRPr="00CE6CC0">
        <w:rPr>
          <w:rFonts w:ascii="Times" w:hAnsi="Times" w:cs="Times New Roman"/>
        </w:rPr>
        <w:t xml:space="preserve"> 32 companhias.</w:t>
      </w:r>
    </w:p>
    <w:p w14:paraId="444015A6" w14:textId="1E29D111" w:rsidR="00F255C7" w:rsidRPr="00CE6CC0" w:rsidRDefault="006169E9" w:rsidP="008B60A3">
      <w:pPr>
        <w:tabs>
          <w:tab w:val="left" w:pos="709"/>
        </w:tabs>
        <w:spacing w:line="240" w:lineRule="auto"/>
        <w:rPr>
          <w:rFonts w:ascii="Times" w:hAnsi="Times" w:cs="Times New Roman"/>
        </w:rPr>
      </w:pPr>
      <w:r w:rsidRPr="00CE6CC0">
        <w:rPr>
          <w:rFonts w:ascii="Times" w:hAnsi="Times" w:cs="Times New Roman"/>
        </w:rPr>
        <w:t>Para a população da Bolsa de Valores brasileira, foram selecionadas todas as companhias listadas</w:t>
      </w:r>
      <w:r w:rsidR="00F255C7" w:rsidRPr="00CE6CC0">
        <w:rPr>
          <w:rFonts w:ascii="Times" w:hAnsi="Times" w:cs="Times New Roman"/>
        </w:rPr>
        <w:t>, totalizando 463 empresas. P</w:t>
      </w:r>
      <w:r w:rsidRPr="00CE6CC0">
        <w:rPr>
          <w:rFonts w:ascii="Times" w:hAnsi="Times" w:cs="Times New Roman"/>
        </w:rPr>
        <w:t xml:space="preserve">or </w:t>
      </w:r>
      <w:r w:rsidR="00FB6810" w:rsidRPr="00CE6CC0">
        <w:rPr>
          <w:rFonts w:ascii="Times" w:hAnsi="Times" w:cs="Times New Roman"/>
        </w:rPr>
        <w:t>possui</w:t>
      </w:r>
      <w:r w:rsidRPr="00CE6CC0">
        <w:rPr>
          <w:rFonts w:ascii="Times" w:hAnsi="Times" w:cs="Times New Roman"/>
        </w:rPr>
        <w:t>r</w:t>
      </w:r>
      <w:r w:rsidR="00FB6810" w:rsidRPr="00CE6CC0">
        <w:rPr>
          <w:rFonts w:ascii="Times" w:hAnsi="Times" w:cs="Times New Roman"/>
        </w:rPr>
        <w:t xml:space="preserve"> um elevado número de empresas cadastradas, para o delineamento desta amostra foram selecionadas até 10 empresas para cada um dos setores, de forma aleatória através do </w:t>
      </w:r>
      <w:r w:rsidR="00FB6810" w:rsidRPr="00CE6CC0">
        <w:rPr>
          <w:rFonts w:ascii="Times" w:hAnsi="Times" w:cs="Times New Roman"/>
          <w:i/>
          <w:iCs/>
        </w:rPr>
        <w:t>Really Randon Numbers</w:t>
      </w:r>
      <w:r w:rsidR="00FB6810" w:rsidRPr="00CE6CC0">
        <w:rPr>
          <w:rFonts w:ascii="Times" w:hAnsi="Times" w:cs="Times New Roman"/>
        </w:rPr>
        <w:t>, prog</w:t>
      </w:r>
      <w:r w:rsidR="00396EB6" w:rsidRPr="00CE6CC0">
        <w:rPr>
          <w:rFonts w:ascii="Times" w:hAnsi="Times" w:cs="Times New Roman"/>
        </w:rPr>
        <w:t>rama que gera dados aleatórios, obtendo-se uma amostra composta por 75 entidades.</w:t>
      </w:r>
    </w:p>
    <w:p w14:paraId="444015A7" w14:textId="3056F267" w:rsidR="00FB6810" w:rsidRPr="00CE6CC0" w:rsidRDefault="00396EB6" w:rsidP="008B60A3">
      <w:pPr>
        <w:tabs>
          <w:tab w:val="left" w:pos="709"/>
        </w:tabs>
        <w:spacing w:line="240" w:lineRule="auto"/>
        <w:rPr>
          <w:rFonts w:ascii="Times" w:hAnsi="Times" w:cs="Times New Roman"/>
        </w:rPr>
      </w:pPr>
      <w:r w:rsidRPr="00CE6CC0">
        <w:rPr>
          <w:rFonts w:ascii="Times" w:hAnsi="Times" w:cs="Times New Roman"/>
        </w:rPr>
        <w:t>Para o delineamento</w:t>
      </w:r>
      <w:r w:rsidR="001E3377" w:rsidRPr="00CE6CC0">
        <w:rPr>
          <w:rFonts w:ascii="Times" w:hAnsi="Times" w:cs="Times New Roman"/>
        </w:rPr>
        <w:t xml:space="preserve"> desta</w:t>
      </w:r>
      <w:r w:rsidRPr="00CE6CC0">
        <w:rPr>
          <w:rFonts w:ascii="Times" w:hAnsi="Times" w:cs="Times New Roman"/>
        </w:rPr>
        <w:t xml:space="preserve"> amostra, </w:t>
      </w:r>
      <w:r w:rsidR="00FB6810" w:rsidRPr="00CE6CC0">
        <w:rPr>
          <w:rFonts w:ascii="Times" w:hAnsi="Times" w:cs="Times New Roman"/>
        </w:rPr>
        <w:t xml:space="preserve">foram definidos </w:t>
      </w:r>
      <w:r w:rsidRPr="00CE6CC0">
        <w:rPr>
          <w:rFonts w:ascii="Times" w:hAnsi="Times" w:cs="Times New Roman"/>
        </w:rPr>
        <w:t xml:space="preserve">alguns critérios </w:t>
      </w:r>
      <w:r w:rsidR="00FB6810" w:rsidRPr="00CE6CC0">
        <w:rPr>
          <w:rFonts w:ascii="Times" w:hAnsi="Times" w:cs="Times New Roman"/>
        </w:rPr>
        <w:t>específicos</w:t>
      </w:r>
      <w:r w:rsidRPr="00CE6CC0">
        <w:rPr>
          <w:rFonts w:ascii="Times" w:hAnsi="Times" w:cs="Times New Roman"/>
        </w:rPr>
        <w:t xml:space="preserve"> como</w:t>
      </w:r>
      <w:r w:rsidR="00FB6810" w:rsidRPr="00CE6CC0">
        <w:rPr>
          <w:rFonts w:ascii="Times" w:hAnsi="Times" w:cs="Times New Roman"/>
        </w:rPr>
        <w:t>: entidades que possuíam ativos intangíveis em suas demonstrações e que foram auditadas</w:t>
      </w:r>
      <w:r w:rsidR="00773516" w:rsidRPr="00CE6CC0">
        <w:rPr>
          <w:rFonts w:ascii="Times" w:hAnsi="Times" w:cs="Times New Roman"/>
        </w:rPr>
        <w:t xml:space="preserve"> pelas “</w:t>
      </w:r>
      <w:r w:rsidR="00773516" w:rsidRPr="00CE6CC0">
        <w:rPr>
          <w:rFonts w:ascii="Times" w:hAnsi="Times" w:cs="Times New Roman"/>
          <w:i/>
          <w:iCs/>
        </w:rPr>
        <w:t>BIG FOUR</w:t>
      </w:r>
      <w:r w:rsidR="001E3377" w:rsidRPr="00CE6CC0">
        <w:rPr>
          <w:rFonts w:ascii="Times" w:hAnsi="Times" w:cs="Times New Roman"/>
        </w:rPr>
        <w:t>”, sendo</w:t>
      </w:r>
      <w:r w:rsidR="00FB6810" w:rsidRPr="00CE6CC0">
        <w:rPr>
          <w:rFonts w:ascii="Times" w:hAnsi="Times" w:cs="Times New Roman"/>
        </w:rPr>
        <w:t>: Deloitte Touche Tohmatsu (DTT), Ernst &amp; Young (EY), Klynveld Peat Marwick Gesellschaft</w:t>
      </w:r>
      <w:r w:rsidR="00FB6810" w:rsidRPr="00CE6CC0">
        <w:rPr>
          <w:rFonts w:ascii="Times" w:hAnsi="Times" w:cs="Times New Roman"/>
          <w:color w:val="545454"/>
          <w:shd w:val="clear" w:color="auto" w:fill="FFFFFF"/>
        </w:rPr>
        <w:t xml:space="preserve"> (</w:t>
      </w:r>
      <w:r w:rsidR="00FB6810" w:rsidRPr="00CE6CC0">
        <w:rPr>
          <w:rFonts w:ascii="Times" w:hAnsi="Times" w:cs="Times New Roman"/>
        </w:rPr>
        <w:t>KPMG) e</w:t>
      </w:r>
      <w:r w:rsidR="00F64D36" w:rsidRPr="00CE6CC0">
        <w:rPr>
          <w:rFonts w:ascii="Times" w:hAnsi="Times" w:cs="Times New Roman"/>
        </w:rPr>
        <w:t xml:space="preserve"> </w:t>
      </w:r>
      <w:r w:rsidR="00FB6810" w:rsidRPr="00CE6CC0">
        <w:rPr>
          <w:rFonts w:ascii="Times" w:hAnsi="Times" w:cs="Times New Roman"/>
        </w:rPr>
        <w:t>Price Water House Coopers (PWC), baseando-se no estudo de Maia, Formigoni e Silva (2012), onde é evidenciado que o porte da empresa de auditoria externa influência positivamente o nível de evidenciação das empresas com suas demonstrações contábeis.</w:t>
      </w:r>
    </w:p>
    <w:p w14:paraId="44401766" w14:textId="7F8F1354" w:rsidR="00B61CEF" w:rsidRDefault="00FB6810" w:rsidP="00D368C5">
      <w:pPr>
        <w:tabs>
          <w:tab w:val="left" w:pos="709"/>
        </w:tabs>
        <w:spacing w:line="240" w:lineRule="auto"/>
        <w:rPr>
          <w:rFonts w:ascii="Times" w:hAnsi="Times" w:cs="Times New Roman"/>
        </w:rPr>
      </w:pPr>
      <w:r w:rsidRPr="00CE6CC0">
        <w:rPr>
          <w:rFonts w:ascii="Times" w:hAnsi="Times" w:cs="Times New Roman"/>
        </w:rPr>
        <w:t>As amostras foram organizadas por 9 setores tanto para Brasil como Portugal, sendo eles: Bens Industriais, Consumo Cíclico, Consumo não Cíclico, Materiais Básicos, Petróleo e Gás, Saúde, Tecnologia da Informação, Telecomunicações e Utilidade Pública conforme o</w:t>
      </w:r>
      <w:r w:rsidR="00D368C5">
        <w:rPr>
          <w:rFonts w:ascii="Times" w:hAnsi="Times" w:cs="Times New Roman"/>
        </w:rPr>
        <w:t xml:space="preserve"> Anexo I</w:t>
      </w:r>
    </w:p>
    <w:p w14:paraId="2EE58117" w14:textId="77777777" w:rsidR="00D368C5" w:rsidRPr="00D368C5" w:rsidRDefault="00D368C5" w:rsidP="00D368C5">
      <w:pPr>
        <w:tabs>
          <w:tab w:val="left" w:pos="709"/>
        </w:tabs>
        <w:spacing w:line="240" w:lineRule="auto"/>
        <w:rPr>
          <w:rFonts w:ascii="Times" w:hAnsi="Times" w:cs="Times New Roman"/>
        </w:rPr>
      </w:pPr>
    </w:p>
    <w:p w14:paraId="44401767" w14:textId="1D94D892" w:rsidR="00FB6810" w:rsidRPr="00CE6CC0" w:rsidRDefault="54F5D8AB" w:rsidP="008B60A3">
      <w:pPr>
        <w:spacing w:line="240" w:lineRule="auto"/>
        <w:rPr>
          <w:rFonts w:ascii="Times" w:hAnsi="Times" w:cs="Times New Roman"/>
          <w:b/>
          <w:bCs/>
        </w:rPr>
      </w:pPr>
      <w:r w:rsidRPr="00CE6CC0">
        <w:rPr>
          <w:rFonts w:ascii="Times" w:hAnsi="Times" w:cs="Times New Roman"/>
          <w:b/>
          <w:bCs/>
        </w:rPr>
        <w:t>3.2.  COLETA DE DADOS</w:t>
      </w:r>
    </w:p>
    <w:p w14:paraId="44401768" w14:textId="7CC70008" w:rsidR="00FB6810" w:rsidRPr="00CE6CC0" w:rsidRDefault="54F5D8AB" w:rsidP="008B60A3">
      <w:pPr>
        <w:spacing w:line="240" w:lineRule="auto"/>
        <w:rPr>
          <w:rFonts w:ascii="Times" w:hAnsi="Times" w:cs="Times New Roman"/>
        </w:rPr>
      </w:pPr>
      <w:r w:rsidRPr="00CE6CC0">
        <w:rPr>
          <w:rFonts w:ascii="Times" w:hAnsi="Times" w:cs="Times New Roman"/>
        </w:rPr>
        <w:t xml:space="preserve">Os dados foram coletados no sítio da </w:t>
      </w:r>
      <w:r w:rsidR="008B017B">
        <w:rPr>
          <w:rFonts w:ascii="Times" w:hAnsi="Times" w:cs="Times New Roman"/>
        </w:rPr>
        <w:t xml:space="preserve">B3 </w:t>
      </w:r>
      <w:r w:rsidRPr="00CE6CC0">
        <w:rPr>
          <w:rFonts w:ascii="Times" w:hAnsi="Times" w:cs="Times New Roman"/>
        </w:rPr>
        <w:t xml:space="preserve"> e EURONEXT-LISBON, onde ocorreu a análise dos pareceres de auditoria, demonstrações contábeis e notas explicativas referente a amostra selecionada no exercício de 2016 com o intuito de se verificar e identificar as informações sobre o ativo intangível.</w:t>
      </w:r>
    </w:p>
    <w:p w14:paraId="444017AC" w14:textId="5128980C" w:rsidR="00FB6810" w:rsidRPr="00047280" w:rsidRDefault="54F5D8AB" w:rsidP="00047280">
      <w:pPr>
        <w:spacing w:line="240" w:lineRule="auto"/>
        <w:rPr>
          <w:rFonts w:ascii="Times" w:eastAsia="Arial" w:hAnsi="Times" w:cs="Times New Roman"/>
        </w:rPr>
      </w:pPr>
      <w:r w:rsidRPr="00CE6CC0">
        <w:rPr>
          <w:rFonts w:ascii="Times" w:eastAsia="Arial" w:hAnsi="Times" w:cs="Times New Roman"/>
        </w:rPr>
        <w:t xml:space="preserve">A partir das orientações da IAS 38, do CPC 04 e da NCRF 6, foi desenvolvido um </w:t>
      </w:r>
      <w:r w:rsidRPr="00CE6CC0">
        <w:rPr>
          <w:rFonts w:ascii="Times" w:eastAsia="Arial" w:hAnsi="Times" w:cs="Times New Roman"/>
          <w:i/>
          <w:iCs/>
        </w:rPr>
        <w:t>checklist</w:t>
      </w:r>
      <w:r w:rsidRPr="00CE6CC0">
        <w:rPr>
          <w:rFonts w:ascii="Times" w:eastAsia="Arial" w:hAnsi="Times" w:cs="Times New Roman"/>
        </w:rPr>
        <w:t xml:space="preserve"> para verificação da </w:t>
      </w:r>
      <w:r w:rsidRPr="00CE6CC0">
        <w:rPr>
          <w:rFonts w:ascii="Times" w:hAnsi="Times" w:cs="Times New Roman"/>
        </w:rPr>
        <w:t>aderência das empresas pesquisadas com relação às exigências de divulgação sobre ativos intangíveis em notas explicativas</w:t>
      </w:r>
      <w:r w:rsidRPr="00CE6CC0">
        <w:rPr>
          <w:rFonts w:ascii="Times" w:eastAsia="Arial" w:hAnsi="Times" w:cs="Times New Roman"/>
        </w:rPr>
        <w:t xml:space="preserve">, </w:t>
      </w:r>
      <w:r w:rsidR="00047280">
        <w:rPr>
          <w:rFonts w:ascii="Times" w:eastAsia="Arial" w:hAnsi="Times" w:cs="Times New Roman"/>
        </w:rPr>
        <w:t>conforme apresentado no anexo II</w:t>
      </w:r>
      <w:r w:rsidRPr="00CE6CC0">
        <w:rPr>
          <w:rFonts w:ascii="Times" w:eastAsia="Arial" w:hAnsi="Times" w:cs="Times New Roman"/>
        </w:rPr>
        <w:t xml:space="preserve">. </w:t>
      </w:r>
    </w:p>
    <w:p w14:paraId="444017AE" w14:textId="45AF063D" w:rsidR="00557315" w:rsidRPr="00CE6CC0" w:rsidRDefault="00FB6810" w:rsidP="008B60A3">
      <w:pPr>
        <w:suppressAutoHyphens/>
        <w:autoSpaceDE w:val="0"/>
        <w:autoSpaceDN w:val="0"/>
        <w:spacing w:line="240" w:lineRule="auto"/>
        <w:textAlignment w:val="baseline"/>
        <w:rPr>
          <w:rFonts w:ascii="Times" w:eastAsia="Lucida Sans Unicode" w:hAnsi="Times" w:cs="Times New Roman"/>
          <w:color w:val="000000" w:themeColor="text1"/>
        </w:rPr>
      </w:pPr>
      <w:r w:rsidRPr="00CE6CC0">
        <w:rPr>
          <w:rFonts w:ascii="Times" w:eastAsia="Lucida Sans Unicode" w:hAnsi="Times" w:cs="Times New Roman"/>
          <w:kern w:val="3"/>
        </w:rPr>
        <w:lastRenderedPageBreak/>
        <w:t xml:space="preserve">Os itens que tratam de evidenciação não obrigatória foram excluídos da formulação do </w:t>
      </w:r>
      <w:r w:rsidRPr="00CE6CC0">
        <w:rPr>
          <w:rFonts w:ascii="Times" w:eastAsia="Lucida Sans Unicode" w:hAnsi="Times" w:cs="Times New Roman"/>
          <w:i/>
          <w:iCs/>
          <w:kern w:val="3"/>
        </w:rPr>
        <w:t>checklist</w:t>
      </w:r>
      <w:r w:rsidRPr="00CE6CC0">
        <w:rPr>
          <w:rFonts w:ascii="Times" w:eastAsia="Lucida Sans Unicode" w:hAnsi="Times" w:cs="Times New Roman"/>
          <w:kern w:val="3"/>
        </w:rPr>
        <w:t xml:space="preserve"> já que o estudo tem por objetivo a evidenciação obrigatória dos ativos intangíveis.</w:t>
      </w:r>
      <w:r w:rsidRPr="00CE6CC0">
        <w:rPr>
          <w:rFonts w:ascii="Times" w:eastAsia="Lucida Sans Unicode" w:hAnsi="Times" w:cs="Times New Roman"/>
          <w:color w:val="000000"/>
          <w:kern w:val="3"/>
        </w:rPr>
        <w:t xml:space="preserve"> </w:t>
      </w:r>
    </w:p>
    <w:p w14:paraId="444017AF" w14:textId="72452457" w:rsidR="00F527CA" w:rsidRPr="00CE6CC0" w:rsidRDefault="00F527CA" w:rsidP="008B60A3">
      <w:pPr>
        <w:suppressAutoHyphens/>
        <w:autoSpaceDE w:val="0"/>
        <w:autoSpaceDN w:val="0"/>
        <w:spacing w:line="240" w:lineRule="auto"/>
        <w:textAlignment w:val="baseline"/>
        <w:rPr>
          <w:rFonts w:ascii="Times" w:eastAsia="Lucida Sans Unicode" w:hAnsi="Times" w:cs="Times New Roman"/>
          <w:b/>
          <w:bCs/>
        </w:rPr>
      </w:pPr>
      <w:r w:rsidRPr="00CE6CC0">
        <w:rPr>
          <w:rFonts w:ascii="Times" w:eastAsia="Lucida Sans Unicode" w:hAnsi="Times" w:cs="Times New Roman"/>
          <w:b/>
          <w:bCs/>
          <w:kern w:val="3"/>
        </w:rPr>
        <w:t xml:space="preserve">4. </w:t>
      </w:r>
      <w:r w:rsidR="00476A35" w:rsidRPr="00CE6CC0">
        <w:rPr>
          <w:rFonts w:ascii="Times" w:eastAsia="Lucida Sans Unicode" w:hAnsi="Times" w:cs="Times New Roman"/>
          <w:b/>
          <w:bCs/>
          <w:kern w:val="3"/>
        </w:rPr>
        <w:t xml:space="preserve"> </w:t>
      </w:r>
      <w:r w:rsidRPr="00CE6CC0">
        <w:rPr>
          <w:rFonts w:ascii="Times" w:eastAsia="Lucida Sans Unicode" w:hAnsi="Times" w:cs="Times New Roman"/>
          <w:b/>
          <w:bCs/>
          <w:kern w:val="3"/>
        </w:rPr>
        <w:t>ANÁLISE DOS DADOS E DESCRIÇÃO DE RESULTADOS</w:t>
      </w:r>
    </w:p>
    <w:p w14:paraId="444017B0" w14:textId="77777777" w:rsidR="00F527CA" w:rsidRPr="00CE6CC0" w:rsidRDefault="54F5D8AB" w:rsidP="008B60A3">
      <w:pPr>
        <w:autoSpaceDE w:val="0"/>
        <w:autoSpaceDN w:val="0"/>
        <w:adjustRightInd w:val="0"/>
        <w:spacing w:line="240" w:lineRule="auto"/>
        <w:rPr>
          <w:rFonts w:ascii="Times" w:hAnsi="Times" w:cs="Times New Roman"/>
          <w:color w:val="000000" w:themeColor="text1"/>
        </w:rPr>
      </w:pPr>
      <w:r w:rsidRPr="00CE6CC0">
        <w:rPr>
          <w:rFonts w:ascii="Times" w:hAnsi="Times" w:cs="Times New Roman"/>
          <w:color w:val="000000" w:themeColor="text1"/>
        </w:rPr>
        <w:t>A análise de conteúdo adotou como regra de pontuação para o comprimento ou não cumprimento dos itens obrigatórios de divulgação dos ativos intangíveis, de maneira que:</w:t>
      </w:r>
    </w:p>
    <w:p w14:paraId="444017B1" w14:textId="77777777" w:rsidR="00F527CA" w:rsidRPr="00CE6CC0" w:rsidRDefault="54F5D8AB" w:rsidP="008B60A3">
      <w:pPr>
        <w:numPr>
          <w:ilvl w:val="0"/>
          <w:numId w:val="7"/>
        </w:numPr>
        <w:autoSpaceDE w:val="0"/>
        <w:autoSpaceDN w:val="0"/>
        <w:adjustRightInd w:val="0"/>
        <w:spacing w:after="160" w:line="240" w:lineRule="auto"/>
        <w:ind w:firstLine="0"/>
        <w:contextualSpacing/>
        <w:jc w:val="left"/>
        <w:rPr>
          <w:rFonts w:ascii="Times" w:hAnsi="Times" w:cs="Times New Roman"/>
        </w:rPr>
      </w:pPr>
      <w:r w:rsidRPr="00CE6CC0">
        <w:rPr>
          <w:rFonts w:ascii="Times" w:hAnsi="Times" w:cs="Times New Roman"/>
        </w:rPr>
        <w:t>Foi atribuída a nota</w:t>
      </w:r>
      <w:r w:rsidRPr="00CE6CC0">
        <w:rPr>
          <w:rFonts w:ascii="Times" w:hAnsi="Times" w:cs="Times New Roman"/>
          <w:b/>
          <w:bCs/>
        </w:rPr>
        <w:t xml:space="preserve"> 1</w:t>
      </w:r>
      <w:r w:rsidRPr="00CE6CC0">
        <w:rPr>
          <w:rFonts w:ascii="Times" w:hAnsi="Times" w:cs="Times New Roman"/>
        </w:rPr>
        <w:t xml:space="preserve"> às empresas que divulgaram as informações exigidas;</w:t>
      </w:r>
    </w:p>
    <w:p w14:paraId="444017B2" w14:textId="77777777" w:rsidR="00F527CA" w:rsidRPr="00CE6CC0" w:rsidRDefault="54F5D8AB" w:rsidP="008B60A3">
      <w:pPr>
        <w:numPr>
          <w:ilvl w:val="0"/>
          <w:numId w:val="7"/>
        </w:numPr>
        <w:autoSpaceDE w:val="0"/>
        <w:autoSpaceDN w:val="0"/>
        <w:adjustRightInd w:val="0"/>
        <w:spacing w:after="160" w:line="240" w:lineRule="auto"/>
        <w:ind w:firstLine="0"/>
        <w:contextualSpacing/>
        <w:jc w:val="left"/>
        <w:rPr>
          <w:rFonts w:ascii="Times" w:hAnsi="Times" w:cs="Times New Roman"/>
        </w:rPr>
      </w:pPr>
      <w:r w:rsidRPr="00CE6CC0">
        <w:rPr>
          <w:rFonts w:ascii="Times" w:hAnsi="Times" w:cs="Times New Roman"/>
        </w:rPr>
        <w:t xml:space="preserve">Foi atribuída a nota </w:t>
      </w:r>
      <w:r w:rsidRPr="00CE6CC0">
        <w:rPr>
          <w:rFonts w:ascii="Times" w:hAnsi="Times" w:cs="Times New Roman"/>
          <w:b/>
          <w:bCs/>
        </w:rPr>
        <w:t>0</w:t>
      </w:r>
      <w:r w:rsidRPr="00CE6CC0">
        <w:rPr>
          <w:rFonts w:ascii="Times" w:hAnsi="Times" w:cs="Times New Roman"/>
        </w:rPr>
        <w:t xml:space="preserve"> às empresas que não divulgaram as informações requeridas.</w:t>
      </w:r>
    </w:p>
    <w:p w14:paraId="444017B3" w14:textId="77777777" w:rsidR="00F527CA" w:rsidRPr="00CE6CC0" w:rsidRDefault="54F5D8AB" w:rsidP="008B60A3">
      <w:pPr>
        <w:numPr>
          <w:ilvl w:val="0"/>
          <w:numId w:val="7"/>
        </w:numPr>
        <w:autoSpaceDE w:val="0"/>
        <w:autoSpaceDN w:val="0"/>
        <w:adjustRightInd w:val="0"/>
        <w:spacing w:after="160" w:line="240" w:lineRule="auto"/>
        <w:ind w:firstLine="0"/>
        <w:contextualSpacing/>
        <w:jc w:val="left"/>
        <w:rPr>
          <w:rFonts w:ascii="Times" w:hAnsi="Times" w:cs="Times New Roman"/>
        </w:rPr>
      </w:pPr>
      <w:r w:rsidRPr="00CE6CC0">
        <w:rPr>
          <w:rFonts w:ascii="Times" w:hAnsi="Times" w:cs="Times New Roman"/>
        </w:rPr>
        <w:t xml:space="preserve">Quando não aplicável à realidade da empresa foi atribuído </w:t>
      </w:r>
      <w:r w:rsidRPr="00CE6CC0">
        <w:rPr>
          <w:rFonts w:ascii="Times" w:hAnsi="Times" w:cs="Times New Roman"/>
          <w:b/>
          <w:bCs/>
        </w:rPr>
        <w:t xml:space="preserve">N/A </w:t>
      </w:r>
      <w:r w:rsidRPr="00CE6CC0">
        <w:rPr>
          <w:rFonts w:ascii="Times" w:hAnsi="Times" w:cs="Times New Roman"/>
        </w:rPr>
        <w:t>(não se aplica).</w:t>
      </w:r>
    </w:p>
    <w:p w14:paraId="444017B4" w14:textId="77777777" w:rsidR="00F527CA" w:rsidRPr="00CE6CC0" w:rsidRDefault="00F527CA" w:rsidP="008B60A3">
      <w:pPr>
        <w:autoSpaceDE w:val="0"/>
        <w:autoSpaceDN w:val="0"/>
        <w:adjustRightInd w:val="0"/>
        <w:spacing w:after="160" w:line="240" w:lineRule="auto"/>
        <w:contextualSpacing/>
        <w:jc w:val="left"/>
        <w:rPr>
          <w:rFonts w:ascii="Times" w:hAnsi="Times" w:cs="Times New Roman"/>
          <w:szCs w:val="24"/>
        </w:rPr>
      </w:pPr>
    </w:p>
    <w:p w14:paraId="5B263CA5" w14:textId="741933CC" w:rsidR="00665590" w:rsidRPr="00CE6CC0" w:rsidRDefault="54F5D8AB" w:rsidP="008B60A3">
      <w:pPr>
        <w:autoSpaceDE w:val="0"/>
        <w:autoSpaceDN w:val="0"/>
        <w:adjustRightInd w:val="0"/>
        <w:spacing w:line="240" w:lineRule="auto"/>
        <w:rPr>
          <w:rFonts w:ascii="Times" w:hAnsi="Times" w:cs="Times New Roman"/>
          <w:color w:val="000000" w:themeColor="text1"/>
        </w:rPr>
      </w:pPr>
      <w:r w:rsidRPr="00CE6CC0">
        <w:rPr>
          <w:rFonts w:ascii="Times" w:hAnsi="Times" w:cs="Times New Roman"/>
          <w:color w:val="000000" w:themeColor="text1"/>
        </w:rPr>
        <w:t xml:space="preserve">Os itens cujo a nota atribuída foi N/A (não aplicável), foram excluídos da análise para não gerar distorções na obtenção do </w:t>
      </w:r>
      <w:r w:rsidR="007503D8" w:rsidRPr="00CE6CC0">
        <w:rPr>
          <w:rFonts w:ascii="Times" w:hAnsi="Times" w:cs="Times New Roman"/>
        </w:rPr>
        <w:t>NEO (Nível de Evidenciação Obrigatório)</w:t>
      </w:r>
      <w:r w:rsidRPr="00CE6CC0">
        <w:rPr>
          <w:rFonts w:ascii="Times" w:hAnsi="Times" w:cs="Times New Roman"/>
          <w:color w:val="000000" w:themeColor="text1"/>
        </w:rPr>
        <w:t>, pois caso fosse incluído no índice de evidenciação, a empresa poderia ser penalizada por não apresentar um tipo específico de informação.</w:t>
      </w:r>
    </w:p>
    <w:p w14:paraId="444017B7" w14:textId="1FA93D9A" w:rsidR="00F527CA" w:rsidRPr="00CE6CC0" w:rsidRDefault="54F5D8AB" w:rsidP="008B60A3">
      <w:pPr>
        <w:autoSpaceDE w:val="0"/>
        <w:autoSpaceDN w:val="0"/>
        <w:adjustRightInd w:val="0"/>
        <w:spacing w:line="240" w:lineRule="auto"/>
        <w:rPr>
          <w:rFonts w:ascii="Times" w:hAnsi="Times" w:cs="Times New Roman"/>
          <w:color w:val="000000" w:themeColor="text1"/>
        </w:rPr>
      </w:pPr>
      <w:r w:rsidRPr="00CE6CC0">
        <w:rPr>
          <w:rFonts w:ascii="Times" w:hAnsi="Times" w:cs="Times New Roman"/>
          <w:color w:val="000000" w:themeColor="text1"/>
        </w:rPr>
        <w:t>Assim, a pontuação compreende apenas ao número total de itens aplicáveis à situação real da companhia, sendo feita uma análise entre os itens aplicáveis e cumpridos. Portanto, o índice de evidenciação máximo possível atribuído à uma empresa é calculado com o total de pontuações máximas possíveis (1) equivalente a 100% de adequação à norma para cada item.</w:t>
      </w:r>
    </w:p>
    <w:p w14:paraId="42E2866A" w14:textId="77777777" w:rsidR="005A0430" w:rsidRPr="00CE6CC0" w:rsidRDefault="54F5D8AB" w:rsidP="008B60A3">
      <w:pPr>
        <w:spacing w:line="240" w:lineRule="auto"/>
        <w:rPr>
          <w:rFonts w:ascii="Times" w:hAnsi="Times" w:cs="Times New Roman"/>
        </w:rPr>
      </w:pPr>
      <w:r w:rsidRPr="00CE6CC0">
        <w:rPr>
          <w:rFonts w:ascii="Times" w:hAnsi="Times" w:cs="Times New Roman"/>
        </w:rPr>
        <w:t>O nível de evidenciação obtido por setor foi representado por porcentagem. Para isso, foram atribuídas pontuações para cada empresa de acordo com os itens aplicáveis e atendidos.</w:t>
      </w:r>
    </w:p>
    <w:p w14:paraId="178A30AD" w14:textId="77777777" w:rsidR="005A0430" w:rsidRPr="00CE6CC0" w:rsidRDefault="005A0430" w:rsidP="008B60A3">
      <w:pPr>
        <w:spacing w:line="240" w:lineRule="auto"/>
        <w:rPr>
          <w:rFonts w:ascii="Times" w:hAnsi="Times" w:cs="Times New Roman"/>
          <w:szCs w:val="24"/>
        </w:rPr>
      </w:pPr>
    </w:p>
    <w:p w14:paraId="3F3A38DF" w14:textId="77777777" w:rsidR="006F493C" w:rsidRPr="00CE6CC0" w:rsidRDefault="54F5D8AB" w:rsidP="008B60A3">
      <w:pPr>
        <w:pStyle w:val="PargrafodaLista"/>
        <w:numPr>
          <w:ilvl w:val="1"/>
          <w:numId w:val="10"/>
        </w:numPr>
        <w:spacing w:line="240" w:lineRule="auto"/>
        <w:ind w:firstLine="0"/>
        <w:rPr>
          <w:rFonts w:ascii="Times" w:hAnsi="Times" w:cs="Times New Roman"/>
          <w:b/>
          <w:bCs/>
        </w:rPr>
      </w:pPr>
      <w:r w:rsidRPr="00CE6CC0">
        <w:rPr>
          <w:rFonts w:ascii="Times" w:hAnsi="Times" w:cs="Times New Roman"/>
          <w:b/>
          <w:bCs/>
        </w:rPr>
        <w:t>. ANÁLISE PRINCIPAL</w:t>
      </w:r>
    </w:p>
    <w:p w14:paraId="056EB353" w14:textId="77777777" w:rsidR="006D39F7" w:rsidRPr="00CE6CC0" w:rsidRDefault="006D39F7" w:rsidP="008B60A3">
      <w:pPr>
        <w:pStyle w:val="PargrafodaLista"/>
        <w:spacing w:line="240" w:lineRule="auto"/>
        <w:ind w:left="360"/>
        <w:rPr>
          <w:rFonts w:ascii="Times" w:hAnsi="Times" w:cs="Times New Roman"/>
          <w:b/>
          <w:szCs w:val="24"/>
        </w:rPr>
      </w:pPr>
    </w:p>
    <w:p w14:paraId="2B7A27A1" w14:textId="0F621364" w:rsidR="005A0430" w:rsidRPr="00CE6CC0" w:rsidRDefault="54F5D8AB" w:rsidP="002803E8">
      <w:pPr>
        <w:pStyle w:val="PargrafodaLista"/>
        <w:numPr>
          <w:ilvl w:val="2"/>
          <w:numId w:val="11"/>
        </w:numPr>
        <w:spacing w:line="240" w:lineRule="auto"/>
        <w:ind w:left="1276" w:firstLine="0"/>
        <w:rPr>
          <w:rFonts w:ascii="Times" w:hAnsi="Times" w:cs="Times New Roman"/>
          <w:b/>
          <w:bCs/>
        </w:rPr>
      </w:pPr>
      <w:r w:rsidRPr="00CE6CC0">
        <w:rPr>
          <w:rFonts w:ascii="Times" w:hAnsi="Times" w:cs="Times New Roman"/>
          <w:b/>
          <w:bCs/>
        </w:rPr>
        <w:t>POR SETOR</w:t>
      </w:r>
    </w:p>
    <w:p w14:paraId="444017BB" w14:textId="0EB94259" w:rsidR="00F527CA" w:rsidRPr="00CE6CC0" w:rsidRDefault="54F5D8AB" w:rsidP="008B60A3">
      <w:pPr>
        <w:spacing w:line="240" w:lineRule="auto"/>
        <w:rPr>
          <w:rFonts w:ascii="Times" w:hAnsi="Times" w:cs="Times New Roman"/>
        </w:rPr>
      </w:pPr>
      <w:r w:rsidRPr="00CE6CC0">
        <w:rPr>
          <w:rFonts w:ascii="Times" w:hAnsi="Times" w:cs="Times New Roman"/>
        </w:rPr>
        <w:t>A seguir, é apresentado nas Tabelas 1 e 2, o NEO (Nível de Evidenciação Obrigatória) obtido por setor em cada um dos países, onde é possível perceber que todos os setores apresentaram um nível de evidenciação superior a 50% de adequação a norma exigida, o que significa que mais da metade dos itens aplicáveis foram atendidos. Porém, nenhum dos setores, nos dois mercados, apresentou 100% de adequação às exigências obrigatórias tratadas na IAS 38, ou seja, as empresas não divulgaram, em nota explicativa, todas as informações exigidas por esta norma internacional referente a divulgação do ativo intangível no exercício financeiro de 2016 divulgado em 2017.</w:t>
      </w:r>
    </w:p>
    <w:p w14:paraId="4E988ECA" w14:textId="77777777" w:rsidR="004E4A9B" w:rsidRPr="00CE6CC0" w:rsidRDefault="004E4A9B" w:rsidP="008B60A3">
      <w:pPr>
        <w:spacing w:line="240" w:lineRule="auto"/>
        <w:rPr>
          <w:rFonts w:ascii="Times" w:hAnsi="Times" w:cs="Times New Roman"/>
          <w:szCs w:val="24"/>
        </w:rPr>
      </w:pPr>
    </w:p>
    <w:p w14:paraId="444017BC" w14:textId="02E21F18" w:rsidR="00F527CA" w:rsidRPr="00CE6CC0" w:rsidRDefault="54F5D8AB" w:rsidP="008B60A3">
      <w:pPr>
        <w:spacing w:line="240" w:lineRule="auto"/>
        <w:contextualSpacing/>
        <w:rPr>
          <w:rFonts w:ascii="Times" w:hAnsi="Times" w:cs="Times New Roman"/>
        </w:rPr>
      </w:pPr>
      <w:r w:rsidRPr="00CE6CC0">
        <w:rPr>
          <w:rFonts w:ascii="Times" w:hAnsi="Times" w:cs="Times New Roman"/>
        </w:rPr>
        <w:t>As referidas pontuações estão representadas nas Tabelas 1 - Brasil e 2 - Portugal:</w:t>
      </w:r>
    </w:p>
    <w:p w14:paraId="444017BD" w14:textId="77777777" w:rsidR="00F527CA" w:rsidRPr="00CE6CC0" w:rsidRDefault="00F527CA" w:rsidP="008B60A3">
      <w:pPr>
        <w:spacing w:after="0" w:line="240" w:lineRule="auto"/>
        <w:contextualSpacing/>
        <w:rPr>
          <w:rFonts w:ascii="Times" w:hAnsi="Times" w:cs="Arial"/>
          <w:szCs w:val="24"/>
        </w:rPr>
      </w:pPr>
    </w:p>
    <w:p w14:paraId="444017BE" w14:textId="77777777" w:rsidR="00F527CA" w:rsidRPr="00CE6CC0" w:rsidRDefault="54F5D8AB" w:rsidP="008B60A3">
      <w:pPr>
        <w:spacing w:after="0" w:line="240" w:lineRule="auto"/>
        <w:jc w:val="center"/>
        <w:rPr>
          <w:rFonts w:ascii="Times" w:hAnsi="Times" w:cs="Times New Roman"/>
          <w:b/>
          <w:bCs/>
        </w:rPr>
      </w:pPr>
      <w:r w:rsidRPr="00CE6CC0">
        <w:rPr>
          <w:rFonts w:ascii="Times" w:hAnsi="Times" w:cs="Times New Roman"/>
          <w:b/>
          <w:bCs/>
        </w:rPr>
        <w:t>Tabela 1 – Nível brasileiro de evidenciação por setor</w:t>
      </w:r>
    </w:p>
    <w:p w14:paraId="42244A8E" w14:textId="75BE1214" w:rsidR="001B36F6" w:rsidRPr="00CE6CC0" w:rsidRDefault="001B36F6" w:rsidP="008B60A3">
      <w:pPr>
        <w:spacing w:after="0" w:line="240" w:lineRule="auto"/>
        <w:jc w:val="center"/>
        <w:rPr>
          <w:rFonts w:ascii="Times" w:hAnsi="Times" w:cs="Arial"/>
          <w:b/>
          <w:bCs/>
          <w:sz w:val="18"/>
          <w:szCs w:val="18"/>
        </w:rPr>
      </w:pPr>
      <w:r w:rsidRPr="00CE6CC0">
        <w:rPr>
          <w:rFonts w:ascii="Times" w:hAnsi="Times"/>
          <w:noProof/>
          <w:lang w:eastAsia="pt-BR"/>
        </w:rPr>
        <w:lastRenderedPageBreak/>
        <w:drawing>
          <wp:inline distT="0" distB="0" distL="0" distR="0" wp14:anchorId="3B040270" wp14:editId="36D541E5">
            <wp:extent cx="5505450" cy="1993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076" cy="1994489"/>
                    </a:xfrm>
                    <a:prstGeom prst="rect">
                      <a:avLst/>
                    </a:prstGeom>
                    <a:noFill/>
                    <a:ln>
                      <a:noFill/>
                    </a:ln>
                  </pic:spPr>
                </pic:pic>
              </a:graphicData>
            </a:graphic>
          </wp:inline>
        </w:drawing>
      </w:r>
    </w:p>
    <w:p w14:paraId="444017BF" w14:textId="5E3130B7" w:rsidR="00F527CA" w:rsidRPr="00CE6CC0" w:rsidRDefault="54F5D8AB" w:rsidP="008B60A3">
      <w:pPr>
        <w:spacing w:line="240" w:lineRule="auto"/>
        <w:contextualSpacing/>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444017C0" w14:textId="77777777" w:rsidR="00F527CA" w:rsidRPr="00CE6CC0" w:rsidRDefault="00F527CA" w:rsidP="008B60A3">
      <w:pPr>
        <w:spacing w:line="240" w:lineRule="auto"/>
        <w:contextualSpacing/>
        <w:rPr>
          <w:rFonts w:ascii="Times" w:hAnsi="Times" w:cs="Times New Roman"/>
          <w:b/>
          <w:sz w:val="20"/>
          <w:szCs w:val="20"/>
        </w:rPr>
      </w:pPr>
    </w:p>
    <w:p w14:paraId="444017C1" w14:textId="740E8E0E" w:rsidR="00F527CA" w:rsidRPr="00CE6CC0" w:rsidRDefault="54F5D8AB" w:rsidP="008B60A3">
      <w:pPr>
        <w:spacing w:line="240" w:lineRule="auto"/>
        <w:rPr>
          <w:rFonts w:ascii="Times" w:hAnsi="Times" w:cs="Times New Roman"/>
        </w:rPr>
      </w:pPr>
      <w:r w:rsidRPr="00CE6CC0">
        <w:rPr>
          <w:rFonts w:ascii="Times" w:hAnsi="Times" w:cs="Times New Roman"/>
        </w:rPr>
        <w:t>De acordo com a Tabela 1, nota-se que as empresas pertencentes ao setor de Petróleo e Gás com 6 empresas e Tecnologia da Informação com 5 empresas, obtiveram os maiores níveis de evidenciação em concordância com os critérios de divulgação exigidos pelo IAS</w:t>
      </w:r>
      <w:r w:rsidR="00D50813">
        <w:rPr>
          <w:rFonts w:ascii="Times" w:hAnsi="Times" w:cs="Times New Roman"/>
        </w:rPr>
        <w:t xml:space="preserve"> 38 sendo 90% </w:t>
      </w:r>
      <w:r w:rsidRPr="00CE6CC0">
        <w:rPr>
          <w:rFonts w:ascii="Times" w:hAnsi="Times" w:cs="Times New Roman"/>
        </w:rPr>
        <w:t>e 88% respectivamente. O menor índice dessa análise foi alcançado no setor de Consumo Cíclico com 10 empresas, com um NEO de 61%, seguido pelo Consumo não Cíclico com 10 empresas, com o nível de evidenciação de 67%.</w:t>
      </w:r>
    </w:p>
    <w:p w14:paraId="0C3FE032" w14:textId="77777777" w:rsidR="004E4A9B" w:rsidRPr="00CE6CC0" w:rsidRDefault="004E4A9B" w:rsidP="008B60A3">
      <w:pPr>
        <w:spacing w:line="240" w:lineRule="auto"/>
        <w:contextualSpacing/>
        <w:rPr>
          <w:rFonts w:ascii="Times" w:hAnsi="Times" w:cs="Times New Roman"/>
          <w:szCs w:val="24"/>
        </w:rPr>
      </w:pPr>
    </w:p>
    <w:p w14:paraId="09889CCF" w14:textId="53E67C71" w:rsidR="004E4A9B" w:rsidRPr="00CE6CC0" w:rsidRDefault="004E4A9B" w:rsidP="008B60A3">
      <w:pPr>
        <w:spacing w:after="0" w:line="240" w:lineRule="auto"/>
        <w:jc w:val="center"/>
        <w:rPr>
          <w:rFonts w:ascii="Times" w:hAnsi="Times" w:cs="Arial"/>
          <w:b/>
          <w:bCs/>
          <w:sz w:val="18"/>
          <w:szCs w:val="18"/>
        </w:rPr>
      </w:pPr>
      <w:r w:rsidRPr="00CE6CC0">
        <w:rPr>
          <w:rFonts w:ascii="Times" w:hAnsi="Times" w:cs="Times New Roman"/>
          <w:b/>
          <w:bCs/>
        </w:rPr>
        <w:t>Tabela 2 – Nível português de evidenciação por setor</w:t>
      </w:r>
      <w:r w:rsidRPr="00CE6CC0">
        <w:rPr>
          <w:rFonts w:ascii="Times" w:hAnsi="Times" w:cs="Arial"/>
          <w:b/>
          <w:bCs/>
          <w:sz w:val="18"/>
          <w:szCs w:val="18"/>
        </w:rPr>
        <w:t xml:space="preserve"> </w:t>
      </w:r>
      <w:r w:rsidRPr="00CE6CC0">
        <w:rPr>
          <w:rFonts w:ascii="Times" w:hAnsi="Times"/>
          <w:noProof/>
          <w:lang w:eastAsia="pt-BR"/>
        </w:rPr>
        <w:drawing>
          <wp:inline distT="0" distB="0" distL="0" distR="0" wp14:anchorId="40BC2AE5" wp14:editId="0DC65847">
            <wp:extent cx="5760085" cy="2042583"/>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042583"/>
                    </a:xfrm>
                    <a:prstGeom prst="rect">
                      <a:avLst/>
                    </a:prstGeom>
                    <a:noFill/>
                    <a:ln>
                      <a:noFill/>
                    </a:ln>
                  </pic:spPr>
                </pic:pic>
              </a:graphicData>
            </a:graphic>
          </wp:inline>
        </w:drawing>
      </w:r>
    </w:p>
    <w:p w14:paraId="58F45EFB" w14:textId="4D27B787" w:rsidR="004E4A9B" w:rsidRPr="00CE6CC0" w:rsidRDefault="54F5D8AB" w:rsidP="008B60A3">
      <w:pPr>
        <w:spacing w:after="0" w:line="240" w:lineRule="auto"/>
        <w:jc w:val="left"/>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31EC9C59" w14:textId="77777777" w:rsidR="004E4A9B" w:rsidRPr="00CE6CC0" w:rsidRDefault="004E4A9B" w:rsidP="008B60A3">
      <w:pPr>
        <w:spacing w:after="0" w:line="240" w:lineRule="auto"/>
        <w:jc w:val="left"/>
        <w:rPr>
          <w:rFonts w:ascii="Times" w:hAnsi="Times" w:cs="Arial"/>
          <w:sz w:val="18"/>
          <w:szCs w:val="18"/>
        </w:rPr>
      </w:pPr>
    </w:p>
    <w:p w14:paraId="5D36E204" w14:textId="77777777" w:rsidR="004E4A9B" w:rsidRPr="00CE6CC0" w:rsidRDefault="004E4A9B" w:rsidP="008B60A3">
      <w:pPr>
        <w:spacing w:after="0" w:line="240" w:lineRule="auto"/>
        <w:jc w:val="left"/>
        <w:rPr>
          <w:rFonts w:ascii="Times" w:hAnsi="Times" w:cs="Arial"/>
          <w:sz w:val="18"/>
          <w:szCs w:val="18"/>
        </w:rPr>
      </w:pPr>
    </w:p>
    <w:p w14:paraId="1D898B92" w14:textId="7868B217" w:rsidR="004E4A9B" w:rsidRPr="00CE6CC0" w:rsidRDefault="54F5D8AB" w:rsidP="008B60A3">
      <w:pPr>
        <w:spacing w:line="240" w:lineRule="auto"/>
        <w:rPr>
          <w:rFonts w:ascii="Times" w:hAnsi="Times" w:cs="Times New Roman"/>
        </w:rPr>
      </w:pPr>
      <w:r w:rsidRPr="00CE6CC0">
        <w:rPr>
          <w:rFonts w:ascii="Times" w:hAnsi="Times" w:cs="Times New Roman"/>
        </w:rPr>
        <w:t>De acordo com a Tabela 2, nota-se que as empresas portuguesas pertencentes ao setor de Utilidade Pública com 2 empresas e Petróleo e Gás com 1 empresa, obtiveram os maiores níveis de evidenciação em concordância com os critérios de divulgação exigidos pelo IAS 38 sendo 96% e 94% respectivamente. O menor índice dessa análise foi alcançado no setor de Saúde com 2 empresas, apresentando um total de 55% de NEO.</w:t>
      </w:r>
    </w:p>
    <w:p w14:paraId="54454DC9" w14:textId="77777777" w:rsidR="004E4A9B" w:rsidRPr="00CE6CC0" w:rsidRDefault="004E4A9B" w:rsidP="008B60A3">
      <w:pPr>
        <w:spacing w:line="240" w:lineRule="auto"/>
        <w:rPr>
          <w:rFonts w:ascii="Times" w:hAnsi="Times" w:cs="Times New Roman"/>
          <w:szCs w:val="24"/>
        </w:rPr>
      </w:pPr>
    </w:p>
    <w:p w14:paraId="74F907FB" w14:textId="66D3F5C4" w:rsidR="00E8755C" w:rsidRPr="00CE6CC0" w:rsidRDefault="54F5D8AB" w:rsidP="008B60A3">
      <w:pPr>
        <w:pStyle w:val="PargrafodaLista"/>
        <w:numPr>
          <w:ilvl w:val="1"/>
          <w:numId w:val="10"/>
        </w:numPr>
        <w:spacing w:line="240" w:lineRule="auto"/>
        <w:ind w:firstLine="0"/>
        <w:rPr>
          <w:rFonts w:ascii="Times" w:hAnsi="Times" w:cs="Times New Roman"/>
          <w:b/>
          <w:bCs/>
        </w:rPr>
      </w:pPr>
      <w:r w:rsidRPr="00CE6CC0">
        <w:rPr>
          <w:rFonts w:ascii="Times" w:hAnsi="Times" w:cs="Times New Roman"/>
          <w:b/>
          <w:bCs/>
        </w:rPr>
        <w:t>. ANÁLISES COMPLEMENTARES</w:t>
      </w:r>
    </w:p>
    <w:p w14:paraId="01C609D7" w14:textId="0AD1A362" w:rsidR="004E4A9B" w:rsidRPr="00CE6CC0" w:rsidRDefault="54F5D8AB" w:rsidP="008B60A3">
      <w:pPr>
        <w:spacing w:line="240" w:lineRule="auto"/>
        <w:rPr>
          <w:rFonts w:ascii="Times" w:hAnsi="Times" w:cs="Times New Roman"/>
        </w:rPr>
      </w:pPr>
      <w:r w:rsidRPr="00CE6CC0">
        <w:rPr>
          <w:rFonts w:ascii="Times" w:hAnsi="Times" w:cs="Times New Roman"/>
        </w:rPr>
        <w:t xml:space="preserve">Devido a estudos anteriores como Maia e Formigoni (2012), Moura </w:t>
      </w:r>
      <w:r w:rsidRPr="00CE6CC0">
        <w:rPr>
          <w:rFonts w:ascii="Times" w:hAnsi="Times" w:cs="Times New Roman"/>
          <w:i/>
          <w:iCs/>
        </w:rPr>
        <w:t xml:space="preserve">et al. </w:t>
      </w:r>
      <w:r w:rsidRPr="00CE6CC0">
        <w:rPr>
          <w:rFonts w:ascii="Times" w:hAnsi="Times" w:cs="Times New Roman"/>
        </w:rPr>
        <w:t xml:space="preserve">(2012) e Grecco e Santos (2014), concluíram que algumas características empresarias como porte da empresa, setor de atuação, governança corporativa, alavancagem, porte da empresa de auditoria externa entre outros, influenciam o NEO, é apresentado a seguir informações complementares em relação às conclusões anteriormente apresentadas, assim, obtivemos o NEO por porte da empresa e auditoria externa. </w:t>
      </w:r>
    </w:p>
    <w:p w14:paraId="25742D36" w14:textId="77777777" w:rsidR="004E4A9B" w:rsidRPr="00CE6CC0" w:rsidRDefault="004E4A9B" w:rsidP="008B60A3">
      <w:pPr>
        <w:spacing w:line="240" w:lineRule="auto"/>
        <w:rPr>
          <w:rFonts w:ascii="Times" w:hAnsi="Times" w:cs="Times New Roman"/>
          <w:szCs w:val="24"/>
        </w:rPr>
      </w:pPr>
    </w:p>
    <w:p w14:paraId="47A5E17B" w14:textId="50E3E0AB" w:rsidR="00B918CC" w:rsidRPr="00CE6CC0" w:rsidRDefault="54F5D8AB" w:rsidP="008B60A3">
      <w:pPr>
        <w:pStyle w:val="PargrafodaLista"/>
        <w:numPr>
          <w:ilvl w:val="2"/>
          <w:numId w:val="12"/>
        </w:numPr>
        <w:spacing w:line="240" w:lineRule="auto"/>
        <w:ind w:left="720" w:firstLine="0"/>
        <w:rPr>
          <w:rFonts w:ascii="Times" w:hAnsi="Times" w:cs="Times New Roman"/>
          <w:b/>
          <w:bCs/>
        </w:rPr>
      </w:pPr>
      <w:r w:rsidRPr="00CE6CC0">
        <w:rPr>
          <w:rFonts w:ascii="Times" w:hAnsi="Times" w:cs="Times New Roman"/>
          <w:b/>
          <w:bCs/>
        </w:rPr>
        <w:t>NEO POR PORTE DA EMPRESA</w:t>
      </w:r>
    </w:p>
    <w:p w14:paraId="4206C2A3" w14:textId="77777777" w:rsidR="00B918CC" w:rsidRPr="00CE6CC0" w:rsidRDefault="00B918CC" w:rsidP="008B60A3">
      <w:pPr>
        <w:pStyle w:val="PargrafodaLista"/>
        <w:spacing w:line="240" w:lineRule="auto"/>
        <w:ind w:left="1080"/>
        <w:rPr>
          <w:rFonts w:ascii="Times" w:hAnsi="Times" w:cs="Times New Roman"/>
          <w:b/>
          <w:szCs w:val="24"/>
        </w:rPr>
      </w:pPr>
    </w:p>
    <w:p w14:paraId="1FF217C8" w14:textId="77777777" w:rsidR="006D39F7" w:rsidRPr="00CE6CC0" w:rsidRDefault="54F5D8AB" w:rsidP="008B60A3">
      <w:pPr>
        <w:pStyle w:val="PargrafodaLista"/>
        <w:numPr>
          <w:ilvl w:val="3"/>
          <w:numId w:val="12"/>
        </w:numPr>
        <w:spacing w:line="240" w:lineRule="auto"/>
        <w:ind w:firstLine="0"/>
        <w:rPr>
          <w:rFonts w:ascii="Times" w:hAnsi="Times" w:cs="Times New Roman"/>
          <w:b/>
          <w:bCs/>
        </w:rPr>
      </w:pPr>
      <w:r w:rsidRPr="00CE6CC0">
        <w:rPr>
          <w:rFonts w:ascii="Times" w:hAnsi="Times" w:cs="Times New Roman"/>
          <w:b/>
          <w:bCs/>
        </w:rPr>
        <w:t>BRASIL</w:t>
      </w:r>
    </w:p>
    <w:p w14:paraId="48549315" w14:textId="77777777" w:rsidR="006D39F7" w:rsidRPr="00CE6CC0" w:rsidRDefault="006D39F7" w:rsidP="008B60A3">
      <w:pPr>
        <w:pStyle w:val="PargrafodaLista"/>
        <w:spacing w:line="240" w:lineRule="auto"/>
        <w:ind w:left="1260"/>
        <w:rPr>
          <w:rFonts w:ascii="Times" w:hAnsi="Times" w:cs="Times New Roman"/>
          <w:sz w:val="14"/>
          <w:szCs w:val="24"/>
        </w:rPr>
      </w:pPr>
    </w:p>
    <w:p w14:paraId="3C6B7459" w14:textId="25870842" w:rsidR="00B918CC" w:rsidRPr="00CE6CC0" w:rsidRDefault="54F5D8AB" w:rsidP="008B60A3">
      <w:pPr>
        <w:spacing w:line="240" w:lineRule="auto"/>
        <w:rPr>
          <w:rFonts w:ascii="Times" w:hAnsi="Times" w:cs="Times New Roman"/>
        </w:rPr>
      </w:pPr>
      <w:r w:rsidRPr="00CE6CC0">
        <w:rPr>
          <w:rFonts w:ascii="Times" w:hAnsi="Times" w:cs="Times New Roman"/>
        </w:rPr>
        <w:t>Para o Brasil, o porte da empresa foi elaborado a partir da classificação estabelecida pelo BNDES, grande, média e pequeno porte, de acordo com a ROB (Receita Operacional Bruta) da empresa conforme evidenciado na Tabela 3:</w:t>
      </w:r>
    </w:p>
    <w:p w14:paraId="37A515A4" w14:textId="61F08B9E" w:rsidR="00B918CC" w:rsidRPr="00CE6CC0" w:rsidRDefault="00E52107" w:rsidP="008B60A3">
      <w:pPr>
        <w:spacing w:line="240" w:lineRule="auto"/>
        <w:contextualSpacing/>
        <w:jc w:val="center"/>
        <w:rPr>
          <w:rFonts w:ascii="Times" w:hAnsi="Times" w:cs="Arial"/>
          <w:b/>
          <w:bCs/>
          <w:sz w:val="18"/>
          <w:szCs w:val="18"/>
        </w:rPr>
      </w:pPr>
      <w:r w:rsidRPr="00CE6CC0">
        <w:rPr>
          <w:rFonts w:ascii="Times" w:hAnsi="Times" w:cs="Times New Roman"/>
          <w:noProof/>
          <w:szCs w:val="24"/>
          <w:lang w:eastAsia="pt-BR"/>
        </w:rPr>
        <w:drawing>
          <wp:anchor distT="0" distB="0" distL="114300" distR="114300" simplePos="0" relativeHeight="251657216" behindDoc="0" locked="0" layoutInCell="1" allowOverlap="1" wp14:anchorId="440CE61B" wp14:editId="4DF61751">
            <wp:simplePos x="0" y="0"/>
            <wp:positionH relativeFrom="margin">
              <wp:posOffset>348615</wp:posOffset>
            </wp:positionH>
            <wp:positionV relativeFrom="paragraph">
              <wp:posOffset>481965</wp:posOffset>
            </wp:positionV>
            <wp:extent cx="5067300" cy="123825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238250"/>
                    </a:xfrm>
                    <a:prstGeom prst="rect">
                      <a:avLst/>
                    </a:prstGeom>
                    <a:noFill/>
                    <a:ln>
                      <a:noFill/>
                    </a:ln>
                  </pic:spPr>
                </pic:pic>
              </a:graphicData>
            </a:graphic>
          </wp:anchor>
        </w:drawing>
      </w:r>
    </w:p>
    <w:p w14:paraId="533BF607" w14:textId="6C9ADAB9" w:rsidR="00B918CC" w:rsidRPr="00CE6CC0" w:rsidRDefault="54F5D8AB" w:rsidP="008B60A3">
      <w:pPr>
        <w:spacing w:line="240" w:lineRule="auto"/>
        <w:contextualSpacing/>
        <w:jc w:val="center"/>
        <w:rPr>
          <w:rFonts w:ascii="Times" w:hAnsi="Times" w:cs="Times New Roman"/>
          <w:sz w:val="22"/>
        </w:rPr>
      </w:pPr>
      <w:r w:rsidRPr="00CE6CC0">
        <w:rPr>
          <w:rFonts w:ascii="Times" w:hAnsi="Times" w:cs="Times New Roman"/>
          <w:b/>
          <w:bCs/>
        </w:rPr>
        <w:t>T</w:t>
      </w:r>
      <w:r w:rsidRPr="00CE6CC0">
        <w:rPr>
          <w:rFonts w:ascii="Times" w:hAnsi="Times" w:cs="Times New Roman"/>
          <w:b/>
          <w:bCs/>
          <w:sz w:val="22"/>
        </w:rPr>
        <w:t>abela 3 – Classificação do porte da empresa</w:t>
      </w:r>
    </w:p>
    <w:p w14:paraId="3E5A4A9A" w14:textId="17DBAFB6" w:rsidR="00B918CC" w:rsidRPr="00CE6CC0" w:rsidRDefault="00B918CC" w:rsidP="008B60A3">
      <w:pPr>
        <w:spacing w:line="240" w:lineRule="auto"/>
        <w:contextualSpacing/>
        <w:rPr>
          <w:rFonts w:ascii="Times" w:hAnsi="Times" w:cs="Times New Roman"/>
          <w:szCs w:val="24"/>
        </w:rPr>
      </w:pPr>
      <w:r w:rsidRPr="00CE6CC0">
        <w:rPr>
          <w:rFonts w:ascii="Times" w:hAnsi="Times" w:cs="Times New Roman"/>
          <w:szCs w:val="24"/>
        </w:rPr>
        <w:t xml:space="preserve"> </w:t>
      </w:r>
    </w:p>
    <w:p w14:paraId="77AD0857" w14:textId="278CDBE7" w:rsidR="006D39F7" w:rsidRPr="00CE6CC0" w:rsidRDefault="006D39F7" w:rsidP="008B60A3">
      <w:pPr>
        <w:spacing w:line="240" w:lineRule="auto"/>
        <w:contextualSpacing/>
        <w:rPr>
          <w:rFonts w:ascii="Times" w:hAnsi="Times" w:cs="Times New Roman"/>
          <w:b/>
          <w:sz w:val="20"/>
          <w:szCs w:val="20"/>
        </w:rPr>
      </w:pPr>
    </w:p>
    <w:p w14:paraId="7B284D11" w14:textId="79A89FBA" w:rsidR="006D39F7" w:rsidRPr="00CE6CC0" w:rsidRDefault="006D39F7" w:rsidP="008B60A3">
      <w:pPr>
        <w:spacing w:line="240" w:lineRule="auto"/>
        <w:contextualSpacing/>
        <w:rPr>
          <w:rFonts w:ascii="Times" w:hAnsi="Times" w:cs="Times New Roman"/>
          <w:b/>
          <w:sz w:val="20"/>
          <w:szCs w:val="20"/>
        </w:rPr>
      </w:pPr>
    </w:p>
    <w:p w14:paraId="5421920A" w14:textId="77777777" w:rsidR="006D39F7" w:rsidRPr="00CE6CC0" w:rsidRDefault="006D39F7" w:rsidP="008B60A3">
      <w:pPr>
        <w:spacing w:line="240" w:lineRule="auto"/>
        <w:contextualSpacing/>
        <w:rPr>
          <w:rFonts w:ascii="Times" w:hAnsi="Times" w:cs="Times New Roman"/>
          <w:b/>
          <w:sz w:val="20"/>
          <w:szCs w:val="20"/>
        </w:rPr>
      </w:pPr>
    </w:p>
    <w:p w14:paraId="26EC760E" w14:textId="77777777" w:rsidR="006D39F7" w:rsidRPr="00CE6CC0" w:rsidRDefault="006D39F7" w:rsidP="008B60A3">
      <w:pPr>
        <w:spacing w:line="240" w:lineRule="auto"/>
        <w:contextualSpacing/>
        <w:rPr>
          <w:rFonts w:ascii="Times" w:hAnsi="Times" w:cs="Times New Roman"/>
          <w:b/>
          <w:sz w:val="20"/>
          <w:szCs w:val="20"/>
        </w:rPr>
      </w:pPr>
    </w:p>
    <w:p w14:paraId="28ECCA8B" w14:textId="5DC03CFC" w:rsidR="00B918CC" w:rsidRPr="00CE6CC0" w:rsidRDefault="54F5D8AB" w:rsidP="008B60A3">
      <w:pPr>
        <w:spacing w:line="240" w:lineRule="auto"/>
        <w:contextualSpacing/>
        <w:rPr>
          <w:rFonts w:ascii="Times" w:hAnsi="Times" w:cs="Times New Roman"/>
          <w:b/>
          <w:bCs/>
          <w:sz w:val="20"/>
          <w:szCs w:val="20"/>
        </w:rPr>
      </w:pPr>
      <w:r w:rsidRPr="00CE6CC0">
        <w:rPr>
          <w:rFonts w:ascii="Times" w:hAnsi="Times" w:cs="Times New Roman"/>
          <w:b/>
          <w:bCs/>
          <w:sz w:val="20"/>
          <w:szCs w:val="20"/>
        </w:rPr>
        <w:t xml:space="preserve">            Fonte: Dados obtidos através do site BNDES</w:t>
      </w:r>
    </w:p>
    <w:p w14:paraId="0E40D32A" w14:textId="77777777" w:rsidR="006D39F7" w:rsidRPr="00CE6CC0" w:rsidRDefault="006D39F7" w:rsidP="008B60A3">
      <w:pPr>
        <w:spacing w:line="240" w:lineRule="auto"/>
        <w:rPr>
          <w:rFonts w:ascii="Times" w:hAnsi="Times" w:cs="Times New Roman"/>
          <w:sz w:val="20"/>
          <w:szCs w:val="24"/>
        </w:rPr>
      </w:pPr>
    </w:p>
    <w:p w14:paraId="4A84B5CA" w14:textId="187B987F" w:rsidR="006D39F7" w:rsidRPr="00CE6CC0" w:rsidRDefault="54F5D8AB" w:rsidP="008B60A3">
      <w:pPr>
        <w:spacing w:line="240" w:lineRule="auto"/>
        <w:rPr>
          <w:rFonts w:ascii="Times" w:hAnsi="Times" w:cs="Times New Roman"/>
        </w:rPr>
      </w:pPr>
      <w:r w:rsidRPr="00CE6CC0">
        <w:rPr>
          <w:rFonts w:ascii="Times" w:hAnsi="Times" w:cs="Times New Roman"/>
        </w:rPr>
        <w:t>Na Tabela 4, temos o NEO classificado por porte da entidade, a coluna 2 (Número de empresas) representa a quantidade de empresa em cada faixa, as colunas 3 (Total de itens aplicados) e 4 (Total de itens cumpridos) seguem a mesma lógica de raciocínio da Tabela 1, dando na coluna 5 o Índice de evidenciação para cada faixa.</w:t>
      </w:r>
    </w:p>
    <w:p w14:paraId="603ED641" w14:textId="77777777" w:rsidR="006D39F7" w:rsidRPr="00CE6CC0" w:rsidRDefault="006D39F7" w:rsidP="008B60A3">
      <w:pPr>
        <w:spacing w:line="240" w:lineRule="auto"/>
        <w:contextualSpacing/>
        <w:rPr>
          <w:rFonts w:ascii="Times" w:hAnsi="Times" w:cs="Arial"/>
          <w:sz w:val="20"/>
        </w:rPr>
      </w:pPr>
    </w:p>
    <w:p w14:paraId="65AE6D94" w14:textId="59F0B0FF" w:rsidR="006D39F7" w:rsidRPr="00CE6CC0" w:rsidRDefault="54F5D8AB" w:rsidP="008B60A3">
      <w:pPr>
        <w:spacing w:line="240" w:lineRule="auto"/>
        <w:contextualSpacing/>
        <w:jc w:val="center"/>
        <w:rPr>
          <w:rFonts w:ascii="Times" w:hAnsi="Times" w:cs="Times New Roman"/>
          <w:b/>
          <w:bCs/>
        </w:rPr>
      </w:pPr>
      <w:r w:rsidRPr="00CE6CC0">
        <w:rPr>
          <w:rFonts w:ascii="Times" w:hAnsi="Times" w:cs="Times New Roman"/>
          <w:b/>
          <w:bCs/>
        </w:rPr>
        <w:t>Tabela 4 – Nível brasileiro de evidenciação por porte da empresa</w:t>
      </w:r>
    </w:p>
    <w:p w14:paraId="6FAEAB2B" w14:textId="77777777" w:rsidR="006D39F7" w:rsidRPr="00CE6CC0" w:rsidRDefault="006D39F7" w:rsidP="008B60A3">
      <w:pPr>
        <w:spacing w:line="240" w:lineRule="auto"/>
        <w:contextualSpacing/>
        <w:jc w:val="center"/>
        <w:rPr>
          <w:rFonts w:ascii="Times" w:hAnsi="Times" w:cs="Arial"/>
          <w:b/>
          <w:bCs/>
          <w:sz w:val="18"/>
          <w:szCs w:val="18"/>
        </w:rPr>
      </w:pPr>
      <w:r w:rsidRPr="00CE6CC0">
        <w:rPr>
          <w:rFonts w:ascii="Times" w:hAnsi="Times"/>
          <w:noProof/>
          <w:lang w:eastAsia="pt-BR"/>
        </w:rPr>
        <w:drawing>
          <wp:inline distT="0" distB="0" distL="0" distR="0" wp14:anchorId="09F0683C" wp14:editId="709F289B">
            <wp:extent cx="5759091" cy="115252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673" cy="1153442"/>
                    </a:xfrm>
                    <a:prstGeom prst="rect">
                      <a:avLst/>
                    </a:prstGeom>
                    <a:noFill/>
                    <a:ln>
                      <a:noFill/>
                    </a:ln>
                  </pic:spPr>
                </pic:pic>
              </a:graphicData>
            </a:graphic>
          </wp:inline>
        </w:drawing>
      </w:r>
    </w:p>
    <w:p w14:paraId="1AE979C0" w14:textId="6BF6E57D" w:rsidR="006D39F7" w:rsidRPr="00CE6CC0" w:rsidRDefault="54F5D8AB" w:rsidP="008B60A3">
      <w:pPr>
        <w:spacing w:line="240" w:lineRule="auto"/>
        <w:contextualSpacing/>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4BB72CC9" w14:textId="77777777" w:rsidR="004E4A9B" w:rsidRPr="00CE6CC0" w:rsidRDefault="004E4A9B" w:rsidP="008B60A3">
      <w:pPr>
        <w:spacing w:line="240" w:lineRule="auto"/>
        <w:rPr>
          <w:rFonts w:ascii="Times" w:hAnsi="Times" w:cs="Times New Roman"/>
          <w:szCs w:val="24"/>
        </w:rPr>
      </w:pPr>
    </w:p>
    <w:p w14:paraId="4D3DF5C2" w14:textId="0A40CB07" w:rsidR="004E4A9B" w:rsidRPr="00CE6CC0" w:rsidRDefault="54F5D8AB" w:rsidP="008B60A3">
      <w:pPr>
        <w:spacing w:line="240" w:lineRule="auto"/>
        <w:rPr>
          <w:rFonts w:ascii="Times" w:hAnsi="Times" w:cs="Times New Roman"/>
        </w:rPr>
      </w:pPr>
      <w:r w:rsidRPr="00CE6CC0">
        <w:rPr>
          <w:rFonts w:ascii="Times" w:hAnsi="Times" w:cs="Times New Roman"/>
        </w:rPr>
        <w:t xml:space="preserve">As empresas de pequeno porte obtiveram o melhor nível de evidenciação, sendo 75%, seguido das empresas de grande porte que são a maioria dessa análise, totalizando 89% do total de 75 empresas da </w:t>
      </w:r>
      <w:r w:rsidR="008B017B">
        <w:rPr>
          <w:rFonts w:ascii="Times" w:hAnsi="Times" w:cs="Times New Roman"/>
        </w:rPr>
        <w:t>B3</w:t>
      </w:r>
      <w:r w:rsidRPr="00CE6CC0">
        <w:rPr>
          <w:rFonts w:ascii="Times" w:hAnsi="Times" w:cs="Times New Roman"/>
        </w:rPr>
        <w:t>, tendo 74% de NEO. O menor NEO foi obtido pelas empresas de médio porte, sendo 64%.</w:t>
      </w:r>
    </w:p>
    <w:p w14:paraId="5D09EC0A" w14:textId="6F792224" w:rsidR="004E4A9B" w:rsidRPr="00CE6CC0" w:rsidRDefault="54F5D8AB" w:rsidP="008B60A3">
      <w:pPr>
        <w:spacing w:line="240" w:lineRule="auto"/>
        <w:rPr>
          <w:rFonts w:ascii="Times" w:hAnsi="Times" w:cs="Times New Roman"/>
        </w:rPr>
      </w:pPr>
      <w:r w:rsidRPr="00CE6CC0">
        <w:rPr>
          <w:rFonts w:ascii="Times" w:hAnsi="Times" w:cs="Times New Roman"/>
        </w:rPr>
        <w:t>Para averiguar a distribuição do porte das empresas pelos setores analisados, segue a Tabela 5 a seguir:</w:t>
      </w:r>
    </w:p>
    <w:p w14:paraId="6AA2EA33" w14:textId="77777777" w:rsidR="00FD1EF8" w:rsidRPr="00CE6CC0" w:rsidRDefault="00FD1EF8" w:rsidP="008B60A3">
      <w:pPr>
        <w:spacing w:line="240" w:lineRule="auto"/>
        <w:rPr>
          <w:rFonts w:ascii="Times" w:hAnsi="Times" w:cs="Times New Roman"/>
          <w:szCs w:val="24"/>
        </w:rPr>
      </w:pPr>
    </w:p>
    <w:p w14:paraId="29A6E1E0" w14:textId="4C1DB7BA" w:rsidR="00FD1EF8" w:rsidRPr="00CE6CC0" w:rsidRDefault="54F5D8AB" w:rsidP="008B60A3">
      <w:pPr>
        <w:spacing w:line="240" w:lineRule="auto"/>
        <w:rPr>
          <w:rFonts w:ascii="Times" w:hAnsi="Times" w:cs="Times New Roman"/>
        </w:rPr>
      </w:pPr>
      <w:r w:rsidRPr="00CE6CC0">
        <w:rPr>
          <w:rFonts w:ascii="Times" w:hAnsi="Times" w:cs="Times New Roman"/>
          <w:b/>
          <w:bCs/>
        </w:rPr>
        <w:t>Tabela 5 – nível brasileiro de evidenciação por porte e setor da empresa</w:t>
      </w:r>
    </w:p>
    <w:p w14:paraId="49DC068E" w14:textId="157C6FED" w:rsidR="00A82536" w:rsidRPr="004035A0" w:rsidRDefault="004D0B53" w:rsidP="008B60A3">
      <w:pPr>
        <w:spacing w:line="240" w:lineRule="auto"/>
        <w:rPr>
          <w:rFonts w:ascii="Times" w:hAnsi="Times" w:cs="Times New Roman"/>
          <w:b/>
          <w:bCs/>
          <w:sz w:val="20"/>
          <w:szCs w:val="20"/>
        </w:rPr>
      </w:pPr>
      <w:r w:rsidRPr="00CE6CC0">
        <w:rPr>
          <w:rFonts w:ascii="Times" w:hAnsi="Times" w:cs="Times New Roman"/>
          <w:noProof/>
          <w:szCs w:val="24"/>
          <w:lang w:eastAsia="pt-BR"/>
        </w:rPr>
        <w:lastRenderedPageBreak/>
        <w:drawing>
          <wp:anchor distT="0" distB="0" distL="114300" distR="114300" simplePos="0" relativeHeight="251658241" behindDoc="0" locked="0" layoutInCell="1" allowOverlap="1" wp14:anchorId="5890B64E" wp14:editId="42AEB8E2">
            <wp:simplePos x="0" y="0"/>
            <wp:positionH relativeFrom="margin">
              <wp:align>center</wp:align>
            </wp:positionH>
            <wp:positionV relativeFrom="paragraph">
              <wp:posOffset>140335</wp:posOffset>
            </wp:positionV>
            <wp:extent cx="5184000" cy="5798682"/>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4000" cy="5798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D36" w:rsidRPr="00CE6CC0">
        <w:rPr>
          <w:rFonts w:ascii="Times" w:hAnsi="Times" w:cs="Arial"/>
          <w:sz w:val="18"/>
          <w:szCs w:val="18"/>
        </w:rPr>
        <w:t xml:space="preserve">   </w:t>
      </w:r>
      <w:r w:rsidR="00A65041" w:rsidRPr="00CE6CC0">
        <w:rPr>
          <w:rFonts w:ascii="Times" w:hAnsi="Times" w:cs="Times New Roman"/>
          <w:b/>
          <w:bCs/>
          <w:sz w:val="20"/>
          <w:szCs w:val="20"/>
        </w:rPr>
        <w:t>Fonte: E</w:t>
      </w:r>
      <w:r w:rsidRPr="00CE6CC0">
        <w:rPr>
          <w:rFonts w:ascii="Times" w:hAnsi="Times" w:cs="Times New Roman"/>
          <w:b/>
          <w:bCs/>
          <w:sz w:val="20"/>
          <w:szCs w:val="20"/>
        </w:rPr>
        <w:t>laborado pelos autores com base nos dados da pesquisa</w:t>
      </w:r>
    </w:p>
    <w:p w14:paraId="77AF11E0" w14:textId="2DE110ED" w:rsidR="004D0B53" w:rsidRPr="00CE6CC0" w:rsidRDefault="54F5D8AB" w:rsidP="008B60A3">
      <w:pPr>
        <w:spacing w:line="240" w:lineRule="auto"/>
        <w:rPr>
          <w:rFonts w:ascii="Times" w:hAnsi="Times" w:cs="Times New Roman"/>
        </w:rPr>
      </w:pPr>
      <w:r w:rsidRPr="00CE6CC0">
        <w:rPr>
          <w:rFonts w:ascii="Times" w:hAnsi="Times" w:cs="Times New Roman"/>
        </w:rPr>
        <w:t>Nota-se que na maioria dos setores, as empresas de grande porte obtiveram maior NEO. Em conformidade com estudos anteriormente realizados, nota-se que o porte da empresa influencia o Nível de evidenciação, porém há suas exceções, como no setor de Utilidade Pública, onde a empresa de médio porte obteve maior NEO que empresas de grande porte, 91% e 70% respectivamente.</w:t>
      </w:r>
    </w:p>
    <w:p w14:paraId="18F44E01" w14:textId="77777777" w:rsidR="00A82536" w:rsidRPr="00CE6CC0" w:rsidRDefault="00A82536" w:rsidP="008B60A3">
      <w:pPr>
        <w:spacing w:line="240" w:lineRule="auto"/>
        <w:rPr>
          <w:rFonts w:ascii="Times" w:hAnsi="Times" w:cs="Times New Roman"/>
          <w:sz w:val="16"/>
          <w:szCs w:val="24"/>
        </w:rPr>
      </w:pPr>
    </w:p>
    <w:p w14:paraId="20E04935" w14:textId="627CB462" w:rsidR="008178BE" w:rsidRPr="00CE6CC0" w:rsidRDefault="54F5D8AB" w:rsidP="008B60A3">
      <w:pPr>
        <w:pStyle w:val="PargrafodaLista"/>
        <w:numPr>
          <w:ilvl w:val="3"/>
          <w:numId w:val="12"/>
        </w:numPr>
        <w:spacing w:line="240" w:lineRule="auto"/>
        <w:ind w:firstLine="0"/>
        <w:rPr>
          <w:rFonts w:ascii="Times" w:hAnsi="Times" w:cs="Times New Roman"/>
          <w:b/>
          <w:bCs/>
        </w:rPr>
      </w:pPr>
      <w:r w:rsidRPr="00CE6CC0">
        <w:rPr>
          <w:rFonts w:ascii="Times" w:hAnsi="Times" w:cs="Times New Roman"/>
          <w:b/>
          <w:bCs/>
        </w:rPr>
        <w:t xml:space="preserve"> PORTUGAL</w:t>
      </w:r>
    </w:p>
    <w:p w14:paraId="6F613CB9" w14:textId="77777777" w:rsidR="00A82536" w:rsidRPr="00CE6CC0" w:rsidRDefault="00A82536" w:rsidP="008B60A3">
      <w:pPr>
        <w:pStyle w:val="PargrafodaLista"/>
        <w:spacing w:line="240" w:lineRule="auto"/>
        <w:ind w:left="1260"/>
        <w:rPr>
          <w:rFonts w:ascii="Times" w:hAnsi="Times" w:cs="Times New Roman"/>
          <w:b/>
          <w:sz w:val="18"/>
          <w:szCs w:val="24"/>
        </w:rPr>
      </w:pPr>
    </w:p>
    <w:p w14:paraId="6862EF24" w14:textId="2259C640" w:rsidR="00FD1EF8" w:rsidRPr="00CE6CC0" w:rsidRDefault="54F5D8AB" w:rsidP="008B60A3">
      <w:pPr>
        <w:spacing w:line="240" w:lineRule="auto"/>
        <w:contextualSpacing/>
        <w:rPr>
          <w:rFonts w:ascii="Times" w:hAnsi="Times" w:cs="Times New Roman"/>
        </w:rPr>
      </w:pPr>
      <w:r w:rsidRPr="00CE6CC0">
        <w:rPr>
          <w:rFonts w:ascii="Times" w:hAnsi="Times" w:cs="Times New Roman"/>
        </w:rPr>
        <w:t>Para as amostras de Portugal, o porte das empresas foi elaborado a partir da classificação estabelecida no Portal das Finanças – Autoridade Tributaria e Aduaneira (AT), Grande, média e pequeno porte, a empresa deve atender a no mínimo dois dos três critérios: número de funcionários efetivos, valor total do balanço e volume de negócio, conforme exemplificado na Tabela 6:</w:t>
      </w:r>
    </w:p>
    <w:p w14:paraId="69173786" w14:textId="77777777" w:rsidR="006D75BB" w:rsidRPr="00CE6CC0" w:rsidRDefault="006D75BB" w:rsidP="008B60A3">
      <w:pPr>
        <w:spacing w:line="240" w:lineRule="auto"/>
        <w:contextualSpacing/>
        <w:rPr>
          <w:rFonts w:ascii="Times" w:hAnsi="Times" w:cs="Times New Roman"/>
          <w:szCs w:val="24"/>
        </w:rPr>
      </w:pPr>
    </w:p>
    <w:p w14:paraId="7AA32DD2" w14:textId="55DCBF8D" w:rsidR="00FD1EF8" w:rsidRPr="00CE6CC0" w:rsidRDefault="54F5D8AB" w:rsidP="008B60A3">
      <w:pPr>
        <w:spacing w:line="240" w:lineRule="auto"/>
        <w:contextualSpacing/>
        <w:jc w:val="center"/>
        <w:rPr>
          <w:rFonts w:ascii="Times" w:hAnsi="Times" w:cs="Times New Roman"/>
          <w:b/>
          <w:bCs/>
        </w:rPr>
      </w:pPr>
      <w:r w:rsidRPr="00CE6CC0">
        <w:rPr>
          <w:rFonts w:ascii="Times" w:hAnsi="Times" w:cs="Times New Roman"/>
          <w:b/>
          <w:bCs/>
        </w:rPr>
        <w:t>Tabela 6– Classificação do porte da empresa</w:t>
      </w:r>
    </w:p>
    <w:p w14:paraId="6121C161" w14:textId="77777777" w:rsidR="00FD1EF8" w:rsidRPr="00CE6CC0" w:rsidRDefault="00FD1EF8" w:rsidP="008B60A3">
      <w:pPr>
        <w:spacing w:line="240" w:lineRule="auto"/>
        <w:contextualSpacing/>
        <w:jc w:val="center"/>
        <w:rPr>
          <w:rFonts w:ascii="Times" w:hAnsi="Times" w:cs="Arial"/>
          <w:sz w:val="22"/>
        </w:rPr>
      </w:pPr>
      <w:r w:rsidRPr="00CE6CC0">
        <w:rPr>
          <w:rFonts w:ascii="Times" w:hAnsi="Times"/>
          <w:noProof/>
          <w:lang w:eastAsia="pt-BR"/>
        </w:rPr>
        <w:lastRenderedPageBreak/>
        <w:drawing>
          <wp:inline distT="0" distB="0" distL="0" distR="0" wp14:anchorId="0CCA85C9" wp14:editId="15BD1C28">
            <wp:extent cx="5756275" cy="11430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988" cy="1144134"/>
                    </a:xfrm>
                    <a:prstGeom prst="rect">
                      <a:avLst/>
                    </a:prstGeom>
                    <a:noFill/>
                    <a:ln>
                      <a:noFill/>
                    </a:ln>
                  </pic:spPr>
                </pic:pic>
              </a:graphicData>
            </a:graphic>
          </wp:inline>
        </w:drawing>
      </w:r>
    </w:p>
    <w:p w14:paraId="67049C40" w14:textId="71F697C0" w:rsidR="00FD1EF8" w:rsidRPr="00CE6CC0" w:rsidRDefault="54F5D8AB" w:rsidP="008B60A3">
      <w:pPr>
        <w:spacing w:line="240" w:lineRule="auto"/>
        <w:contextualSpacing/>
        <w:rPr>
          <w:rFonts w:ascii="Times" w:hAnsi="Times" w:cs="Times New Roman"/>
          <w:b/>
          <w:bCs/>
          <w:sz w:val="20"/>
          <w:szCs w:val="20"/>
        </w:rPr>
      </w:pPr>
      <w:r w:rsidRPr="00CE6CC0">
        <w:rPr>
          <w:rFonts w:ascii="Times" w:hAnsi="Times" w:cs="Times New Roman"/>
          <w:b/>
          <w:bCs/>
          <w:sz w:val="20"/>
          <w:szCs w:val="20"/>
        </w:rPr>
        <w:t xml:space="preserve"> Fonte: Dados obtidos através do Portal das Finanças – Autoridade Tributaria e Aduaneira (AT)</w:t>
      </w:r>
    </w:p>
    <w:p w14:paraId="36EB2050" w14:textId="77777777" w:rsidR="00FD1EF8" w:rsidRPr="00CE6CC0" w:rsidRDefault="00FD1EF8" w:rsidP="008B60A3">
      <w:pPr>
        <w:spacing w:line="240" w:lineRule="auto"/>
        <w:rPr>
          <w:rFonts w:ascii="Times" w:hAnsi="Times" w:cs="Times New Roman"/>
          <w:sz w:val="18"/>
          <w:szCs w:val="24"/>
        </w:rPr>
      </w:pPr>
    </w:p>
    <w:p w14:paraId="75436777" w14:textId="3743A8F9" w:rsidR="00FD1EF8" w:rsidRPr="00CE6CC0" w:rsidRDefault="54F5D8AB" w:rsidP="008B60A3">
      <w:pPr>
        <w:spacing w:line="240" w:lineRule="auto"/>
        <w:rPr>
          <w:rFonts w:ascii="Times" w:hAnsi="Times" w:cs="Times New Roman"/>
        </w:rPr>
      </w:pPr>
      <w:r w:rsidRPr="00CE6CC0">
        <w:rPr>
          <w:rFonts w:ascii="Times" w:hAnsi="Times" w:cs="Times New Roman"/>
        </w:rPr>
        <w:t>Na Tabela 7, temos o NEO classificado por porte da entidade, a coluna 2 (Número de empresas) representa a quantidade de empresa em cada faixa, as colunas 3 (Total de itens aplicados) e 4 (Total de itens cumpridos) seguem a mesma lógica de raciocínio da Tabela 1, dando na coluna 5 o Índice de evidenciação para cada faixa.</w:t>
      </w:r>
    </w:p>
    <w:p w14:paraId="35E5283B" w14:textId="77777777" w:rsidR="00FD1EF8" w:rsidRPr="00CE6CC0" w:rsidRDefault="00FD1EF8" w:rsidP="008B60A3">
      <w:pPr>
        <w:spacing w:line="240" w:lineRule="auto"/>
        <w:contextualSpacing/>
        <w:rPr>
          <w:rFonts w:ascii="Times" w:hAnsi="Times" w:cs="Arial"/>
          <w:sz w:val="22"/>
        </w:rPr>
      </w:pPr>
    </w:p>
    <w:p w14:paraId="2494D1F7" w14:textId="77777777" w:rsidR="005B46FA" w:rsidRPr="00CE6CC0" w:rsidRDefault="54F5D8AB" w:rsidP="008B60A3">
      <w:pPr>
        <w:spacing w:line="240" w:lineRule="auto"/>
        <w:jc w:val="center"/>
        <w:rPr>
          <w:rFonts w:ascii="Times" w:hAnsi="Times" w:cs="Times New Roman"/>
          <w:b/>
          <w:bCs/>
        </w:rPr>
      </w:pPr>
      <w:r w:rsidRPr="00CE6CC0">
        <w:rPr>
          <w:rFonts w:ascii="Times" w:hAnsi="Times" w:cs="Times New Roman"/>
          <w:b/>
          <w:bCs/>
        </w:rPr>
        <w:t>Tabela 7 – Nível português de evidenciação por porte da empresa</w:t>
      </w:r>
    </w:p>
    <w:p w14:paraId="2DDAD623" w14:textId="53229B20" w:rsidR="00FD1EF8" w:rsidRPr="00CE6CC0" w:rsidRDefault="00FD1EF8" w:rsidP="008B60A3">
      <w:pPr>
        <w:spacing w:line="240" w:lineRule="auto"/>
        <w:jc w:val="left"/>
        <w:rPr>
          <w:rFonts w:ascii="Times" w:hAnsi="Times" w:cs="Arial"/>
          <w:b/>
          <w:bCs/>
          <w:sz w:val="18"/>
          <w:szCs w:val="18"/>
        </w:rPr>
      </w:pPr>
      <w:r w:rsidRPr="00CE6CC0">
        <w:rPr>
          <w:rFonts w:ascii="Times" w:hAnsi="Times"/>
          <w:noProof/>
          <w:lang w:eastAsia="pt-BR"/>
        </w:rPr>
        <w:drawing>
          <wp:inline distT="0" distB="0" distL="0" distR="0" wp14:anchorId="20E4FB9A" wp14:editId="0B9504A9">
            <wp:extent cx="5760085" cy="1012233"/>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1012233"/>
                    </a:xfrm>
                    <a:prstGeom prst="rect">
                      <a:avLst/>
                    </a:prstGeom>
                    <a:noFill/>
                    <a:ln>
                      <a:noFill/>
                    </a:ln>
                  </pic:spPr>
                </pic:pic>
              </a:graphicData>
            </a:graphic>
          </wp:inline>
        </w:drawing>
      </w:r>
      <w:r w:rsidR="00027B41" w:rsidRPr="00CE6CC0">
        <w:rPr>
          <w:rFonts w:ascii="Times" w:hAnsi="Times" w:cs="Times New Roman"/>
          <w:b/>
          <w:bCs/>
          <w:sz w:val="20"/>
          <w:szCs w:val="20"/>
        </w:rPr>
        <w:t xml:space="preserve">        </w:t>
      </w:r>
      <w:r w:rsidR="00A65041" w:rsidRPr="00CE6CC0">
        <w:rPr>
          <w:rFonts w:ascii="Times" w:hAnsi="Times" w:cs="Times New Roman"/>
          <w:b/>
          <w:bCs/>
          <w:sz w:val="20"/>
          <w:szCs w:val="20"/>
        </w:rPr>
        <w:t>Fonte: E</w:t>
      </w:r>
      <w:r w:rsidRPr="00CE6CC0">
        <w:rPr>
          <w:rFonts w:ascii="Times" w:hAnsi="Times" w:cs="Times New Roman"/>
          <w:b/>
          <w:bCs/>
          <w:sz w:val="20"/>
          <w:szCs w:val="20"/>
        </w:rPr>
        <w:t>laborado pelos autores com base nos dados da pesquisa</w:t>
      </w:r>
    </w:p>
    <w:p w14:paraId="3F55CBFD" w14:textId="77777777" w:rsidR="00FD1EF8" w:rsidRPr="00CE6CC0" w:rsidRDefault="00FD1EF8" w:rsidP="008B60A3">
      <w:pPr>
        <w:spacing w:line="240" w:lineRule="auto"/>
        <w:contextualSpacing/>
        <w:rPr>
          <w:rFonts w:ascii="Times" w:hAnsi="Times" w:cs="Arial"/>
          <w:sz w:val="18"/>
          <w:szCs w:val="18"/>
        </w:rPr>
      </w:pPr>
    </w:p>
    <w:p w14:paraId="597F897E" w14:textId="77777777" w:rsidR="00FD1EF8" w:rsidRPr="00CE6CC0" w:rsidRDefault="54F5D8AB" w:rsidP="008B60A3">
      <w:pPr>
        <w:spacing w:line="240" w:lineRule="auto"/>
        <w:rPr>
          <w:rFonts w:ascii="Times" w:hAnsi="Times" w:cs="Times New Roman"/>
        </w:rPr>
      </w:pPr>
      <w:r w:rsidRPr="00CE6CC0">
        <w:rPr>
          <w:rFonts w:ascii="Times" w:hAnsi="Times" w:cs="Times New Roman"/>
        </w:rPr>
        <w:t>Empresa de pequeno porte são a maioria dessa análise dando 62,5% do total de 32 empresas da EURONEXT – LISBOA, que está com 78% de NEO, o melhor índice de evidenciação e o com empresas de médio porte com 93% de NEO.</w:t>
      </w:r>
    </w:p>
    <w:p w14:paraId="039774D8" w14:textId="77777777" w:rsidR="00A82536" w:rsidRPr="00CE6CC0" w:rsidRDefault="00A82536" w:rsidP="008B60A3">
      <w:pPr>
        <w:spacing w:line="240" w:lineRule="auto"/>
        <w:rPr>
          <w:rFonts w:ascii="Times" w:hAnsi="Times" w:cs="Times New Roman"/>
          <w:szCs w:val="24"/>
        </w:rPr>
      </w:pPr>
    </w:p>
    <w:p w14:paraId="646A3472" w14:textId="0D261729" w:rsidR="00A82536" w:rsidRPr="00B642B3" w:rsidRDefault="54F5D8AB" w:rsidP="008B60A3">
      <w:pPr>
        <w:spacing w:line="240" w:lineRule="auto"/>
        <w:rPr>
          <w:rFonts w:ascii="Times" w:hAnsi="Times" w:cs="Times New Roman"/>
        </w:rPr>
      </w:pPr>
      <w:r w:rsidRPr="00CE6CC0">
        <w:rPr>
          <w:rFonts w:ascii="Times" w:hAnsi="Times" w:cs="Times New Roman"/>
        </w:rPr>
        <w:t>Na Tabela 8 é apresentada mais detalhadamente a relação das faixas de porte da entidade por setores da bolsa, assim identificamos facilmente qual setor contribuiu para esse nível de evidenciação</w:t>
      </w:r>
      <w:r w:rsidR="00B642B3">
        <w:rPr>
          <w:rFonts w:ascii="Times" w:hAnsi="Times" w:cs="Times New Roman"/>
        </w:rPr>
        <w:t xml:space="preserve"> obrigatório:</w:t>
      </w:r>
    </w:p>
    <w:p w14:paraId="442B428E" w14:textId="4265B9B5" w:rsidR="00A82536" w:rsidRPr="00CE6CC0" w:rsidRDefault="004E778A" w:rsidP="008B60A3">
      <w:pPr>
        <w:spacing w:line="240" w:lineRule="auto"/>
        <w:jc w:val="center"/>
        <w:rPr>
          <w:rFonts w:ascii="Times" w:hAnsi="Times" w:cs="Times New Roman"/>
          <w:b/>
          <w:bCs/>
        </w:rPr>
      </w:pPr>
      <w:r w:rsidRPr="00CE6CC0">
        <w:rPr>
          <w:rFonts w:ascii="Times" w:hAnsi="Times" w:cs="Times New Roman"/>
          <w:noProof/>
          <w:szCs w:val="24"/>
          <w:lang w:eastAsia="pt-BR"/>
        </w:rPr>
        <w:lastRenderedPageBreak/>
        <w:drawing>
          <wp:anchor distT="0" distB="0" distL="114300" distR="114300" simplePos="0" relativeHeight="251654144" behindDoc="0" locked="0" layoutInCell="1" allowOverlap="1" wp14:anchorId="3B8CF119" wp14:editId="01453857">
            <wp:simplePos x="0" y="0"/>
            <wp:positionH relativeFrom="margin">
              <wp:posOffset>291465</wp:posOffset>
            </wp:positionH>
            <wp:positionV relativeFrom="paragraph">
              <wp:posOffset>350520</wp:posOffset>
            </wp:positionV>
            <wp:extent cx="5183505" cy="6166485"/>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3505" cy="6166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536" w:rsidRPr="00CE6CC0">
        <w:rPr>
          <w:rFonts w:ascii="Times" w:hAnsi="Times" w:cs="Times New Roman"/>
          <w:b/>
          <w:bCs/>
        </w:rPr>
        <w:t>Tabela 8 – nível português de evidenciação por porte e setor da empresa</w:t>
      </w:r>
    </w:p>
    <w:p w14:paraId="11DED31A" w14:textId="71A5EDB8" w:rsidR="00FD1EF8" w:rsidRPr="00CE6CC0" w:rsidRDefault="54F5D8AB" w:rsidP="008B60A3">
      <w:pPr>
        <w:spacing w:line="240" w:lineRule="auto"/>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662389E0" w14:textId="77777777" w:rsidR="00A82536" w:rsidRPr="00CE6CC0" w:rsidRDefault="00A82536" w:rsidP="008B60A3">
      <w:pPr>
        <w:spacing w:line="240" w:lineRule="auto"/>
        <w:rPr>
          <w:rFonts w:ascii="Times" w:hAnsi="Times" w:cs="Times New Roman"/>
          <w:sz w:val="16"/>
          <w:szCs w:val="24"/>
        </w:rPr>
      </w:pPr>
    </w:p>
    <w:p w14:paraId="04FC6FDB" w14:textId="095335B2" w:rsidR="00944667" w:rsidRDefault="54F5D8AB" w:rsidP="008B60A3">
      <w:pPr>
        <w:spacing w:line="240" w:lineRule="auto"/>
        <w:rPr>
          <w:rFonts w:ascii="Times" w:hAnsi="Times" w:cs="Times New Roman"/>
        </w:rPr>
      </w:pPr>
      <w:r w:rsidRPr="00CE6CC0">
        <w:rPr>
          <w:rFonts w:ascii="Times" w:hAnsi="Times" w:cs="Times New Roman"/>
        </w:rPr>
        <w:t>Em uma análise individual por setor, nota-se que em todos os setores, o NEO é influenciado pelo porte da empresa, ou seja, as empresas de grande porte obtiveram maior nível de evidenciação, seguido por empresas de médio porte, e por último, companhias de pequeno porte. Em conformidade com estudos anteriormente realizados, nota-se que o porte da empresa influencia o nível de evidenciação.</w:t>
      </w:r>
    </w:p>
    <w:p w14:paraId="583FB12C" w14:textId="77777777" w:rsidR="00B642B3" w:rsidRPr="00CE6CC0" w:rsidRDefault="00B642B3" w:rsidP="008B60A3">
      <w:pPr>
        <w:spacing w:line="240" w:lineRule="auto"/>
        <w:rPr>
          <w:rFonts w:ascii="Times" w:hAnsi="Times" w:cs="Times New Roman"/>
        </w:rPr>
      </w:pPr>
    </w:p>
    <w:p w14:paraId="2938FACE" w14:textId="57482C7C" w:rsidR="004D0B53" w:rsidRPr="00CE6CC0" w:rsidRDefault="54F5D8AB" w:rsidP="008B60A3">
      <w:pPr>
        <w:pStyle w:val="PargrafodaLista"/>
        <w:numPr>
          <w:ilvl w:val="2"/>
          <w:numId w:val="12"/>
        </w:numPr>
        <w:spacing w:line="240" w:lineRule="auto"/>
        <w:ind w:left="720" w:firstLine="0"/>
        <w:rPr>
          <w:rFonts w:ascii="Times" w:hAnsi="Times" w:cs="Times New Roman"/>
          <w:b/>
          <w:bCs/>
        </w:rPr>
      </w:pPr>
      <w:r w:rsidRPr="00CE6CC0">
        <w:rPr>
          <w:rFonts w:ascii="Times" w:hAnsi="Times" w:cs="Times New Roman"/>
          <w:b/>
          <w:bCs/>
        </w:rPr>
        <w:t>NEO POR EMPRESA DE AUDITORIA EXTERNA</w:t>
      </w:r>
    </w:p>
    <w:p w14:paraId="06DF6EF0" w14:textId="77777777" w:rsidR="008A4479" w:rsidRPr="00CE6CC0" w:rsidRDefault="008A4479" w:rsidP="008B60A3">
      <w:pPr>
        <w:pStyle w:val="PargrafodaLista"/>
        <w:spacing w:line="240" w:lineRule="auto"/>
        <w:rPr>
          <w:rFonts w:ascii="Times" w:hAnsi="Times" w:cs="Times New Roman"/>
          <w:b/>
          <w:szCs w:val="24"/>
        </w:rPr>
      </w:pPr>
    </w:p>
    <w:p w14:paraId="444017C2" w14:textId="40B4AD52" w:rsidR="00F527CA" w:rsidRPr="00CE6CC0" w:rsidRDefault="54F5D8AB" w:rsidP="008B60A3">
      <w:pPr>
        <w:spacing w:line="240" w:lineRule="auto"/>
        <w:contextualSpacing/>
        <w:rPr>
          <w:rFonts w:ascii="Times" w:hAnsi="Times" w:cs="Times New Roman"/>
        </w:rPr>
      </w:pPr>
      <w:r w:rsidRPr="00CE6CC0">
        <w:rPr>
          <w:rFonts w:ascii="Times" w:hAnsi="Times" w:cs="Times New Roman"/>
        </w:rPr>
        <w:t xml:space="preserve">A Tabela 9 apresenta o NEO por auditoria externa para a amostra brasileira, a coluna 3 (Número de empresas) com o total de empresas que cada auditoria é responsável pelo </w:t>
      </w:r>
      <w:r w:rsidRPr="00CE6CC0">
        <w:rPr>
          <w:rFonts w:ascii="Times" w:hAnsi="Times" w:cs="Times New Roman"/>
        </w:rPr>
        <w:lastRenderedPageBreak/>
        <w:t>exercício financeiro 2016, as colunas 3 (Total de itens aplicados) e 4 (Total de itens cumpridos) seguem a mesma lógica de raciocínio da Tabela 1, dando na coluna 5 o Índice de evidenciação para cada auditoria.</w:t>
      </w:r>
    </w:p>
    <w:p w14:paraId="444017C3" w14:textId="77777777" w:rsidR="00F527CA" w:rsidRPr="00CE6CC0" w:rsidRDefault="00F527CA" w:rsidP="008B60A3">
      <w:pPr>
        <w:spacing w:line="240" w:lineRule="auto"/>
        <w:rPr>
          <w:rFonts w:ascii="Times" w:hAnsi="Times" w:cs="Arial"/>
          <w:sz w:val="22"/>
        </w:rPr>
      </w:pPr>
    </w:p>
    <w:p w14:paraId="444017C4" w14:textId="444DBFE6" w:rsidR="00F527CA" w:rsidRPr="00CE6CC0" w:rsidRDefault="54F5D8AB" w:rsidP="008B60A3">
      <w:pPr>
        <w:spacing w:after="0" w:line="240" w:lineRule="auto"/>
        <w:jc w:val="center"/>
        <w:rPr>
          <w:rFonts w:ascii="Times" w:hAnsi="Times" w:cs="Times New Roman"/>
          <w:b/>
          <w:bCs/>
        </w:rPr>
      </w:pPr>
      <w:r w:rsidRPr="00CE6CC0">
        <w:rPr>
          <w:rFonts w:ascii="Times" w:hAnsi="Times" w:cs="Times New Roman"/>
          <w:b/>
          <w:bCs/>
        </w:rPr>
        <w:t>Tabela 9 – Nível brasileiro de evidenciação por Auditoria Externa</w:t>
      </w:r>
    </w:p>
    <w:p w14:paraId="444017C5" w14:textId="7348E527" w:rsidR="00F527CA" w:rsidRPr="00CE6CC0" w:rsidRDefault="002245E4" w:rsidP="008B60A3">
      <w:pPr>
        <w:spacing w:after="0" w:line="240" w:lineRule="auto"/>
        <w:jc w:val="center"/>
        <w:rPr>
          <w:rFonts w:ascii="Times" w:hAnsi="Times" w:cs="Arial"/>
          <w:b/>
          <w:sz w:val="18"/>
          <w:szCs w:val="18"/>
        </w:rPr>
      </w:pPr>
      <w:r w:rsidRPr="00CE6CC0">
        <w:rPr>
          <w:rFonts w:ascii="Times" w:hAnsi="Times"/>
          <w:noProof/>
          <w:lang w:eastAsia="pt-BR"/>
        </w:rPr>
        <w:drawing>
          <wp:inline distT="0" distB="0" distL="0" distR="0" wp14:anchorId="4AF18E7D" wp14:editId="711DE3AE">
            <wp:extent cx="5760085" cy="1196694"/>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1196694"/>
                    </a:xfrm>
                    <a:prstGeom prst="rect">
                      <a:avLst/>
                    </a:prstGeom>
                    <a:noFill/>
                    <a:ln>
                      <a:noFill/>
                    </a:ln>
                  </pic:spPr>
                </pic:pic>
              </a:graphicData>
            </a:graphic>
          </wp:inline>
        </w:drawing>
      </w:r>
    </w:p>
    <w:p w14:paraId="444017C6" w14:textId="1EA8C7AE" w:rsidR="00F527CA" w:rsidRPr="00CE6CC0" w:rsidRDefault="54F5D8AB" w:rsidP="008B60A3">
      <w:pPr>
        <w:spacing w:line="240" w:lineRule="auto"/>
        <w:contextualSpacing/>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444017C7" w14:textId="77777777" w:rsidR="00F527CA" w:rsidRPr="00CE6CC0" w:rsidRDefault="00F527CA" w:rsidP="008B60A3">
      <w:pPr>
        <w:spacing w:line="240" w:lineRule="auto"/>
        <w:contextualSpacing/>
        <w:rPr>
          <w:rFonts w:ascii="Times" w:hAnsi="Times" w:cs="Arial"/>
          <w:sz w:val="18"/>
          <w:szCs w:val="18"/>
        </w:rPr>
      </w:pPr>
    </w:p>
    <w:p w14:paraId="444017C8" w14:textId="0F8A7E25" w:rsidR="00F527CA" w:rsidRPr="00CE6CC0" w:rsidRDefault="54F5D8AB" w:rsidP="008B60A3">
      <w:pPr>
        <w:spacing w:line="240" w:lineRule="auto"/>
        <w:rPr>
          <w:rFonts w:ascii="Times" w:hAnsi="Times" w:cs="Times New Roman"/>
        </w:rPr>
      </w:pPr>
      <w:r w:rsidRPr="00CE6CC0">
        <w:rPr>
          <w:rFonts w:ascii="Times" w:hAnsi="Times" w:cs="Times New Roman"/>
        </w:rPr>
        <w:t>A KPMG é a empresa que detém o maior número de empresas analisadas, 30 no total, obtendo um NEO de 77%, a Deloitte tem o menor nível de evidenciação com 62% e 9 empresas e a PWC é a empresa com o melhor NEO 78%.</w:t>
      </w:r>
    </w:p>
    <w:p w14:paraId="444017DE" w14:textId="53A46FD1" w:rsidR="00F527CA" w:rsidRPr="00CE6CC0" w:rsidRDefault="54F5D8AB" w:rsidP="008B60A3">
      <w:pPr>
        <w:spacing w:line="240" w:lineRule="auto"/>
        <w:rPr>
          <w:rFonts w:ascii="Times" w:hAnsi="Times" w:cs="Times New Roman"/>
        </w:rPr>
      </w:pPr>
      <w:r w:rsidRPr="00CE6CC0">
        <w:rPr>
          <w:rFonts w:ascii="Times" w:hAnsi="Times" w:cs="Times New Roman"/>
        </w:rPr>
        <w:t>Analisando a Tabela 10, temos o NEO por auditoria externa para amostra portuguesa, a coluna 2 (Número de empresas) com o total de empresas de cada auditoria, as colunas 3 (Total de itens aplicados) e 4 (Total de itens cumpridos) seguem a mesma lógica de raciocínio da Tabela 1, dando na coluna 5 o Índice de evidenciação para cada auditoria.</w:t>
      </w:r>
    </w:p>
    <w:p w14:paraId="0CCECDB3" w14:textId="77777777" w:rsidR="00A25F11" w:rsidRPr="00CE6CC0" w:rsidRDefault="00A25F11" w:rsidP="008B60A3">
      <w:pPr>
        <w:spacing w:line="240" w:lineRule="auto"/>
        <w:rPr>
          <w:rFonts w:ascii="Times" w:hAnsi="Times" w:cs="Times New Roman"/>
          <w:sz w:val="18"/>
          <w:szCs w:val="24"/>
        </w:rPr>
      </w:pPr>
    </w:p>
    <w:p w14:paraId="444017DF" w14:textId="5EF7DD15" w:rsidR="00F527CA" w:rsidRPr="00CE6CC0" w:rsidRDefault="54F5D8AB" w:rsidP="008B60A3">
      <w:pPr>
        <w:spacing w:after="0" w:line="240" w:lineRule="auto"/>
        <w:jc w:val="center"/>
        <w:rPr>
          <w:rFonts w:ascii="Times" w:hAnsi="Times" w:cs="Times New Roman"/>
          <w:b/>
          <w:bCs/>
        </w:rPr>
      </w:pPr>
      <w:r w:rsidRPr="00CE6CC0">
        <w:rPr>
          <w:rFonts w:ascii="Times" w:hAnsi="Times" w:cs="Times New Roman"/>
          <w:b/>
          <w:bCs/>
        </w:rPr>
        <w:t>Tabela 10 – Nível português de evidenciação por Auditoria Externa</w:t>
      </w:r>
    </w:p>
    <w:p w14:paraId="7B8644E4" w14:textId="63F950E2" w:rsidR="00E806EA" w:rsidRPr="00CE6CC0" w:rsidRDefault="00E806EA" w:rsidP="008B60A3">
      <w:pPr>
        <w:spacing w:after="0" w:line="240" w:lineRule="auto"/>
        <w:jc w:val="center"/>
        <w:rPr>
          <w:rFonts w:ascii="Times" w:hAnsi="Times" w:cs="Arial"/>
          <w:b/>
          <w:bCs/>
          <w:sz w:val="18"/>
          <w:szCs w:val="18"/>
        </w:rPr>
      </w:pPr>
      <w:r w:rsidRPr="00CE6CC0">
        <w:rPr>
          <w:rFonts w:ascii="Times" w:hAnsi="Times"/>
          <w:noProof/>
          <w:lang w:eastAsia="pt-BR"/>
        </w:rPr>
        <w:drawing>
          <wp:inline distT="0" distB="0" distL="0" distR="0" wp14:anchorId="0FD3C419" wp14:editId="7315AED8">
            <wp:extent cx="5760085" cy="135627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1356275"/>
                    </a:xfrm>
                    <a:prstGeom prst="rect">
                      <a:avLst/>
                    </a:prstGeom>
                    <a:noFill/>
                    <a:ln>
                      <a:noFill/>
                    </a:ln>
                  </pic:spPr>
                </pic:pic>
              </a:graphicData>
            </a:graphic>
          </wp:inline>
        </w:drawing>
      </w:r>
    </w:p>
    <w:p w14:paraId="444017E0" w14:textId="2C3009F8" w:rsidR="00F527CA" w:rsidRPr="00CE6CC0" w:rsidRDefault="54F5D8AB" w:rsidP="008B60A3">
      <w:pPr>
        <w:spacing w:line="240" w:lineRule="auto"/>
        <w:rPr>
          <w:rFonts w:ascii="Times" w:hAnsi="Times" w:cs="Times New Roman"/>
          <w:b/>
          <w:bCs/>
          <w:sz w:val="20"/>
          <w:szCs w:val="20"/>
        </w:rPr>
      </w:pPr>
      <w:r w:rsidRPr="00CE6CC0">
        <w:rPr>
          <w:rFonts w:ascii="Times" w:hAnsi="Times" w:cs="Times New Roman"/>
          <w:b/>
          <w:bCs/>
          <w:sz w:val="20"/>
          <w:szCs w:val="20"/>
        </w:rPr>
        <w:t xml:space="preserve"> Fonte: Elaborado pelos autores com base nos dados da pesquisa</w:t>
      </w:r>
    </w:p>
    <w:p w14:paraId="74B5FAEE" w14:textId="77777777" w:rsidR="00A25F11" w:rsidRPr="00CE6CC0" w:rsidRDefault="00A25F11" w:rsidP="008B60A3">
      <w:pPr>
        <w:spacing w:line="240" w:lineRule="auto"/>
        <w:rPr>
          <w:rFonts w:ascii="Times" w:hAnsi="Times" w:cs="Arial"/>
          <w:sz w:val="8"/>
          <w:szCs w:val="18"/>
        </w:rPr>
      </w:pPr>
    </w:p>
    <w:p w14:paraId="444017E1" w14:textId="77777777" w:rsidR="00F527CA" w:rsidRPr="00CE6CC0" w:rsidRDefault="54F5D8AB" w:rsidP="008B60A3">
      <w:pPr>
        <w:spacing w:line="240" w:lineRule="auto"/>
        <w:rPr>
          <w:rFonts w:ascii="Times" w:hAnsi="Times" w:cs="Times New Roman"/>
        </w:rPr>
      </w:pPr>
      <w:r w:rsidRPr="00CE6CC0">
        <w:rPr>
          <w:rFonts w:ascii="Times" w:hAnsi="Times" w:cs="Times New Roman"/>
        </w:rPr>
        <w:t>A PWC e “Outros” são as auditorias que detém o maior número de empresas analisadas, com 10 cada uma, obtendo um NEO de 93% e 69%, respectivamente. Dentre as Big Four a EY tem o menor nível de evidenciação com 21% com uma empresa, a KPMG é a empresa com o melhor NEO 96% com 2 empresas.</w:t>
      </w:r>
    </w:p>
    <w:p w14:paraId="150C4BDB" w14:textId="3D380717" w:rsidR="00A929A9" w:rsidRPr="00CE6CC0" w:rsidRDefault="00A929A9" w:rsidP="008B60A3">
      <w:pPr>
        <w:spacing w:line="240" w:lineRule="auto"/>
        <w:rPr>
          <w:rFonts w:ascii="Times" w:hAnsi="Times" w:cs="Times New Roman"/>
          <w:szCs w:val="24"/>
        </w:rPr>
      </w:pPr>
    </w:p>
    <w:p w14:paraId="444017F3" w14:textId="77777777" w:rsidR="00FC73F7" w:rsidRPr="00CE6CC0" w:rsidRDefault="54F5D8AB" w:rsidP="008B60A3">
      <w:pPr>
        <w:pStyle w:val="PargrafodaLista"/>
        <w:numPr>
          <w:ilvl w:val="0"/>
          <w:numId w:val="8"/>
        </w:numPr>
        <w:spacing w:line="240" w:lineRule="auto"/>
        <w:ind w:left="357" w:firstLine="0"/>
        <w:contextualSpacing w:val="0"/>
        <w:rPr>
          <w:rFonts w:ascii="Times" w:hAnsi="Times" w:cs="Arial"/>
          <w:b/>
          <w:bCs/>
        </w:rPr>
      </w:pPr>
      <w:r w:rsidRPr="00CE6CC0">
        <w:rPr>
          <w:rFonts w:ascii="Times" w:hAnsi="Times" w:cs="Arial"/>
          <w:b/>
          <w:bCs/>
        </w:rPr>
        <w:t>CONSIDERAÇÕES FINAIS</w:t>
      </w:r>
    </w:p>
    <w:p w14:paraId="444017F4" w14:textId="45CAAFC7" w:rsidR="00FC73F7" w:rsidRPr="00CE6CC0" w:rsidRDefault="54F5D8AB" w:rsidP="008B60A3">
      <w:pPr>
        <w:spacing w:line="240" w:lineRule="auto"/>
        <w:rPr>
          <w:rFonts w:ascii="Times" w:hAnsi="Times" w:cs="Times New Roman"/>
        </w:rPr>
      </w:pPr>
      <w:r w:rsidRPr="00CE6CC0">
        <w:rPr>
          <w:rFonts w:ascii="Times" w:hAnsi="Times" w:cs="Times New Roman"/>
        </w:rPr>
        <w:t xml:space="preserve">Este estudo teve como objetivo principal verificar o atual NEO (Nível de evidenciação obrigatório), relativo ao ativo intangível conforme o IAS 38 dos setores da </w:t>
      </w:r>
      <w:r w:rsidR="008F44EC">
        <w:rPr>
          <w:rFonts w:ascii="Times" w:hAnsi="Times" w:cs="Times New Roman"/>
        </w:rPr>
        <w:t>B3</w:t>
      </w:r>
      <w:r w:rsidRPr="00CE6CC0">
        <w:rPr>
          <w:rFonts w:ascii="Times" w:hAnsi="Times" w:cs="Times New Roman"/>
        </w:rPr>
        <w:t xml:space="preserve"> e EURONEXT-LISBOA. Para atender ao objetivo principal, foram utilizadas abordagem metodológicas descritiva e documental, baseando-se em análises de conteúdo através das demonstrações financeiras e notas explicativas das empresas do exercício financeiro de 2016 publicadas em 2017.</w:t>
      </w:r>
    </w:p>
    <w:p w14:paraId="444017F5" w14:textId="4BCFBCA7" w:rsidR="00FC73F7" w:rsidRPr="00CE6CC0" w:rsidRDefault="54F5D8AB" w:rsidP="008B60A3">
      <w:pPr>
        <w:spacing w:line="240" w:lineRule="auto"/>
        <w:rPr>
          <w:rFonts w:ascii="Times" w:hAnsi="Times" w:cs="Times New Roman"/>
        </w:rPr>
      </w:pPr>
      <w:r w:rsidRPr="00CE6CC0">
        <w:rPr>
          <w:rFonts w:ascii="Times" w:hAnsi="Times" w:cs="Times New Roman"/>
        </w:rPr>
        <w:t xml:space="preserve">O NEO obtido deu-se através do </w:t>
      </w:r>
      <w:r w:rsidRPr="00CE6CC0">
        <w:rPr>
          <w:rFonts w:ascii="Times" w:hAnsi="Times" w:cs="Times New Roman"/>
          <w:i/>
          <w:iCs/>
        </w:rPr>
        <w:t>checklist</w:t>
      </w:r>
      <w:r w:rsidRPr="00CE6CC0">
        <w:rPr>
          <w:rFonts w:ascii="Times" w:hAnsi="Times" w:cs="Times New Roman"/>
        </w:rPr>
        <w:t xml:space="preserve">. (Quadro 3), dos itens obrigatórios de divulgação contidos na IAS 38, resultando em um total de itens cumpridos pela amostra composta por 75 empresas brasileiras e 32 portuguesas. É válido ressaltar, que todos os setores analisados </w:t>
      </w:r>
      <w:r w:rsidRPr="00CE6CC0">
        <w:rPr>
          <w:rFonts w:ascii="Times" w:hAnsi="Times" w:cs="Times New Roman"/>
        </w:rPr>
        <w:lastRenderedPageBreak/>
        <w:t>apresentaram um nível de evidenciação maior que 50%, o que significa o cumprimento de mais da metade do exigido pela norma, no entanto, nenhum atingiu um NEO de 100%, ou seja, não divulgaram todas as informações exigidas pela norma.</w:t>
      </w:r>
    </w:p>
    <w:p w14:paraId="444017F6" w14:textId="0EF07183" w:rsidR="00FC73F7" w:rsidRPr="00CE6CC0" w:rsidRDefault="54F5D8AB" w:rsidP="008B60A3">
      <w:pPr>
        <w:spacing w:line="240" w:lineRule="auto"/>
        <w:rPr>
          <w:rFonts w:ascii="Times" w:hAnsi="Times" w:cs="Times New Roman"/>
        </w:rPr>
      </w:pPr>
      <w:r w:rsidRPr="00CE6CC0">
        <w:rPr>
          <w:rFonts w:ascii="Times" w:hAnsi="Times" w:cs="Times New Roman"/>
        </w:rPr>
        <w:t>De encontro a uma primeira análise concluímos que o nível de evidenciação obrigatório apresentado por Portugal é maior que o Brasil, 83% e 73% respectivamente. Mas vale ressaltar que a adoção das IFRS em Portugal foi em 2005, enquanto no Brasil só passou a ser obrigatório em 2009, totalizando 4 anos de diferença.</w:t>
      </w:r>
    </w:p>
    <w:p w14:paraId="149DA1E6" w14:textId="1B46A195" w:rsidR="00331297" w:rsidRPr="00CE6CC0" w:rsidRDefault="54F5D8AB" w:rsidP="008B60A3">
      <w:pPr>
        <w:spacing w:line="240" w:lineRule="auto"/>
        <w:rPr>
          <w:rFonts w:ascii="Times" w:hAnsi="Times" w:cs="Times New Roman"/>
        </w:rPr>
      </w:pPr>
      <w:r w:rsidRPr="00CE6CC0">
        <w:rPr>
          <w:rFonts w:ascii="Times" w:hAnsi="Times" w:cs="Times New Roman"/>
        </w:rPr>
        <w:t xml:space="preserve">Em Portugal, o setor que obteve o maior NEO foi Utilidade Pública com 96%, enquanto o menor índice foi obtido no setor de Saúde com 55%. Em relação aos setores brasileiros, Petróleo e Gás apresentou o maior NEO de 90%, já o setor Consumo cíclico teve 61%, o menor índice da análise. </w:t>
      </w:r>
    </w:p>
    <w:p w14:paraId="5719AF1C" w14:textId="018746B9" w:rsidR="00FE284D" w:rsidRPr="00CE6CC0" w:rsidRDefault="54F5D8AB" w:rsidP="008B60A3">
      <w:pPr>
        <w:spacing w:line="240" w:lineRule="auto"/>
        <w:rPr>
          <w:rFonts w:ascii="Times" w:hAnsi="Times" w:cs="Times New Roman"/>
        </w:rPr>
      </w:pPr>
      <w:r w:rsidRPr="00CE6CC0">
        <w:rPr>
          <w:rFonts w:ascii="Times" w:hAnsi="Times" w:cs="Times New Roman"/>
        </w:rPr>
        <w:t>De acordo com as análises complementares, e, conforme estudos anteriores sobre a influência de características empresariais no NEO dos ativos intangíveis, concluímos que, para a amostra de Portugal, o porte da empresa influenciou o nível de evidenciação obtido, devido ao fato de que as empresas de grande porte apresentaram melhor nível de evidenciação que as companhias de médio porte, e estas apresentaram melhor evidenciação que empresas de pequeno porte. A mostra brasileira se comportou da mesma forma, porém houve exceções, como por exemplo no setor Utilidade Pública, onde a empresa de médio porte obteve maior NEO que empresas de grande porte. 91% e 70% respectivamente.</w:t>
      </w:r>
    </w:p>
    <w:p w14:paraId="53C61888" w14:textId="5D2E32B0" w:rsidR="008A4479" w:rsidRPr="00CE6CC0" w:rsidRDefault="54F5D8AB" w:rsidP="008B60A3">
      <w:pPr>
        <w:spacing w:line="240" w:lineRule="auto"/>
        <w:rPr>
          <w:rFonts w:ascii="Times" w:hAnsi="Times" w:cs="Times New Roman"/>
        </w:rPr>
      </w:pPr>
      <w:r w:rsidRPr="00CE6CC0">
        <w:rPr>
          <w:rFonts w:ascii="Times" w:hAnsi="Times" w:cs="Times New Roman"/>
        </w:rPr>
        <w:t>Ainda nas análises complementares, o setor brasileiro que apresentou maior proporção de ativo intangível pelo ativo total, foi Utilidade Pública com 48% de ativo intangível e um NEO de 72%, já o setor de Petróleo e Gás, que apresentou o maior NEO 90%, possui um ativo intangível de 3,6%. Na análise portuguesa temos o setor de Telecomunicações com 54% na proporção de ativo intangível sobre ativo total e um NEO de 92%, o setor com o maior nível de evidenciação, Utilidade Pública com 96%, conta com 16,7% de proporção do ativo intangível sobre o ativo total.</w:t>
      </w:r>
    </w:p>
    <w:p w14:paraId="59D6238F" w14:textId="0641A364" w:rsidR="0057284E" w:rsidRPr="00CE6CC0" w:rsidRDefault="54F5D8AB" w:rsidP="008B60A3">
      <w:pPr>
        <w:spacing w:line="240" w:lineRule="auto"/>
        <w:rPr>
          <w:rFonts w:ascii="Times" w:hAnsi="Times" w:cs="Times New Roman"/>
        </w:rPr>
      </w:pPr>
      <w:r w:rsidRPr="00CE6CC0">
        <w:rPr>
          <w:rFonts w:ascii="Times" w:hAnsi="Times" w:cs="Times New Roman"/>
        </w:rPr>
        <w:t>As limitações deste estudo referem-se à margem de erro que ocorrer na interpretação das demonstrações financeiras e notas explicativas para se auferir o nível de evidenciação obrigatória (NEO), ou seja, concluir se os critérios são atendidos pelas empresas analisadas, devido a um certo grau de subjetividade na interpretação do pesquisador e na análise da conformidade da divulgação pela empresa em acordo com a norma. Outra limitação está ligada à população das empresas inicialmente selecionadas que não puderam compor a amostra final, em decorrência dos motivos explicitados na metodologia, sendo assim as conclusões obtidas ficam restritas à amostra utilizada neste estudo, impossibilitando generalizações.</w:t>
      </w:r>
    </w:p>
    <w:p w14:paraId="769133C7" w14:textId="4212ACD3" w:rsidR="00431139" w:rsidRPr="00CE6CC0" w:rsidRDefault="54F5D8AB" w:rsidP="008B60A3">
      <w:pPr>
        <w:spacing w:line="240" w:lineRule="auto"/>
        <w:rPr>
          <w:rFonts w:ascii="Times" w:hAnsi="Times" w:cs="Times New Roman"/>
        </w:rPr>
      </w:pPr>
      <w:r w:rsidRPr="00CE6CC0">
        <w:rPr>
          <w:rFonts w:ascii="Times" w:hAnsi="Times" w:cs="Times New Roman"/>
        </w:rPr>
        <w:t xml:space="preserve">No âmbito acadêmico, acredita-se que este trabalho possa contribuir como fonte de pesquisa para outros trabalhos sobre o nível de evidenciação do ativo intangível. Além disso, novas pesquisas podem ser efetuadas para acompanhar a evolução da qualidade das informações produzidas pelas empresas e como está o grau de divulgação nas demonstrações financeiras. </w:t>
      </w:r>
    </w:p>
    <w:p w14:paraId="2FDC75F4" w14:textId="601B0386" w:rsidR="0056359E" w:rsidRPr="00CE6CC0" w:rsidRDefault="0056359E" w:rsidP="008B60A3">
      <w:pPr>
        <w:spacing w:line="240" w:lineRule="auto"/>
        <w:rPr>
          <w:rFonts w:ascii="Times" w:hAnsi="Times" w:cs="Times New Roman"/>
          <w:szCs w:val="24"/>
        </w:rPr>
      </w:pPr>
    </w:p>
    <w:p w14:paraId="076304EC" w14:textId="77777777" w:rsidR="00240BB4" w:rsidRPr="00CE6CC0" w:rsidRDefault="00240BB4" w:rsidP="008B60A3">
      <w:pPr>
        <w:spacing w:line="240" w:lineRule="auto"/>
        <w:rPr>
          <w:rFonts w:ascii="Times" w:hAnsi="Times" w:cs="Times New Roman"/>
          <w:szCs w:val="24"/>
        </w:rPr>
      </w:pPr>
    </w:p>
    <w:p w14:paraId="67CFEB54" w14:textId="061F95AE" w:rsidR="00240BB4" w:rsidRPr="00CE6CC0" w:rsidRDefault="54F5D8AB" w:rsidP="008B60A3">
      <w:pPr>
        <w:spacing w:after="160" w:line="240" w:lineRule="auto"/>
        <w:jc w:val="left"/>
        <w:rPr>
          <w:rFonts w:ascii="Times" w:hAnsi="Times" w:cs="Times New Roman"/>
          <w:b/>
          <w:bCs/>
        </w:rPr>
      </w:pPr>
      <w:r w:rsidRPr="00CE6CC0">
        <w:rPr>
          <w:rFonts w:ascii="Times" w:hAnsi="Times" w:cs="Times New Roman"/>
          <w:b/>
          <w:bCs/>
        </w:rPr>
        <w:t>REFERÊNCIAS BIBLIOGRÁFICAS</w:t>
      </w:r>
    </w:p>
    <w:p w14:paraId="4E818BB7" w14:textId="77777777" w:rsidR="00E7227D" w:rsidRPr="00CE6CC0" w:rsidRDefault="00E7227D" w:rsidP="00E7227D">
      <w:pPr>
        <w:autoSpaceDE w:val="0"/>
        <w:autoSpaceDN w:val="0"/>
        <w:adjustRightInd w:val="0"/>
        <w:spacing w:line="240" w:lineRule="auto"/>
        <w:rPr>
          <w:rFonts w:ascii="Times" w:hAnsi="Times" w:cs="Times New Roman"/>
          <w:lang w:val="en-US"/>
        </w:rPr>
      </w:pPr>
      <w:r>
        <w:rPr>
          <w:rFonts w:ascii="Times" w:hAnsi="Times" w:cs="Times New Roman"/>
        </w:rPr>
        <w:t>B3</w:t>
      </w:r>
      <w:r w:rsidRPr="00CE6CC0">
        <w:rPr>
          <w:rFonts w:ascii="Times" w:hAnsi="Times" w:cs="Times New Roman"/>
        </w:rPr>
        <w:t>. Bolsa de Valores de São Paulo.</w:t>
      </w:r>
      <w:r w:rsidRPr="00CE6CC0">
        <w:rPr>
          <w:rFonts w:ascii="Times" w:hAnsi="Times" w:cs="Times New Roman"/>
          <w:i/>
          <w:iCs/>
        </w:rPr>
        <w:t xml:space="preserve">Capital social das empresas. </w:t>
      </w:r>
      <w:r w:rsidRPr="00CE6CC0">
        <w:rPr>
          <w:rFonts w:ascii="Times" w:hAnsi="Times" w:cs="Times New Roman"/>
        </w:rPr>
        <w:t xml:space="preserve">Disponível em:&lt;http://www.bmfbovespa.com.br/cias-listadas/consultas/capital-social-das-empresas. aspx ? idiom=pt-br&gt;. </w:t>
      </w:r>
      <w:r w:rsidRPr="00CE6CC0">
        <w:rPr>
          <w:rFonts w:ascii="Times" w:hAnsi="Times" w:cs="Times New Roman"/>
          <w:lang w:val="en-US"/>
        </w:rPr>
        <w:t>Acesso em: 13/02/2017.</w:t>
      </w:r>
    </w:p>
    <w:p w14:paraId="5AD9D162" w14:textId="77777777" w:rsidR="00E7227D" w:rsidRPr="00CE6CC0" w:rsidRDefault="00E7227D" w:rsidP="00E7227D">
      <w:pPr>
        <w:autoSpaceDE w:val="0"/>
        <w:autoSpaceDN w:val="0"/>
        <w:adjustRightInd w:val="0"/>
        <w:spacing w:line="240" w:lineRule="auto"/>
        <w:rPr>
          <w:rFonts w:ascii="Times" w:hAnsi="Times" w:cs="Times New Roman"/>
        </w:rPr>
      </w:pPr>
      <w:bookmarkStart w:id="1" w:name="OLE_LINK3"/>
      <w:bookmarkStart w:id="2" w:name="OLE_LINK4"/>
      <w:r w:rsidRPr="00CE6CC0">
        <w:rPr>
          <w:rFonts w:ascii="Times" w:hAnsi="Times" w:cs="Times New Roman"/>
          <w:lang w:val="en-US"/>
        </w:rPr>
        <w:lastRenderedPageBreak/>
        <w:t>BONTIS</w:t>
      </w:r>
      <w:bookmarkEnd w:id="1"/>
      <w:bookmarkEnd w:id="2"/>
      <w:r w:rsidRPr="00CE6CC0">
        <w:rPr>
          <w:rFonts w:ascii="Times" w:hAnsi="Times" w:cs="Times New Roman"/>
          <w:lang w:val="en-US"/>
        </w:rPr>
        <w:t xml:space="preserve">, N.; KEOW, W. C. C.; RICHARDSON, S. Intellectual Capital and Business Performance in Malaysian Industries. </w:t>
      </w:r>
      <w:r w:rsidRPr="00CE6CC0">
        <w:rPr>
          <w:rFonts w:ascii="Times" w:hAnsi="Times" w:cs="Times New Roman"/>
          <w:i/>
          <w:iCs/>
        </w:rPr>
        <w:t>Journal of Intellectual Capital</w:t>
      </w:r>
      <w:r w:rsidRPr="00CE6CC0">
        <w:rPr>
          <w:rFonts w:ascii="Times" w:hAnsi="Times" w:cs="Times New Roman"/>
        </w:rPr>
        <w:t>, v. 1, n. 1, p. 85-100, 2000.</w:t>
      </w:r>
    </w:p>
    <w:p w14:paraId="714277A3" w14:textId="77777777" w:rsidR="00E7227D" w:rsidRPr="00CE6CC0" w:rsidRDefault="00E7227D" w:rsidP="00E7227D">
      <w:pPr>
        <w:autoSpaceDE w:val="0"/>
        <w:autoSpaceDN w:val="0"/>
        <w:adjustRightInd w:val="0"/>
        <w:spacing w:line="240" w:lineRule="auto"/>
        <w:rPr>
          <w:rFonts w:ascii="Times" w:hAnsi="Times" w:cs="Times New Roman"/>
        </w:rPr>
      </w:pPr>
      <w:r w:rsidRPr="00CE6CC0">
        <w:rPr>
          <w:rFonts w:ascii="Times" w:hAnsi="Times" w:cs="Times New Roman"/>
        </w:rPr>
        <w:t>BRASIL.</w:t>
      </w:r>
      <w:r w:rsidRPr="00CE6CC0">
        <w:rPr>
          <w:rFonts w:ascii="Times" w:hAnsi="Times" w:cs="Times New Roman"/>
          <w:b/>
          <w:bCs/>
        </w:rPr>
        <w:t xml:space="preserve"> </w:t>
      </w:r>
      <w:r w:rsidRPr="00CE6CC0">
        <w:rPr>
          <w:rFonts w:ascii="Times" w:hAnsi="Times" w:cs="Times New Roman"/>
          <w:i/>
          <w:iCs/>
        </w:rPr>
        <w:t>Lei nº 6.404</w:t>
      </w:r>
      <w:r w:rsidRPr="00CE6CC0">
        <w:rPr>
          <w:rFonts w:ascii="Times" w:hAnsi="Times" w:cs="Times New Roman"/>
        </w:rPr>
        <w:t>, de 15 de dezembro de 1976. Dispõe sobre as sociedades por ações. Disponível em: &lt;</w:t>
      </w:r>
      <w:hyperlink r:id="rId18">
        <w:r w:rsidRPr="00CE6CC0">
          <w:rPr>
            <w:rFonts w:ascii="Times" w:hAnsi="Times" w:cs="Times New Roman"/>
          </w:rPr>
          <w:t>http://www.planalto.gov.br/CCIVIL/LEIS/L6404consol.htm</w:t>
        </w:r>
      </w:hyperlink>
      <w:r w:rsidRPr="00CE6CC0">
        <w:rPr>
          <w:rFonts w:ascii="Times" w:hAnsi="Times" w:cs="Times New Roman"/>
        </w:rPr>
        <w:t>&gt;. Acesso em: 17 mar. 2017.</w:t>
      </w:r>
    </w:p>
    <w:p w14:paraId="1DF49CA8" w14:textId="77777777" w:rsidR="00E7227D" w:rsidRPr="00CE6CC0" w:rsidRDefault="00E7227D" w:rsidP="00E7227D">
      <w:pPr>
        <w:autoSpaceDE w:val="0"/>
        <w:adjustRightInd w:val="0"/>
        <w:spacing w:line="240" w:lineRule="auto"/>
        <w:rPr>
          <w:rFonts w:ascii="Times" w:hAnsi="Times" w:cs="Times New Roman"/>
        </w:rPr>
      </w:pPr>
      <w:r w:rsidRPr="00CE6CC0">
        <w:rPr>
          <w:rFonts w:ascii="Times" w:hAnsi="Times" w:cs="Times New Roman"/>
        </w:rPr>
        <w:t xml:space="preserve">BRASIL. </w:t>
      </w:r>
      <w:r w:rsidRPr="00CE6CC0">
        <w:rPr>
          <w:rFonts w:ascii="Times" w:hAnsi="Times" w:cs="Times New Roman"/>
          <w:i/>
          <w:iCs/>
        </w:rPr>
        <w:t>Lei nº 11.638</w:t>
      </w:r>
      <w:r w:rsidRPr="00CE6CC0">
        <w:rPr>
          <w:rFonts w:ascii="Times" w:hAnsi="Times" w:cs="Times New Roman"/>
        </w:rPr>
        <w:t>, de 28 de dezembro de 2007. Altera e revoga dispositivos da Lei nº 6.404, de 15 de dezembro de 1976, e da Lei nº 6.385, de 7 de dezembro de 1976, e estende às sociedades de grande porte disposições relativas à elaboração e divulgação de demonstrações financeiras. Disponível em: &lt;</w:t>
      </w:r>
      <w:hyperlink r:id="rId19">
        <w:r w:rsidRPr="00CE6CC0">
          <w:rPr>
            <w:rFonts w:ascii="Times" w:hAnsi="Times" w:cs="Times New Roman"/>
          </w:rPr>
          <w:t>http://www.planalto.gov.br/ccivil_03/_ato2007-2010/2007/Lei/L11638.htm</w:t>
        </w:r>
      </w:hyperlink>
      <w:r w:rsidRPr="00CE6CC0">
        <w:rPr>
          <w:rFonts w:ascii="Times" w:hAnsi="Times" w:cs="Times New Roman"/>
        </w:rPr>
        <w:t>&gt;. Acesso em: 17 mar. 2017.</w:t>
      </w:r>
    </w:p>
    <w:p w14:paraId="4C2A96FF" w14:textId="77777777" w:rsidR="00E7227D" w:rsidRPr="00CE6CC0" w:rsidRDefault="00E7227D" w:rsidP="00E7227D">
      <w:pPr>
        <w:autoSpaceDE w:val="0"/>
        <w:adjustRightInd w:val="0"/>
        <w:spacing w:line="240" w:lineRule="auto"/>
        <w:rPr>
          <w:rFonts w:ascii="Times" w:hAnsi="Times" w:cs="Times New Roman"/>
        </w:rPr>
      </w:pPr>
      <w:r w:rsidRPr="00CE6CC0">
        <w:rPr>
          <w:rFonts w:ascii="Times" w:hAnsi="Times" w:cs="Times New Roman"/>
        </w:rPr>
        <w:t>COMISSÃO DE VALORES MOBILIARIOS. Deliberação CVM nº 488, de 03 de outubro de 2005. Disponível em: &lt;http://www.cnb.org.br/CNBV/deliberacoes/dlb488-2005.htm&gt;. Acesso em: 17 mar. 2017.</w:t>
      </w:r>
    </w:p>
    <w:p w14:paraId="18EF96CC" w14:textId="77777777" w:rsidR="00E7227D" w:rsidRPr="00CE6CC0" w:rsidRDefault="00E7227D" w:rsidP="00E7227D">
      <w:pPr>
        <w:autoSpaceDE w:val="0"/>
        <w:adjustRightInd w:val="0"/>
        <w:spacing w:line="240" w:lineRule="auto"/>
        <w:rPr>
          <w:rFonts w:ascii="Times" w:hAnsi="Times" w:cs="Times New Roman"/>
          <w:color w:val="000000" w:themeColor="text1"/>
        </w:rPr>
      </w:pPr>
      <w:r w:rsidRPr="00CE6CC0">
        <w:rPr>
          <w:rFonts w:ascii="Times" w:hAnsi="Times" w:cs="Times New Roman"/>
          <w:color w:val="000000" w:themeColor="text1"/>
        </w:rPr>
        <w:t>COMISSÃO DE VALORES MOBILIÁRIOS. Deliberação CVM nº 553, de 12 de Novembro de 2008. Disponível em: &lt; http://www.cvm.gov.br&gt;. Acesso em: 17 mar. 2017.</w:t>
      </w:r>
    </w:p>
    <w:p w14:paraId="3A78C1A3" w14:textId="77777777" w:rsidR="00E7227D" w:rsidRPr="00CE6CC0" w:rsidRDefault="00E7227D" w:rsidP="00E7227D">
      <w:pPr>
        <w:autoSpaceDE w:val="0"/>
        <w:adjustRightInd w:val="0"/>
        <w:spacing w:line="240" w:lineRule="auto"/>
        <w:rPr>
          <w:rFonts w:ascii="Times" w:hAnsi="Times" w:cs="Times New Roman"/>
          <w:color w:val="000000" w:themeColor="text1"/>
        </w:rPr>
      </w:pPr>
      <w:r w:rsidRPr="00CE6CC0">
        <w:rPr>
          <w:rFonts w:ascii="Times" w:hAnsi="Times" w:cs="Times New Roman"/>
          <w:color w:val="000000" w:themeColor="text1"/>
        </w:rPr>
        <w:t>COMISSAO DE NORMALIZAÇÃO CONTABILISTICA. NCRF 6. Disponível em: &lt;http://www.cnc.minfinancas.pt/_siteantigo/SNC_projecto/NCRF_06_activos_intangiveis.pdf&gt;. Acesso em 30. Abril. 2017</w:t>
      </w:r>
    </w:p>
    <w:p w14:paraId="45A96687" w14:textId="77777777" w:rsidR="00E7227D" w:rsidRPr="00CE6CC0" w:rsidRDefault="00E7227D" w:rsidP="00E7227D">
      <w:pPr>
        <w:spacing w:line="240" w:lineRule="auto"/>
        <w:rPr>
          <w:rFonts w:ascii="Times" w:hAnsi="Times" w:cs="Times New Roman"/>
        </w:rPr>
      </w:pPr>
      <w:r w:rsidRPr="00CE6CC0">
        <w:rPr>
          <w:rFonts w:ascii="Times" w:hAnsi="Times" w:cs="Times New Roman"/>
        </w:rPr>
        <w:t>COMITÊ DE PRONUNCIAMENTOS CONTÁBEIS (CPC). Pronunciamento nº 00, de 02 de dezembro de 2011. Disponível em: &lt;http://www.cpc.org.br&gt;. Acesso em 22/03/2017.</w:t>
      </w:r>
    </w:p>
    <w:p w14:paraId="0ECF1A7E" w14:textId="77777777" w:rsidR="00E7227D" w:rsidRPr="00CE6CC0" w:rsidRDefault="00E7227D" w:rsidP="00E7227D">
      <w:pPr>
        <w:spacing w:line="240" w:lineRule="auto"/>
        <w:rPr>
          <w:rFonts w:ascii="Times" w:hAnsi="Times" w:cs="Times New Roman"/>
        </w:rPr>
      </w:pPr>
      <w:r w:rsidRPr="00CE6CC0">
        <w:rPr>
          <w:rFonts w:ascii="Times" w:hAnsi="Times" w:cs="Times New Roman"/>
        </w:rPr>
        <w:t>COMITÊ DE PRONUNCIAMENTOS CONTÁBEIS (CPC). Pronunciamento nº 04, de 05 de novembro de 2010. Disponível em: &lt;http://www.cpc.org.br&gt;. Acesso em 22/03/2017.</w:t>
      </w:r>
    </w:p>
    <w:p w14:paraId="3A381842"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eastAsia="pt-BR"/>
        </w:rPr>
        <w:t>DANTAS, José Alves; ZENDERSKY, Humberto Carlos; SANTOS, Sérgio Carlos dos; NIYAMA, Jorge Katsumi. (2005). “A dualidade entre os benefícios do disclosure e a relutância das organizações em aumentar o grau de evidenciação. ”</w:t>
      </w:r>
      <w:r w:rsidRPr="00CE6CC0">
        <w:rPr>
          <w:rFonts w:ascii="Times" w:eastAsia="Times New Roman" w:hAnsi="Times" w:cs="Times New Roman"/>
          <w:b/>
          <w:bCs/>
          <w:lang w:eastAsia="pt-BR"/>
        </w:rPr>
        <w:t> </w:t>
      </w:r>
      <w:r w:rsidRPr="00CE6CC0">
        <w:rPr>
          <w:rFonts w:ascii="Times" w:eastAsia="Times New Roman" w:hAnsi="Times" w:cs="Times New Roman"/>
          <w:i/>
          <w:iCs/>
          <w:lang w:eastAsia="pt-BR"/>
        </w:rPr>
        <w:t xml:space="preserve">E &amp; G Economia e Gestão. </w:t>
      </w:r>
      <w:r w:rsidRPr="00CE6CC0">
        <w:rPr>
          <w:rFonts w:ascii="Times" w:eastAsia="Times New Roman" w:hAnsi="Times" w:cs="Times New Roman"/>
          <w:lang w:eastAsia="pt-BR"/>
        </w:rPr>
        <w:t>Belo Horizonte, v. 5, n. 11, p. 56-76, dez.</w:t>
      </w:r>
    </w:p>
    <w:p w14:paraId="15077691"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eastAsia="pt-BR"/>
        </w:rPr>
        <w:t>ERNEST &amp; YOUNG, FIPECAFI. </w:t>
      </w:r>
      <w:r w:rsidRPr="00CE6CC0">
        <w:rPr>
          <w:rFonts w:ascii="Times" w:eastAsia="Times New Roman" w:hAnsi="Times" w:cs="Times New Roman"/>
          <w:i/>
          <w:iCs/>
          <w:lang w:eastAsia="pt-BR"/>
        </w:rPr>
        <w:t>Manual de Normas Internacionais de Contabilidade: IFRS versus normas brasileiras.</w:t>
      </w:r>
      <w:r w:rsidRPr="00CE6CC0">
        <w:rPr>
          <w:rFonts w:ascii="Times" w:eastAsia="Times New Roman" w:hAnsi="Times" w:cs="Times New Roman"/>
          <w:b/>
          <w:bCs/>
          <w:lang w:eastAsia="pt-BR"/>
        </w:rPr>
        <w:t> </w:t>
      </w:r>
      <w:r w:rsidRPr="00CE6CC0">
        <w:rPr>
          <w:rFonts w:ascii="Times" w:eastAsia="Times New Roman" w:hAnsi="Times" w:cs="Times New Roman"/>
          <w:lang w:eastAsia="pt-BR"/>
        </w:rPr>
        <w:t>1ª ed. – 2ª reimpr. – São Paulo: Atlas, 2009.</w:t>
      </w:r>
    </w:p>
    <w:p w14:paraId="5A5C634E" w14:textId="77777777" w:rsidR="00E7227D" w:rsidRPr="00CE6CC0" w:rsidRDefault="00E7227D" w:rsidP="00E7227D">
      <w:pPr>
        <w:spacing w:line="240" w:lineRule="auto"/>
        <w:rPr>
          <w:rFonts w:ascii="Times" w:eastAsia="Times New Roman" w:hAnsi="Times" w:cs="Times New Roman"/>
          <w:i/>
          <w:iCs/>
          <w:lang w:val="es-ES" w:eastAsia="pt-BR"/>
        </w:rPr>
      </w:pPr>
      <w:r w:rsidRPr="00CE6CC0">
        <w:rPr>
          <w:rFonts w:ascii="Times" w:eastAsia="Times New Roman" w:hAnsi="Times" w:cs="Times New Roman"/>
          <w:lang w:val="es-ES" w:eastAsia="pt-BR"/>
        </w:rPr>
        <w:t>GRECCO, Marta Cristina Pelúcio; SANTOS, Thamires Arcanja. O Nivel de Evidenciação Obrigatório relativo ao Ativo Intangível a partir da adoção plena das IFRS.</w:t>
      </w:r>
      <w:r w:rsidRPr="00CE6CC0">
        <w:rPr>
          <w:rFonts w:ascii="Times" w:eastAsia="Times New Roman" w:hAnsi="Times" w:cs="Times New Roman"/>
          <w:i/>
          <w:iCs/>
          <w:lang w:val="es-ES" w:eastAsia="pt-BR"/>
        </w:rPr>
        <w:t xml:space="preserve"> Revista AECA. España. Vol 110a, 2015.</w:t>
      </w:r>
    </w:p>
    <w:p w14:paraId="255A7DE1"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val="es-ES" w:eastAsia="pt-BR"/>
        </w:rPr>
        <w:t xml:space="preserve">HENDRIKSEN, Eldon S. VAN BREDA, Michael F. Van. </w:t>
      </w:r>
      <w:r w:rsidRPr="00CE6CC0">
        <w:rPr>
          <w:rFonts w:ascii="Times" w:eastAsia="Times New Roman" w:hAnsi="Times" w:cs="Times New Roman"/>
          <w:i/>
          <w:iCs/>
          <w:lang w:eastAsia="pt-BR"/>
        </w:rPr>
        <w:t>Teoria da Contabilidade</w:t>
      </w:r>
      <w:r w:rsidRPr="00CE6CC0">
        <w:rPr>
          <w:rFonts w:ascii="Times" w:eastAsia="Times New Roman" w:hAnsi="Times" w:cs="Times New Roman"/>
          <w:b/>
          <w:bCs/>
          <w:lang w:eastAsia="pt-BR"/>
        </w:rPr>
        <w:t>.</w:t>
      </w:r>
      <w:r w:rsidRPr="00CE6CC0">
        <w:rPr>
          <w:rFonts w:ascii="Times" w:eastAsia="Times New Roman" w:hAnsi="Times" w:cs="Times New Roman"/>
          <w:lang w:eastAsia="pt-BR"/>
        </w:rPr>
        <w:t xml:space="preserve"> 5° ed. São Paulo: Atlas, 2009.</w:t>
      </w:r>
    </w:p>
    <w:p w14:paraId="1B9BF2B6" w14:textId="77777777" w:rsidR="00E7227D" w:rsidRPr="00CE6CC0" w:rsidRDefault="00E7227D" w:rsidP="00E7227D">
      <w:pPr>
        <w:autoSpaceDE w:val="0"/>
        <w:autoSpaceDN w:val="0"/>
        <w:adjustRightInd w:val="0"/>
        <w:spacing w:line="240" w:lineRule="auto"/>
        <w:rPr>
          <w:rFonts w:ascii="Times" w:hAnsi="Times" w:cs="Times New Roman"/>
        </w:rPr>
      </w:pPr>
      <w:r w:rsidRPr="00CE6CC0">
        <w:rPr>
          <w:rFonts w:ascii="Times" w:hAnsi="Times" w:cs="Times New Roman"/>
          <w:lang w:val="en-US"/>
        </w:rPr>
        <w:t xml:space="preserve">IASB – INTERNATIONAL ACCOUTING STANDARD. IAS 38. </w:t>
      </w:r>
      <w:r w:rsidRPr="00CE6CC0">
        <w:rPr>
          <w:rFonts w:ascii="Times" w:hAnsi="Times" w:cs="Times New Roman"/>
        </w:rPr>
        <w:t>Disponível em http://www.ifrs.org/IFRSs/Documents/Technical-summaries-2014/IAS%2038.pdf. Acesso em 30.abril.2017.</w:t>
      </w:r>
    </w:p>
    <w:p w14:paraId="48BAFF04" w14:textId="77777777" w:rsidR="00E7227D" w:rsidRPr="00CE6CC0" w:rsidRDefault="00E7227D" w:rsidP="00E7227D">
      <w:pPr>
        <w:autoSpaceDE w:val="0"/>
        <w:autoSpaceDN w:val="0"/>
        <w:adjustRightInd w:val="0"/>
        <w:spacing w:line="240" w:lineRule="auto"/>
        <w:rPr>
          <w:rFonts w:ascii="Times" w:hAnsi="Times" w:cs="Times New Roman"/>
        </w:rPr>
      </w:pPr>
      <w:r w:rsidRPr="00CE6CC0">
        <w:rPr>
          <w:rFonts w:ascii="Times" w:hAnsi="Times" w:cs="Times New Roman"/>
        </w:rPr>
        <w:t>IGARASHI, D. C. C.; TOGNON , F. C.; IGARASHI W. Análise de Demonstrativos Fianceiros de modo a identificar as alterações na evidenciação dos ativos intangíveis em função da lei 11.638/07.</w:t>
      </w:r>
      <w:r w:rsidRPr="00CE6CC0">
        <w:rPr>
          <w:rFonts w:ascii="Times" w:hAnsi="Times" w:cs="Times New Roman"/>
          <w:i/>
          <w:iCs/>
        </w:rPr>
        <w:t xml:space="preserve"> ConTexto, </w:t>
      </w:r>
      <w:r w:rsidRPr="00CE6CC0">
        <w:rPr>
          <w:rFonts w:ascii="Times" w:hAnsi="Times" w:cs="Times New Roman"/>
        </w:rPr>
        <w:t>Porto Alegre, v. 11, n. 19, p. 77-88, 1° semestre 2011.</w:t>
      </w:r>
    </w:p>
    <w:p w14:paraId="48D6208F"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eastAsia="pt-BR"/>
        </w:rPr>
        <w:t>IUDÍCIBUS, Sérgio de. </w:t>
      </w:r>
      <w:r w:rsidRPr="00CE6CC0">
        <w:rPr>
          <w:rFonts w:ascii="Times" w:eastAsia="Times New Roman" w:hAnsi="Times" w:cs="Times New Roman"/>
          <w:i/>
          <w:iCs/>
          <w:lang w:eastAsia="pt-BR"/>
        </w:rPr>
        <w:t>Teoria da contabilidade</w:t>
      </w:r>
      <w:r w:rsidRPr="00CE6CC0">
        <w:rPr>
          <w:rFonts w:ascii="Times" w:eastAsia="Times New Roman" w:hAnsi="Times" w:cs="Times New Roman"/>
          <w:lang w:eastAsia="pt-BR"/>
        </w:rPr>
        <w:t>. 6. ed. São Paulo: Atlas, 2004.</w:t>
      </w:r>
    </w:p>
    <w:p w14:paraId="59ABDB33"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eastAsia="pt-BR"/>
        </w:rPr>
        <w:t xml:space="preserve">IUDÍCIBUS, S.; MARTINS , E.; GELBCKE, E. R. (Org.). </w:t>
      </w:r>
      <w:r w:rsidRPr="00CE6CC0">
        <w:rPr>
          <w:rFonts w:ascii="Times" w:eastAsia="Times New Roman" w:hAnsi="Times" w:cs="Times New Roman"/>
          <w:i/>
          <w:iCs/>
          <w:lang w:eastAsia="pt-BR"/>
        </w:rPr>
        <w:t>Manual de contabilidade das sociedades por ações: aplicável às demais sociedades.</w:t>
      </w:r>
      <w:r w:rsidRPr="00CE6CC0">
        <w:rPr>
          <w:rFonts w:ascii="Times" w:eastAsia="Times New Roman" w:hAnsi="Times" w:cs="Times New Roman"/>
          <w:lang w:eastAsia="pt-BR"/>
        </w:rPr>
        <w:t xml:space="preserve"> São Paulo: Atlas, 2008.</w:t>
      </w:r>
    </w:p>
    <w:p w14:paraId="310517C8" w14:textId="77777777" w:rsidR="00E7227D" w:rsidRPr="00CE6CC0" w:rsidRDefault="00E7227D" w:rsidP="00E7227D">
      <w:pPr>
        <w:spacing w:line="240" w:lineRule="auto"/>
        <w:rPr>
          <w:rFonts w:ascii="Times" w:eastAsia="Times New Roman" w:hAnsi="Times" w:cs="Times New Roman"/>
          <w:lang w:val="en-US" w:eastAsia="pt-BR"/>
        </w:rPr>
      </w:pPr>
      <w:r w:rsidRPr="00CE6CC0">
        <w:rPr>
          <w:rFonts w:ascii="Times" w:eastAsia="Times New Roman" w:hAnsi="Times" w:cs="Times New Roman"/>
          <w:lang w:eastAsia="pt-BR"/>
        </w:rPr>
        <w:t xml:space="preserve">IUDÍCIBUS, S. et al. </w:t>
      </w:r>
      <w:r w:rsidRPr="00CE6CC0">
        <w:rPr>
          <w:rFonts w:ascii="Times" w:eastAsia="Times New Roman" w:hAnsi="Times" w:cs="Times New Roman"/>
          <w:i/>
          <w:iCs/>
          <w:lang w:eastAsia="pt-BR"/>
        </w:rPr>
        <w:t>Manual de Contabilidade Societária</w:t>
      </w:r>
      <w:r w:rsidRPr="00CE6CC0">
        <w:rPr>
          <w:rFonts w:ascii="Times" w:eastAsia="Times New Roman" w:hAnsi="Times" w:cs="Times New Roman"/>
          <w:lang w:eastAsia="pt-BR"/>
        </w:rPr>
        <w:t xml:space="preserve">. </w:t>
      </w:r>
      <w:r w:rsidRPr="00CE6CC0">
        <w:rPr>
          <w:rFonts w:ascii="Times" w:eastAsia="Times New Roman" w:hAnsi="Times" w:cs="Times New Roman"/>
          <w:lang w:val="en-US" w:eastAsia="pt-BR"/>
        </w:rPr>
        <w:t>São Paulo: Atlas, 2010. 792 p.</w:t>
      </w:r>
    </w:p>
    <w:p w14:paraId="2B6E2ED8" w14:textId="77777777" w:rsidR="00E7227D" w:rsidRPr="00CE6CC0" w:rsidRDefault="00E7227D" w:rsidP="00E7227D">
      <w:pPr>
        <w:autoSpaceDE w:val="0"/>
        <w:autoSpaceDN w:val="0"/>
        <w:adjustRightInd w:val="0"/>
        <w:spacing w:after="0" w:line="240" w:lineRule="auto"/>
        <w:jc w:val="left"/>
        <w:rPr>
          <w:rFonts w:ascii="Times" w:hAnsi="Times" w:cs="Times New Roman"/>
        </w:rPr>
      </w:pPr>
      <w:r w:rsidRPr="00CE6CC0">
        <w:rPr>
          <w:rFonts w:ascii="Times" w:hAnsi="Times" w:cs="Times New Roman"/>
          <w:lang w:val="en-US"/>
        </w:rPr>
        <w:lastRenderedPageBreak/>
        <w:t xml:space="preserve">KANG, H. H.; GRAY, S. J. Reporting intangibles assets: voluntary disclosure practices of top emerging market companies. </w:t>
      </w:r>
      <w:r w:rsidRPr="00CE6CC0">
        <w:rPr>
          <w:rFonts w:ascii="Times" w:hAnsi="Times" w:cs="Times New Roman"/>
          <w:i/>
          <w:iCs/>
        </w:rPr>
        <w:t>The international journal of accounting</w:t>
      </w:r>
      <w:r w:rsidRPr="00CE6CC0">
        <w:rPr>
          <w:rFonts w:ascii="Times" w:hAnsi="Times" w:cs="Times New Roman"/>
        </w:rPr>
        <w:t>, n. 46, p. 402-423, 2011.</w:t>
      </w:r>
    </w:p>
    <w:p w14:paraId="3D07F07B" w14:textId="77777777" w:rsidR="00E7227D" w:rsidRPr="00CE6CC0" w:rsidRDefault="00E7227D" w:rsidP="00E7227D">
      <w:pPr>
        <w:spacing w:line="240" w:lineRule="auto"/>
        <w:rPr>
          <w:rFonts w:ascii="Times" w:eastAsia="Times New Roman" w:hAnsi="Times" w:cs="Times New Roman"/>
          <w:lang w:eastAsia="pt-BR"/>
        </w:rPr>
      </w:pPr>
      <w:r w:rsidRPr="00CE6CC0">
        <w:rPr>
          <w:rFonts w:ascii="Times" w:eastAsia="Times New Roman" w:hAnsi="Times" w:cs="Times New Roman"/>
          <w:lang w:eastAsia="pt-BR"/>
        </w:rPr>
        <w:t>KAYO, Eduardo Kazuo; KIMURA, Herbert; BASSO, Leonardo Fernando Cruz, KRAUTER, Elizabeth</w:t>
      </w:r>
      <w:r w:rsidRPr="00CE6CC0">
        <w:rPr>
          <w:rFonts w:ascii="Times" w:eastAsia="Times New Roman" w:hAnsi="Times" w:cs="Times New Roman"/>
          <w:b/>
          <w:bCs/>
          <w:lang w:eastAsia="pt-BR"/>
        </w:rPr>
        <w:t>. </w:t>
      </w:r>
      <w:r w:rsidRPr="00CE6CC0">
        <w:rPr>
          <w:rFonts w:ascii="Times" w:eastAsia="Times New Roman" w:hAnsi="Times" w:cs="Times New Roman"/>
          <w:lang w:eastAsia="pt-BR"/>
        </w:rPr>
        <w:t>(2006).</w:t>
      </w:r>
      <w:r w:rsidRPr="00CE6CC0">
        <w:rPr>
          <w:rFonts w:ascii="Times" w:eastAsia="Times New Roman" w:hAnsi="Times" w:cs="Times New Roman"/>
          <w:b/>
          <w:bCs/>
          <w:lang w:eastAsia="pt-BR"/>
        </w:rPr>
        <w:t> “</w:t>
      </w:r>
      <w:r w:rsidRPr="00CE6CC0">
        <w:rPr>
          <w:rFonts w:ascii="Times" w:eastAsia="Times New Roman" w:hAnsi="Times" w:cs="Times New Roman"/>
          <w:lang w:eastAsia="pt-BR"/>
        </w:rPr>
        <w:t xml:space="preserve">Os Fatores Determinantes da Intangibilidade.” </w:t>
      </w:r>
      <w:r w:rsidRPr="00CE6CC0">
        <w:rPr>
          <w:rFonts w:ascii="Times" w:eastAsia="Times New Roman" w:hAnsi="Times" w:cs="Times New Roman"/>
          <w:i/>
          <w:iCs/>
          <w:lang w:eastAsia="pt-BR"/>
        </w:rPr>
        <w:t>Revista de Administração Mackenzie,</w:t>
      </w:r>
      <w:r w:rsidRPr="00CE6CC0">
        <w:rPr>
          <w:rFonts w:ascii="Times" w:eastAsia="Times New Roman" w:hAnsi="Times" w:cs="Times New Roman"/>
          <w:lang w:eastAsia="pt-BR"/>
        </w:rPr>
        <w:t>v. 7, n. 3, p. 112-130, 2006.</w:t>
      </w:r>
    </w:p>
    <w:p w14:paraId="74A17A9E" w14:textId="77777777" w:rsidR="00E7227D" w:rsidRPr="00CE6CC0" w:rsidRDefault="00E7227D" w:rsidP="00E7227D">
      <w:pPr>
        <w:autoSpaceDE w:val="0"/>
        <w:autoSpaceDN w:val="0"/>
        <w:adjustRightInd w:val="0"/>
        <w:spacing w:after="0" w:line="240" w:lineRule="auto"/>
        <w:rPr>
          <w:rFonts w:ascii="Times" w:hAnsi="Times" w:cs="Times New Roman"/>
          <w:i/>
          <w:iCs/>
        </w:rPr>
      </w:pPr>
      <w:r w:rsidRPr="00CE6CC0">
        <w:rPr>
          <w:rFonts w:ascii="Times" w:hAnsi="Times" w:cs="Times New Roman"/>
        </w:rPr>
        <w:t>KLANN</w:t>
      </w:r>
      <w:r w:rsidRPr="00CE6CC0">
        <w:rPr>
          <w:rFonts w:ascii="Times" w:eastAsia="Times New Roman" w:hAnsi="Times" w:cs="Times New Roman"/>
          <w:lang w:eastAsia="pt-BR"/>
        </w:rPr>
        <w:t xml:space="preserve">, </w:t>
      </w:r>
      <w:r w:rsidRPr="00CE6CC0">
        <w:rPr>
          <w:rFonts w:ascii="Times" w:hAnsi="Times" w:cs="Times New Roman"/>
        </w:rPr>
        <w:t xml:space="preserve">Roberto Carlos; POPIK, Fabiane; KREUZBERG, Fernanda; SALLA, Neusa Gonçalves. Fatores relacionados ao nível de divulgação de ativos intangíveis após a adoção das IFRS por empresas do IGC da </w:t>
      </w:r>
      <w:r>
        <w:rPr>
          <w:rFonts w:ascii="Times" w:hAnsi="Times" w:cs="Times New Roman"/>
        </w:rPr>
        <w:t>B3</w:t>
      </w:r>
      <w:r w:rsidRPr="00CE6CC0">
        <w:rPr>
          <w:rFonts w:ascii="Times" w:hAnsi="Times" w:cs="Times New Roman"/>
        </w:rPr>
        <w:t xml:space="preserve">. </w:t>
      </w:r>
      <w:r w:rsidRPr="00CE6CC0">
        <w:rPr>
          <w:rFonts w:ascii="Times" w:hAnsi="Times" w:cs="Times New Roman"/>
          <w:i/>
          <w:iCs/>
        </w:rPr>
        <w:t>Revista Catarinense da Ciência Contábil – CRCSC,</w:t>
      </w:r>
      <w:r w:rsidRPr="00CE6CC0">
        <w:rPr>
          <w:rFonts w:ascii="Times" w:hAnsi="Times" w:cs="Times New Roman"/>
        </w:rPr>
        <w:t xml:space="preserve"> v. 13, n. 38, p.37-51, jan./abr. 2014.</w:t>
      </w:r>
    </w:p>
    <w:p w14:paraId="71E9FABA" w14:textId="77777777" w:rsidR="00E7227D" w:rsidRPr="00CE6CC0" w:rsidRDefault="00E7227D" w:rsidP="00E7227D">
      <w:pPr>
        <w:autoSpaceDE w:val="0"/>
        <w:autoSpaceDN w:val="0"/>
        <w:adjustRightInd w:val="0"/>
        <w:spacing w:after="0" w:line="240" w:lineRule="auto"/>
        <w:jc w:val="left"/>
        <w:rPr>
          <w:rFonts w:ascii="Times" w:hAnsi="Times" w:cs="Times New Roman"/>
        </w:rPr>
      </w:pPr>
      <w:r w:rsidRPr="00CE6CC0">
        <w:rPr>
          <w:rFonts w:ascii="Times" w:hAnsi="Times" w:cs="Times New Roman"/>
        </w:rPr>
        <w:t xml:space="preserve">MACAGNAN, C. B. Evidenciação voluntária: fatores explicativos da extensão da informação sobre recursos intangíveis. </w:t>
      </w:r>
      <w:r w:rsidRPr="00CE6CC0">
        <w:rPr>
          <w:rFonts w:ascii="Times" w:hAnsi="Times" w:cs="Times New Roman"/>
          <w:i/>
          <w:iCs/>
        </w:rPr>
        <w:t>Revista Contabilidade e Finanças</w:t>
      </w:r>
      <w:r w:rsidRPr="00CE6CC0">
        <w:rPr>
          <w:rFonts w:ascii="Times" w:hAnsi="Times" w:cs="Times New Roman"/>
        </w:rPr>
        <w:t>. São Paulo, v. 20, n. 50, p. 46-61, 2009.</w:t>
      </w:r>
    </w:p>
    <w:p w14:paraId="3844B12D" w14:textId="77777777" w:rsidR="00E7227D" w:rsidRPr="00CE6CC0" w:rsidRDefault="00E7227D" w:rsidP="00E7227D">
      <w:pPr>
        <w:spacing w:line="240" w:lineRule="auto"/>
        <w:rPr>
          <w:rFonts w:ascii="Times" w:hAnsi="Times" w:cs="Times New Roman"/>
        </w:rPr>
      </w:pPr>
      <w:r w:rsidRPr="00CE6CC0">
        <w:rPr>
          <w:rFonts w:ascii="Times" w:hAnsi="Times" w:cs="Times New Roman"/>
        </w:rPr>
        <w:t xml:space="preserve">MAIA, Henrique Araujo; FORMIGONI, Henrique; SILVA, Adilson Aderito. Empresas de auditoria e o compliance com o nível de evidenciação obrigatório durante o processo de convergência às normas internacionais de contabilidade no Brasil. </w:t>
      </w:r>
      <w:r w:rsidRPr="00CE6CC0">
        <w:rPr>
          <w:rFonts w:ascii="Times" w:hAnsi="Times" w:cs="Times New Roman"/>
          <w:i/>
          <w:iCs/>
        </w:rPr>
        <w:t>Revista Brasileira de Gestão de Negócios</w:t>
      </w:r>
      <w:r w:rsidRPr="00CE6CC0">
        <w:rPr>
          <w:rFonts w:ascii="Times" w:hAnsi="Times" w:cs="Times New Roman"/>
        </w:rPr>
        <w:t>, São Paulo, n. 44, p. 335-352, jul/set. 2012.</w:t>
      </w:r>
    </w:p>
    <w:p w14:paraId="3E4DCBB6" w14:textId="77777777" w:rsidR="00E7227D" w:rsidRPr="00CE6CC0" w:rsidRDefault="00E7227D" w:rsidP="00E7227D">
      <w:pPr>
        <w:spacing w:line="240" w:lineRule="auto"/>
        <w:rPr>
          <w:rFonts w:ascii="Times" w:hAnsi="Times" w:cs="Times New Roman"/>
        </w:rPr>
      </w:pPr>
      <w:r w:rsidRPr="00CE6CC0">
        <w:rPr>
          <w:rFonts w:ascii="Times" w:hAnsi="Times" w:cs="Times New Roman"/>
        </w:rPr>
        <w:t xml:space="preserve">MANTOVANI, Erick e SANTOS, Fernando de Almeida. A contabilização do ativo intangível nas 522 empresas listadas na </w:t>
      </w:r>
      <w:r>
        <w:rPr>
          <w:rFonts w:ascii="Times" w:hAnsi="Times" w:cs="Times New Roman"/>
        </w:rPr>
        <w:t>B3</w:t>
      </w:r>
      <w:r w:rsidRPr="00CE6CC0">
        <w:rPr>
          <w:rFonts w:ascii="Times" w:hAnsi="Times" w:cs="Times New Roman"/>
        </w:rPr>
        <w:t xml:space="preserve">. </w:t>
      </w:r>
      <w:r w:rsidRPr="00CE6CC0">
        <w:rPr>
          <w:rFonts w:ascii="Times" w:hAnsi="Times" w:cs="Times New Roman"/>
          <w:i/>
          <w:iCs/>
        </w:rPr>
        <w:t>Revista de Administração e Inovação</w:t>
      </w:r>
      <w:r w:rsidRPr="00CE6CC0">
        <w:rPr>
          <w:rFonts w:ascii="Times" w:hAnsi="Times" w:cs="Times New Roman"/>
        </w:rPr>
        <w:t>, São Paulo, v. 11, n.3, p.311,328, jul ./set. 2014.</w:t>
      </w:r>
    </w:p>
    <w:p w14:paraId="498CE014" w14:textId="77777777" w:rsidR="00E7227D" w:rsidRPr="00CE6CC0" w:rsidRDefault="00E7227D" w:rsidP="00E7227D">
      <w:pPr>
        <w:spacing w:line="240" w:lineRule="auto"/>
        <w:rPr>
          <w:rFonts w:ascii="Times" w:hAnsi="Times" w:cs="Times New Roman"/>
        </w:rPr>
      </w:pPr>
      <w:r w:rsidRPr="00CE6CC0">
        <w:rPr>
          <w:rFonts w:ascii="Times" w:hAnsi="Times" w:cs="Times New Roman"/>
        </w:rPr>
        <w:t xml:space="preserve">MARTINS, G. A., &amp; THEÓPHILO, C. R. </w:t>
      </w:r>
      <w:r w:rsidRPr="00CE6CC0">
        <w:rPr>
          <w:rFonts w:ascii="Times" w:hAnsi="Times" w:cs="Times New Roman"/>
          <w:i/>
          <w:iCs/>
        </w:rPr>
        <w:t>Metodologia da investigação científica para ciências sociais aplicadas</w:t>
      </w:r>
      <w:r w:rsidRPr="00CE6CC0">
        <w:rPr>
          <w:rFonts w:ascii="Times" w:hAnsi="Times" w:cs="Times New Roman"/>
        </w:rPr>
        <w:t>. São Paulo: Atlas, 2007.</w:t>
      </w:r>
    </w:p>
    <w:p w14:paraId="3C7D4CBD" w14:textId="77777777" w:rsidR="00E7227D" w:rsidRPr="00CE6CC0" w:rsidRDefault="00E7227D" w:rsidP="00E7227D">
      <w:pPr>
        <w:spacing w:line="240" w:lineRule="auto"/>
        <w:rPr>
          <w:rFonts w:ascii="Times" w:hAnsi="Times" w:cs="Times New Roman"/>
          <w:color w:val="000000" w:themeColor="text1"/>
        </w:rPr>
      </w:pPr>
      <w:r w:rsidRPr="00CE6CC0">
        <w:rPr>
          <w:rFonts w:ascii="Times" w:hAnsi="Times" w:cs="Times New Roman"/>
          <w:color w:val="000000" w:themeColor="text1"/>
        </w:rPr>
        <w:t>MORAES, Roque. Análise de conteúdo. </w:t>
      </w:r>
      <w:r w:rsidRPr="00CE6CC0">
        <w:rPr>
          <w:rFonts w:ascii="Times" w:hAnsi="Times" w:cs="Times New Roman"/>
          <w:i/>
          <w:iCs/>
          <w:color w:val="000000" w:themeColor="text1"/>
        </w:rPr>
        <w:t>Revista Educação</w:t>
      </w:r>
      <w:r w:rsidRPr="00CE6CC0">
        <w:rPr>
          <w:rFonts w:ascii="Times" w:hAnsi="Times" w:cs="Times New Roman"/>
          <w:color w:val="000000" w:themeColor="text1"/>
        </w:rPr>
        <w:t>, Porto Alegre, v. 22, n. 37, p. 7-32, 1999.</w:t>
      </w:r>
    </w:p>
    <w:p w14:paraId="2DF5B099" w14:textId="77777777" w:rsidR="00E7227D" w:rsidRPr="00CE6CC0" w:rsidRDefault="00E7227D" w:rsidP="00E7227D">
      <w:pPr>
        <w:spacing w:line="240" w:lineRule="auto"/>
        <w:rPr>
          <w:rFonts w:ascii="Times" w:hAnsi="Times" w:cs="Times New Roman"/>
        </w:rPr>
      </w:pPr>
      <w:r w:rsidRPr="00CE6CC0">
        <w:rPr>
          <w:rFonts w:ascii="Times" w:hAnsi="Times" w:cs="Times New Roman"/>
        </w:rPr>
        <w:t xml:space="preserve">NEVES, Silvério das, VICECONTI, Paulo Eduardo V. </w:t>
      </w:r>
      <w:r w:rsidRPr="00CE6CC0">
        <w:rPr>
          <w:rFonts w:ascii="Times" w:hAnsi="Times" w:cs="Times New Roman"/>
          <w:i/>
          <w:iCs/>
        </w:rPr>
        <w:t>Contabilidade Básica.</w:t>
      </w:r>
      <w:r w:rsidRPr="00CE6CC0">
        <w:rPr>
          <w:rFonts w:ascii="Times" w:hAnsi="Times" w:cs="Times New Roman"/>
        </w:rPr>
        <w:t xml:space="preserve"> 13. ed. São Paulo : Frase Editora, 2006</w:t>
      </w:r>
    </w:p>
    <w:p w14:paraId="4584B16D" w14:textId="77777777" w:rsidR="00E7227D" w:rsidRPr="00CE6CC0" w:rsidRDefault="00E7227D" w:rsidP="00E7227D">
      <w:pPr>
        <w:autoSpaceDE w:val="0"/>
        <w:autoSpaceDN w:val="0"/>
        <w:adjustRightInd w:val="0"/>
        <w:spacing w:line="240" w:lineRule="auto"/>
        <w:rPr>
          <w:rFonts w:ascii="Times" w:hAnsi="Times" w:cs="Times New Roman"/>
        </w:rPr>
      </w:pPr>
      <w:r w:rsidRPr="00CE6CC0">
        <w:rPr>
          <w:rFonts w:ascii="Times" w:hAnsi="Times" w:cs="Times New Roman"/>
        </w:rPr>
        <w:t>PEREZ, Marcelo Monteiro; FAMÁ, Rubens. (2006). “Ativos Intangíveis e o Desempenho Empresarial</w:t>
      </w:r>
      <w:r w:rsidRPr="00CE6CC0">
        <w:rPr>
          <w:rFonts w:ascii="Times" w:hAnsi="Times" w:cs="Times New Roman"/>
          <w:i/>
          <w:iCs/>
        </w:rPr>
        <w:t>.” Revista de Contabilidade e Finanças – USP</w:t>
      </w:r>
      <w:r w:rsidRPr="00CE6CC0">
        <w:rPr>
          <w:rFonts w:ascii="Times" w:hAnsi="Times" w:cs="Times New Roman"/>
        </w:rPr>
        <w:t>, São Paulo, n. 40, p. 7 – 24, Jan./Abr., 2006.</w:t>
      </w:r>
    </w:p>
    <w:p w14:paraId="0E978641" w14:textId="77777777" w:rsidR="00E7227D" w:rsidRPr="00CE6CC0" w:rsidRDefault="00E7227D" w:rsidP="00E7227D">
      <w:pPr>
        <w:spacing w:line="240" w:lineRule="auto"/>
        <w:rPr>
          <w:rFonts w:ascii="Times" w:hAnsi="Times" w:cs="Times New Roman"/>
        </w:rPr>
      </w:pPr>
      <w:r w:rsidRPr="00CE6CC0">
        <w:rPr>
          <w:rFonts w:ascii="Times" w:hAnsi="Times" w:cs="Times New Roman"/>
        </w:rPr>
        <w:t>PORTUGAL. Regulamento do Conselho e Parlamento Europeu (CE) n° 1606 de 19 de Julho de 2002. Dispõe sobre a adoção das normas internacionais de contabilidade. Disponível em:    &lt;</w:t>
      </w:r>
      <w:r w:rsidRPr="00CE6CC0">
        <w:rPr>
          <w:rFonts w:ascii="Times" w:hAnsi="Times"/>
        </w:rPr>
        <w:t xml:space="preserve"> </w:t>
      </w:r>
      <w:hyperlink r:id="rId20">
        <w:r w:rsidRPr="00CE6CC0">
          <w:rPr>
            <w:rStyle w:val="Hyperlink"/>
            <w:rFonts w:ascii="Times" w:hAnsi="Times" w:cs="Times New Roman"/>
            <w:color w:val="auto"/>
            <w:u w:val="none"/>
          </w:rPr>
          <w:t>http://eur-lex.europa.eu/legal-content/PT/TXT/?uri=CELEX%3A32003R1725</w:t>
        </w:r>
      </w:hyperlink>
      <w:r w:rsidRPr="00CE6CC0">
        <w:rPr>
          <w:rFonts w:ascii="Times" w:hAnsi="Times" w:cs="Times New Roman"/>
        </w:rPr>
        <w:t>&gt; Acesso em 15.Out.2017</w:t>
      </w:r>
    </w:p>
    <w:p w14:paraId="6606356A" w14:textId="77777777" w:rsidR="00E7227D" w:rsidRPr="00CE6CC0" w:rsidRDefault="00E7227D" w:rsidP="00E7227D">
      <w:pPr>
        <w:spacing w:line="240" w:lineRule="auto"/>
        <w:rPr>
          <w:rFonts w:ascii="Times" w:hAnsi="Times" w:cs="Times New Roman"/>
        </w:rPr>
      </w:pPr>
      <w:r w:rsidRPr="00CE6CC0">
        <w:rPr>
          <w:rFonts w:ascii="Times" w:hAnsi="Times" w:cs="Times New Roman"/>
        </w:rPr>
        <w:t>PORTUGAL. Regulamento da Comissão (CE) n.° 1725 de 21 de Setembro de 2003. Dispõe sobre a adoção e adaptação de certas normas internacionais de contabilidade. Disponível em: &lt;</w:t>
      </w:r>
      <w:r w:rsidRPr="00CE6CC0">
        <w:rPr>
          <w:rFonts w:ascii="Times" w:hAnsi="Times"/>
        </w:rPr>
        <w:t xml:space="preserve"> </w:t>
      </w:r>
      <w:hyperlink r:id="rId21">
        <w:r w:rsidRPr="00CE6CC0">
          <w:rPr>
            <w:rStyle w:val="Hyperlink"/>
            <w:rFonts w:ascii="Times" w:hAnsi="Times" w:cs="Times New Roman"/>
            <w:color w:val="auto"/>
            <w:u w:val="none"/>
          </w:rPr>
          <w:t>http://eur-lex.europa.eu/legal-content/PT/TXT/?uri=CELEX%3A32003R1725</w:t>
        </w:r>
      </w:hyperlink>
      <w:r w:rsidRPr="00CE6CC0">
        <w:rPr>
          <w:rFonts w:ascii="Times" w:hAnsi="Times" w:cs="Times New Roman"/>
        </w:rPr>
        <w:t>&gt; Acesso em 15.Out.2017</w:t>
      </w:r>
    </w:p>
    <w:p w14:paraId="173C207E" w14:textId="77777777" w:rsidR="00E7227D" w:rsidRPr="00CE6CC0" w:rsidRDefault="00E7227D" w:rsidP="00E7227D">
      <w:pPr>
        <w:spacing w:line="240" w:lineRule="auto"/>
        <w:rPr>
          <w:rFonts w:ascii="Times" w:hAnsi="Times" w:cs="Times New Roman"/>
        </w:rPr>
      </w:pPr>
      <w:r w:rsidRPr="00CE6CC0">
        <w:rPr>
          <w:rFonts w:ascii="Times" w:hAnsi="Times" w:cs="Times New Roman"/>
        </w:rPr>
        <w:t xml:space="preserve">SILVA, Paula Danyelle Almeida da Silva; MARQUES , José Augusto Veiga da Costa; SANTOS, José Luiz dos; SCHMIDT, Paulo; MACHADO, Nilson Perinazzo. </w:t>
      </w:r>
      <w:r w:rsidRPr="00CE6CC0">
        <w:rPr>
          <w:rFonts w:ascii="Times" w:hAnsi="Times" w:cs="Times New Roman"/>
          <w:i/>
          <w:iCs/>
        </w:rPr>
        <w:t>Fundamentos da teoria da contabilidade</w:t>
      </w:r>
      <w:r w:rsidRPr="00CE6CC0">
        <w:rPr>
          <w:rFonts w:ascii="Times" w:hAnsi="Times" w:cs="Times New Roman"/>
        </w:rPr>
        <w:t>. São Paulo: Atlas, 2005.</w:t>
      </w:r>
    </w:p>
    <w:p w14:paraId="78B73459" w14:textId="77777777" w:rsidR="00E7227D" w:rsidRPr="00CE6CC0" w:rsidRDefault="00E7227D" w:rsidP="00E7227D">
      <w:pPr>
        <w:autoSpaceDE w:val="0"/>
        <w:autoSpaceDN w:val="0"/>
        <w:adjustRightInd w:val="0"/>
        <w:spacing w:line="240" w:lineRule="auto"/>
        <w:rPr>
          <w:rFonts w:ascii="Times" w:hAnsi="Times" w:cs="Times New Roman"/>
        </w:rPr>
      </w:pPr>
      <w:r w:rsidRPr="005E6278">
        <w:rPr>
          <w:rFonts w:ascii="Times" w:eastAsia="Times New Roman" w:hAnsi="Times" w:cs="Times New Roman"/>
          <w:lang w:eastAsia="pt-BR"/>
        </w:rPr>
        <w:t xml:space="preserve">VASCONCELOS, Yumara L.; VIANA, Aurelina L. (2002). </w:t>
      </w:r>
      <w:r w:rsidRPr="00CE6CC0">
        <w:rPr>
          <w:rFonts w:ascii="Times" w:eastAsia="Times New Roman" w:hAnsi="Times" w:cs="Times New Roman"/>
          <w:lang w:eastAsia="pt-BR"/>
        </w:rPr>
        <w:t>“Evidenciação: forma e qualidade.”</w:t>
      </w:r>
      <w:r w:rsidRPr="00CE6CC0">
        <w:rPr>
          <w:rFonts w:ascii="Times" w:eastAsia="Times New Roman" w:hAnsi="Times" w:cs="Times New Roman"/>
          <w:i/>
          <w:iCs/>
          <w:lang w:eastAsia="pt-BR"/>
        </w:rPr>
        <w:t> Revista do Conselho Federal de Contabilidade, Brasília</w:t>
      </w:r>
      <w:r w:rsidRPr="00CE6CC0">
        <w:rPr>
          <w:rFonts w:ascii="Times" w:eastAsia="Times New Roman" w:hAnsi="Times" w:cs="Times New Roman"/>
          <w:lang w:eastAsia="pt-BR"/>
        </w:rPr>
        <w:t>, n. 134, p. 21-29, mar./abr.</w:t>
      </w:r>
    </w:p>
    <w:p w14:paraId="4440182D" w14:textId="0FB0AF01" w:rsidR="0065013D" w:rsidRDefault="0065013D" w:rsidP="008B60A3">
      <w:pPr>
        <w:spacing w:line="240" w:lineRule="auto"/>
        <w:rPr>
          <w:rFonts w:ascii="Times" w:hAnsi="Times" w:cs="Times New Roman"/>
          <w:szCs w:val="24"/>
        </w:rPr>
      </w:pPr>
    </w:p>
    <w:p w14:paraId="083681D3" w14:textId="45AF963B" w:rsidR="00D368C5" w:rsidRDefault="00D368C5" w:rsidP="008B60A3">
      <w:pPr>
        <w:spacing w:line="240" w:lineRule="auto"/>
        <w:rPr>
          <w:rFonts w:ascii="Times" w:hAnsi="Times" w:cs="Times New Roman"/>
          <w:szCs w:val="24"/>
        </w:rPr>
      </w:pPr>
      <w:r>
        <w:rPr>
          <w:rFonts w:ascii="Times" w:hAnsi="Times" w:cs="Times New Roman"/>
          <w:szCs w:val="24"/>
        </w:rPr>
        <w:t>Anexo I  - Lista de empresas</w:t>
      </w:r>
    </w:p>
    <w:p w14:paraId="6CCEC9CA" w14:textId="20E6DF50" w:rsidR="00D368C5" w:rsidRPr="00CE6CC0" w:rsidRDefault="00047280" w:rsidP="00D368C5">
      <w:pPr>
        <w:tabs>
          <w:tab w:val="left" w:pos="709"/>
        </w:tabs>
        <w:spacing w:after="0" w:line="240" w:lineRule="auto"/>
        <w:jc w:val="center"/>
        <w:rPr>
          <w:rFonts w:ascii="Times" w:hAnsi="Times" w:cs="Times New Roman"/>
          <w:b/>
          <w:bCs/>
        </w:rPr>
      </w:pPr>
      <w:r>
        <w:rPr>
          <w:rFonts w:ascii="Times" w:hAnsi="Times" w:cs="Times New Roman"/>
          <w:b/>
          <w:bCs/>
        </w:rPr>
        <w:lastRenderedPageBreak/>
        <w:t>Quadro 1</w:t>
      </w:r>
      <w:r w:rsidR="00D368C5" w:rsidRPr="00CE6CC0">
        <w:rPr>
          <w:rFonts w:ascii="Times" w:hAnsi="Times" w:cs="Times New Roman"/>
          <w:b/>
          <w:bCs/>
        </w:rPr>
        <w:t>: Empresas e seus respectivos setores EuroNext-Lisboa</w:t>
      </w:r>
    </w:p>
    <w:tbl>
      <w:tblPr>
        <w:tblW w:w="9190" w:type="dxa"/>
        <w:jc w:val="center"/>
        <w:tblCellMar>
          <w:left w:w="70" w:type="dxa"/>
          <w:right w:w="70" w:type="dxa"/>
        </w:tblCellMar>
        <w:tblLook w:val="04A0" w:firstRow="1" w:lastRow="0" w:firstColumn="1" w:lastColumn="0" w:noHBand="0" w:noVBand="1"/>
      </w:tblPr>
      <w:tblGrid>
        <w:gridCol w:w="3706"/>
        <w:gridCol w:w="3409"/>
        <w:gridCol w:w="2075"/>
      </w:tblGrid>
      <w:tr w:rsidR="00D368C5" w:rsidRPr="00CE6CC0" w14:paraId="16BA3D54" w14:textId="77777777" w:rsidTr="001B03DF">
        <w:trPr>
          <w:trHeight w:val="327"/>
          <w:jc w:val="center"/>
        </w:trPr>
        <w:tc>
          <w:tcPr>
            <w:tcW w:w="3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203C20"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 xml:space="preserve">Setor </w:t>
            </w:r>
          </w:p>
        </w:tc>
        <w:tc>
          <w:tcPr>
            <w:tcW w:w="34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AF6745" w14:textId="77777777" w:rsidR="00D368C5" w:rsidRPr="00CE6CC0" w:rsidRDefault="00D368C5" w:rsidP="001B03DF">
            <w:pPr>
              <w:spacing w:after="0" w:line="240" w:lineRule="auto"/>
              <w:jc w:val="center"/>
              <w:rPr>
                <w:rFonts w:ascii="Times" w:eastAsia="Times New Roman" w:hAnsi="Times" w:cs="Times New Roman"/>
                <w:b/>
                <w:bCs/>
                <w:sz w:val="22"/>
                <w:lang w:eastAsia="pt-BR"/>
              </w:rPr>
            </w:pPr>
            <w:r w:rsidRPr="00CE6CC0">
              <w:rPr>
                <w:rFonts w:ascii="Times" w:eastAsia="Times New Roman" w:hAnsi="Times" w:cs="Times New Roman"/>
                <w:b/>
                <w:bCs/>
                <w:sz w:val="22"/>
                <w:lang w:eastAsia="pt-BR"/>
              </w:rPr>
              <w:t>Denominação Social</w:t>
            </w:r>
          </w:p>
        </w:tc>
        <w:tc>
          <w:tcPr>
            <w:tcW w:w="20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19C57E"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Auditoria</w:t>
            </w:r>
          </w:p>
        </w:tc>
      </w:tr>
      <w:tr w:rsidR="00D368C5" w:rsidRPr="00CE6CC0" w14:paraId="75347D99" w14:textId="77777777" w:rsidTr="001B03DF">
        <w:trPr>
          <w:trHeight w:val="300"/>
          <w:jc w:val="center"/>
        </w:trPr>
        <w:tc>
          <w:tcPr>
            <w:tcW w:w="3706" w:type="dxa"/>
            <w:vMerge w:val="restart"/>
            <w:tcBorders>
              <w:top w:val="nil"/>
              <w:left w:val="single" w:sz="4" w:space="0" w:color="auto"/>
              <w:right w:val="single" w:sz="4" w:space="0" w:color="auto"/>
            </w:tcBorders>
            <w:shd w:val="clear" w:color="auto" w:fill="D9D9D9" w:themeFill="background1" w:themeFillShade="D9"/>
            <w:vAlign w:val="center"/>
            <w:hideMark/>
          </w:tcPr>
          <w:p w14:paraId="01CF8F18"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Bens Industriais</w:t>
            </w:r>
          </w:p>
        </w:tc>
        <w:tc>
          <w:tcPr>
            <w:tcW w:w="3409" w:type="dxa"/>
            <w:tcBorders>
              <w:top w:val="nil"/>
              <w:left w:val="nil"/>
              <w:bottom w:val="single" w:sz="4" w:space="0" w:color="auto"/>
              <w:right w:val="single" w:sz="4" w:space="0" w:color="auto"/>
            </w:tcBorders>
            <w:shd w:val="clear" w:color="auto" w:fill="auto"/>
            <w:noWrap/>
            <w:vAlign w:val="center"/>
            <w:hideMark/>
          </w:tcPr>
          <w:p w14:paraId="12B13B73"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ALTRI SGPS</w:t>
            </w:r>
          </w:p>
        </w:tc>
        <w:tc>
          <w:tcPr>
            <w:tcW w:w="2075" w:type="dxa"/>
            <w:tcBorders>
              <w:top w:val="nil"/>
              <w:left w:val="nil"/>
              <w:bottom w:val="single" w:sz="4" w:space="0" w:color="auto"/>
              <w:right w:val="single" w:sz="4" w:space="0" w:color="auto"/>
            </w:tcBorders>
            <w:shd w:val="clear" w:color="auto" w:fill="auto"/>
            <w:noWrap/>
            <w:vAlign w:val="center"/>
          </w:tcPr>
          <w:p w14:paraId="3442794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0692DC74" w14:textId="77777777" w:rsidTr="001B03DF">
        <w:trPr>
          <w:trHeight w:val="290"/>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79C355BB"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hideMark/>
          </w:tcPr>
          <w:p w14:paraId="55BCF093"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CIMPOR SGPS</w:t>
            </w:r>
          </w:p>
        </w:tc>
        <w:tc>
          <w:tcPr>
            <w:tcW w:w="2075" w:type="dxa"/>
            <w:tcBorders>
              <w:top w:val="nil"/>
              <w:left w:val="nil"/>
              <w:bottom w:val="single" w:sz="4" w:space="0" w:color="auto"/>
              <w:right w:val="single" w:sz="4" w:space="0" w:color="auto"/>
            </w:tcBorders>
            <w:shd w:val="clear" w:color="auto" w:fill="auto"/>
            <w:noWrap/>
            <w:vAlign w:val="center"/>
          </w:tcPr>
          <w:p w14:paraId="4C662B2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5CDDE108" w14:textId="77777777" w:rsidTr="001B03DF">
        <w:trPr>
          <w:trHeight w:val="295"/>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4B1FFAB9"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hideMark/>
          </w:tcPr>
          <w:p w14:paraId="24E267F8"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CTT CORREIOS PORTUGAL</w:t>
            </w:r>
          </w:p>
        </w:tc>
        <w:tc>
          <w:tcPr>
            <w:tcW w:w="2075" w:type="dxa"/>
            <w:tcBorders>
              <w:top w:val="nil"/>
              <w:left w:val="nil"/>
              <w:bottom w:val="single" w:sz="4" w:space="0" w:color="auto"/>
              <w:right w:val="single" w:sz="4" w:space="0" w:color="auto"/>
            </w:tcBorders>
            <w:shd w:val="clear" w:color="auto" w:fill="auto"/>
            <w:noWrap/>
            <w:vAlign w:val="center"/>
          </w:tcPr>
          <w:p w14:paraId="1CBB69F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076DEC72" w14:textId="77777777" w:rsidTr="001B03DF">
        <w:trPr>
          <w:trHeight w:val="300"/>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470ECCBE"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hideMark/>
          </w:tcPr>
          <w:p w14:paraId="1DD170E3"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LISGRAFICA</w:t>
            </w:r>
          </w:p>
        </w:tc>
        <w:tc>
          <w:tcPr>
            <w:tcW w:w="2075" w:type="dxa"/>
            <w:tcBorders>
              <w:top w:val="nil"/>
              <w:left w:val="nil"/>
              <w:bottom w:val="single" w:sz="4" w:space="0" w:color="auto"/>
              <w:right w:val="single" w:sz="4" w:space="0" w:color="auto"/>
            </w:tcBorders>
            <w:shd w:val="clear" w:color="auto" w:fill="auto"/>
            <w:noWrap/>
            <w:vAlign w:val="center"/>
          </w:tcPr>
          <w:p w14:paraId="06E4827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6F5BB012" w14:textId="77777777" w:rsidTr="001B03DF">
        <w:trPr>
          <w:trHeight w:val="147"/>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1F148365"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hideMark/>
          </w:tcPr>
          <w:p w14:paraId="71017315"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MATIFER</w:t>
            </w:r>
          </w:p>
        </w:tc>
        <w:tc>
          <w:tcPr>
            <w:tcW w:w="2075" w:type="dxa"/>
            <w:tcBorders>
              <w:top w:val="nil"/>
              <w:left w:val="nil"/>
              <w:bottom w:val="single" w:sz="4" w:space="0" w:color="auto"/>
              <w:right w:val="single" w:sz="4" w:space="0" w:color="auto"/>
            </w:tcBorders>
            <w:shd w:val="clear" w:color="auto" w:fill="auto"/>
            <w:noWrap/>
            <w:vAlign w:val="center"/>
          </w:tcPr>
          <w:p w14:paraId="5FA8F213"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B08C504" w14:textId="77777777" w:rsidTr="001B03DF">
        <w:trPr>
          <w:trHeight w:val="308"/>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2B7E9555"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32339BD9"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MOTA ENGIL</w:t>
            </w:r>
          </w:p>
        </w:tc>
        <w:tc>
          <w:tcPr>
            <w:tcW w:w="2075" w:type="dxa"/>
            <w:tcBorders>
              <w:top w:val="nil"/>
              <w:left w:val="nil"/>
              <w:bottom w:val="single" w:sz="4" w:space="0" w:color="auto"/>
              <w:right w:val="single" w:sz="4" w:space="0" w:color="auto"/>
            </w:tcBorders>
            <w:shd w:val="clear" w:color="auto" w:fill="auto"/>
            <w:noWrap/>
            <w:vAlign w:val="center"/>
          </w:tcPr>
          <w:p w14:paraId="00EE8FA1"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38AB8907" w14:textId="77777777" w:rsidTr="001B03DF">
        <w:trPr>
          <w:trHeight w:val="313"/>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7A7B06C3"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5CBF6A1D" w14:textId="77777777" w:rsidR="00D368C5" w:rsidRPr="00CE6CC0" w:rsidRDefault="00D368C5" w:rsidP="001B03DF">
            <w:pPr>
              <w:spacing w:after="0" w:line="240" w:lineRule="auto"/>
              <w:jc w:val="left"/>
              <w:rPr>
                <w:rFonts w:ascii="Times" w:eastAsia="Times New Roman" w:hAnsi="Times" w:cs="Times New Roman"/>
                <w:sz w:val="22"/>
                <w:lang w:eastAsia="pt-BR"/>
              </w:rPr>
            </w:pPr>
            <w:r w:rsidRPr="00CE6CC0">
              <w:rPr>
                <w:rFonts w:ascii="Times" w:eastAsia="Times New Roman" w:hAnsi="Times" w:cs="Times New Roman"/>
                <w:sz w:val="22"/>
                <w:lang w:eastAsia="pt-BR"/>
              </w:rPr>
              <w:t>SDC INV</w:t>
            </w:r>
          </w:p>
        </w:tc>
        <w:tc>
          <w:tcPr>
            <w:tcW w:w="2075" w:type="dxa"/>
            <w:tcBorders>
              <w:top w:val="nil"/>
              <w:left w:val="nil"/>
              <w:bottom w:val="single" w:sz="4" w:space="0" w:color="auto"/>
              <w:right w:val="single" w:sz="4" w:space="0" w:color="auto"/>
            </w:tcBorders>
            <w:shd w:val="clear" w:color="auto" w:fill="auto"/>
            <w:noWrap/>
            <w:vAlign w:val="center"/>
          </w:tcPr>
          <w:p w14:paraId="3656BD5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4146CEA7" w14:textId="77777777" w:rsidTr="001B03DF">
        <w:trPr>
          <w:trHeight w:val="285"/>
          <w:jc w:val="center"/>
        </w:trPr>
        <w:tc>
          <w:tcPr>
            <w:tcW w:w="3706" w:type="dxa"/>
            <w:vMerge/>
            <w:tcBorders>
              <w:left w:val="single" w:sz="4" w:space="0" w:color="auto"/>
              <w:right w:val="single" w:sz="4" w:space="0" w:color="auto"/>
            </w:tcBorders>
            <w:shd w:val="clear" w:color="auto" w:fill="D9D9D9" w:themeFill="background1" w:themeFillShade="D9"/>
            <w:vAlign w:val="center"/>
          </w:tcPr>
          <w:p w14:paraId="27B4AF21"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59AF59CE"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TEXEIRA DUARTE</w:t>
            </w:r>
          </w:p>
        </w:tc>
        <w:tc>
          <w:tcPr>
            <w:tcW w:w="2075" w:type="dxa"/>
            <w:tcBorders>
              <w:top w:val="nil"/>
              <w:left w:val="nil"/>
              <w:bottom w:val="single" w:sz="4" w:space="0" w:color="auto"/>
              <w:right w:val="single" w:sz="4" w:space="0" w:color="auto"/>
            </w:tcBorders>
            <w:shd w:val="clear" w:color="auto" w:fill="auto"/>
            <w:noWrap/>
            <w:vAlign w:val="center"/>
          </w:tcPr>
          <w:p w14:paraId="3715255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Outras</w:t>
            </w:r>
          </w:p>
        </w:tc>
      </w:tr>
      <w:tr w:rsidR="00D368C5" w:rsidRPr="00CE6CC0" w14:paraId="68B54099" w14:textId="77777777" w:rsidTr="001B03DF">
        <w:trPr>
          <w:trHeight w:val="328"/>
          <w:jc w:val="center"/>
        </w:trPr>
        <w:tc>
          <w:tcPr>
            <w:tcW w:w="3706"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5472B828"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500FA80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TOYOTA CAETANO</w:t>
            </w:r>
          </w:p>
        </w:tc>
        <w:tc>
          <w:tcPr>
            <w:tcW w:w="2075" w:type="dxa"/>
            <w:tcBorders>
              <w:top w:val="nil"/>
              <w:left w:val="nil"/>
              <w:bottom w:val="single" w:sz="4" w:space="0" w:color="auto"/>
              <w:right w:val="single" w:sz="4" w:space="0" w:color="auto"/>
            </w:tcBorders>
            <w:shd w:val="clear" w:color="auto" w:fill="auto"/>
            <w:noWrap/>
            <w:vAlign w:val="center"/>
          </w:tcPr>
          <w:p w14:paraId="03AEEC8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34042061" w14:textId="77777777" w:rsidTr="001B03DF">
        <w:trPr>
          <w:trHeight w:val="304"/>
          <w:jc w:val="center"/>
        </w:trPr>
        <w:tc>
          <w:tcPr>
            <w:tcW w:w="370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C7C1EF4"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Consumo Cíclico</w:t>
            </w:r>
          </w:p>
        </w:tc>
        <w:tc>
          <w:tcPr>
            <w:tcW w:w="3409" w:type="dxa"/>
            <w:tcBorders>
              <w:top w:val="single" w:sz="4" w:space="0" w:color="auto"/>
              <w:left w:val="nil"/>
              <w:bottom w:val="single" w:sz="4" w:space="0" w:color="auto"/>
              <w:right w:val="single" w:sz="4" w:space="0" w:color="auto"/>
            </w:tcBorders>
            <w:shd w:val="clear" w:color="auto" w:fill="auto"/>
            <w:noWrap/>
            <w:vAlign w:val="center"/>
          </w:tcPr>
          <w:p w14:paraId="10BC234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COFINA, SGPS</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CA2FE5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39A1371F" w14:textId="77777777" w:rsidTr="001B03DF">
        <w:trPr>
          <w:trHeight w:val="294"/>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1D5AFBBD"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4678349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IBERSOL SGPS</w:t>
            </w:r>
          </w:p>
        </w:tc>
        <w:tc>
          <w:tcPr>
            <w:tcW w:w="2075" w:type="dxa"/>
            <w:tcBorders>
              <w:top w:val="nil"/>
              <w:left w:val="nil"/>
              <w:bottom w:val="single" w:sz="4" w:space="0" w:color="auto"/>
              <w:right w:val="single" w:sz="4" w:space="0" w:color="auto"/>
            </w:tcBorders>
            <w:shd w:val="clear" w:color="auto" w:fill="auto"/>
            <w:noWrap/>
            <w:vAlign w:val="center"/>
          </w:tcPr>
          <w:p w14:paraId="0C87324C"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A5A6795" w14:textId="77777777" w:rsidTr="001B03DF">
        <w:trPr>
          <w:trHeight w:val="298"/>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78CC6BDC"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5552E1B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IMPRESA SGPS</w:t>
            </w:r>
          </w:p>
        </w:tc>
        <w:tc>
          <w:tcPr>
            <w:tcW w:w="2075" w:type="dxa"/>
            <w:tcBorders>
              <w:top w:val="nil"/>
              <w:left w:val="nil"/>
              <w:bottom w:val="single" w:sz="4" w:space="0" w:color="auto"/>
              <w:right w:val="single" w:sz="4" w:space="0" w:color="auto"/>
            </w:tcBorders>
            <w:shd w:val="clear" w:color="auto" w:fill="auto"/>
            <w:noWrap/>
            <w:vAlign w:val="center"/>
          </w:tcPr>
          <w:p w14:paraId="67A9060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5DC1E026" w14:textId="77777777" w:rsidTr="001B03DF">
        <w:trPr>
          <w:trHeight w:val="301"/>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59449BD0"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381A6ED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J MARTINS SGPS</w:t>
            </w:r>
          </w:p>
        </w:tc>
        <w:tc>
          <w:tcPr>
            <w:tcW w:w="2075" w:type="dxa"/>
            <w:tcBorders>
              <w:top w:val="nil"/>
              <w:left w:val="nil"/>
              <w:bottom w:val="single" w:sz="4" w:space="0" w:color="auto"/>
              <w:right w:val="single" w:sz="4" w:space="0" w:color="auto"/>
            </w:tcBorders>
            <w:shd w:val="clear" w:color="auto" w:fill="auto"/>
            <w:noWrap/>
            <w:vAlign w:val="center"/>
          </w:tcPr>
          <w:p w14:paraId="691B777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3018ECD4" w14:textId="77777777" w:rsidTr="001B03DF">
        <w:trPr>
          <w:trHeight w:val="291"/>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71C0F130"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11F1A10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MEDIA CAPITAL</w:t>
            </w:r>
          </w:p>
        </w:tc>
        <w:tc>
          <w:tcPr>
            <w:tcW w:w="2075" w:type="dxa"/>
            <w:tcBorders>
              <w:top w:val="nil"/>
              <w:left w:val="nil"/>
              <w:bottom w:val="single" w:sz="4" w:space="0" w:color="auto"/>
              <w:right w:val="single" w:sz="4" w:space="0" w:color="auto"/>
            </w:tcBorders>
            <w:shd w:val="clear" w:color="auto" w:fill="auto"/>
            <w:noWrap/>
            <w:vAlign w:val="center"/>
          </w:tcPr>
          <w:p w14:paraId="7DBBFE55"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301C09A8" w14:textId="77777777" w:rsidTr="001B03DF">
        <w:trPr>
          <w:trHeight w:val="295"/>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474254DC"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56BE5F9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SAG GEST</w:t>
            </w:r>
          </w:p>
        </w:tc>
        <w:tc>
          <w:tcPr>
            <w:tcW w:w="2075" w:type="dxa"/>
            <w:tcBorders>
              <w:top w:val="nil"/>
              <w:left w:val="nil"/>
              <w:bottom w:val="single" w:sz="4" w:space="0" w:color="auto"/>
              <w:right w:val="single" w:sz="4" w:space="0" w:color="auto"/>
            </w:tcBorders>
            <w:shd w:val="clear" w:color="auto" w:fill="auto"/>
            <w:noWrap/>
            <w:vAlign w:val="center"/>
          </w:tcPr>
          <w:p w14:paraId="60657A91"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38052C86" w14:textId="77777777" w:rsidTr="001B03DF">
        <w:trPr>
          <w:trHeight w:val="315"/>
          <w:jc w:val="center"/>
        </w:trPr>
        <w:tc>
          <w:tcPr>
            <w:tcW w:w="3706" w:type="dxa"/>
            <w:vMerge/>
            <w:tcBorders>
              <w:left w:val="single" w:sz="4" w:space="0" w:color="auto"/>
              <w:right w:val="single" w:sz="4" w:space="0" w:color="auto"/>
            </w:tcBorders>
            <w:shd w:val="clear" w:color="auto" w:fill="D9D9D9" w:themeFill="background1" w:themeFillShade="D9"/>
            <w:vAlign w:val="center"/>
            <w:hideMark/>
          </w:tcPr>
          <w:p w14:paraId="3EAB4AF9"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4C67FD3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SONAE</w:t>
            </w:r>
          </w:p>
        </w:tc>
        <w:tc>
          <w:tcPr>
            <w:tcW w:w="2075" w:type="dxa"/>
            <w:tcBorders>
              <w:top w:val="nil"/>
              <w:left w:val="nil"/>
              <w:bottom w:val="single" w:sz="4" w:space="0" w:color="auto"/>
              <w:right w:val="single" w:sz="4" w:space="0" w:color="auto"/>
            </w:tcBorders>
            <w:shd w:val="clear" w:color="auto" w:fill="auto"/>
            <w:noWrap/>
            <w:vAlign w:val="center"/>
          </w:tcPr>
          <w:p w14:paraId="4C6ACB4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7C2B1CB1" w14:textId="77777777" w:rsidTr="001B03DF">
        <w:trPr>
          <w:cantSplit/>
          <w:trHeight w:val="273"/>
          <w:jc w:val="center"/>
        </w:trPr>
        <w:tc>
          <w:tcPr>
            <w:tcW w:w="3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9E054"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Consumo não Cíclico</w:t>
            </w: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D39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CORTICEIRA AMORIM</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9F2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76C6F24" w14:textId="77777777" w:rsidTr="001B03DF">
        <w:trPr>
          <w:trHeight w:val="315"/>
          <w:jc w:val="center"/>
        </w:trPr>
        <w:tc>
          <w:tcPr>
            <w:tcW w:w="370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F8BDF8"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Materiais Básicos</w:t>
            </w:r>
          </w:p>
        </w:tc>
        <w:tc>
          <w:tcPr>
            <w:tcW w:w="3409" w:type="dxa"/>
            <w:tcBorders>
              <w:top w:val="nil"/>
              <w:left w:val="nil"/>
              <w:bottom w:val="single" w:sz="4" w:space="0" w:color="auto"/>
              <w:right w:val="single" w:sz="4" w:space="0" w:color="auto"/>
            </w:tcBorders>
            <w:shd w:val="clear" w:color="auto" w:fill="auto"/>
            <w:noWrap/>
            <w:vAlign w:val="center"/>
          </w:tcPr>
          <w:p w14:paraId="0D9C9CC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INAPA - INV.P. GESTÃO </w:t>
            </w:r>
          </w:p>
        </w:tc>
        <w:tc>
          <w:tcPr>
            <w:tcW w:w="2075" w:type="dxa"/>
            <w:tcBorders>
              <w:top w:val="nil"/>
              <w:left w:val="nil"/>
              <w:bottom w:val="single" w:sz="4" w:space="0" w:color="auto"/>
              <w:right w:val="single" w:sz="4" w:space="0" w:color="auto"/>
            </w:tcBorders>
            <w:shd w:val="clear" w:color="auto" w:fill="auto"/>
            <w:vAlign w:val="center"/>
          </w:tcPr>
          <w:p w14:paraId="4C363A6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3F4DDA18" w14:textId="77777777" w:rsidTr="001B03DF">
        <w:trPr>
          <w:trHeight w:val="354"/>
          <w:jc w:val="center"/>
        </w:trPr>
        <w:tc>
          <w:tcPr>
            <w:tcW w:w="370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F0A878"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2C7BEF1E"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RAMADA</w:t>
            </w:r>
          </w:p>
        </w:tc>
        <w:tc>
          <w:tcPr>
            <w:tcW w:w="2075" w:type="dxa"/>
            <w:tcBorders>
              <w:top w:val="nil"/>
              <w:left w:val="nil"/>
              <w:bottom w:val="single" w:sz="4" w:space="0" w:color="auto"/>
              <w:right w:val="single" w:sz="4" w:space="0" w:color="auto"/>
            </w:tcBorders>
            <w:shd w:val="clear" w:color="auto" w:fill="auto"/>
            <w:vAlign w:val="center"/>
          </w:tcPr>
          <w:p w14:paraId="29911E8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Deloitte</w:t>
            </w:r>
          </w:p>
        </w:tc>
      </w:tr>
      <w:tr w:rsidR="00D368C5" w:rsidRPr="00CE6CC0" w14:paraId="66083F71" w14:textId="77777777" w:rsidTr="001B03DF">
        <w:trPr>
          <w:trHeight w:val="344"/>
          <w:jc w:val="center"/>
        </w:trPr>
        <w:tc>
          <w:tcPr>
            <w:tcW w:w="370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B4A083"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347E9A9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SEMAPA</w:t>
            </w:r>
          </w:p>
        </w:tc>
        <w:tc>
          <w:tcPr>
            <w:tcW w:w="2075" w:type="dxa"/>
            <w:tcBorders>
              <w:top w:val="nil"/>
              <w:left w:val="nil"/>
              <w:bottom w:val="single" w:sz="4" w:space="0" w:color="auto"/>
              <w:right w:val="single" w:sz="4" w:space="0" w:color="auto"/>
            </w:tcBorders>
            <w:shd w:val="clear" w:color="auto" w:fill="auto"/>
            <w:vAlign w:val="center"/>
          </w:tcPr>
          <w:p w14:paraId="77FDFE0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4F53F4B2" w14:textId="77777777" w:rsidTr="001B03DF">
        <w:trPr>
          <w:trHeight w:val="351"/>
          <w:jc w:val="center"/>
        </w:trPr>
        <w:tc>
          <w:tcPr>
            <w:tcW w:w="370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76C2AB"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nil"/>
              <w:left w:val="nil"/>
              <w:bottom w:val="single" w:sz="4" w:space="0" w:color="auto"/>
              <w:right w:val="single" w:sz="4" w:space="0" w:color="auto"/>
            </w:tcBorders>
            <w:shd w:val="clear" w:color="auto" w:fill="auto"/>
            <w:noWrap/>
            <w:vAlign w:val="center"/>
          </w:tcPr>
          <w:p w14:paraId="1816F43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THE NAVIGATOR COMP</w:t>
            </w:r>
          </w:p>
        </w:tc>
        <w:tc>
          <w:tcPr>
            <w:tcW w:w="2075" w:type="dxa"/>
            <w:tcBorders>
              <w:top w:val="nil"/>
              <w:left w:val="nil"/>
              <w:bottom w:val="single" w:sz="4" w:space="0" w:color="auto"/>
              <w:right w:val="single" w:sz="4" w:space="0" w:color="auto"/>
            </w:tcBorders>
            <w:shd w:val="clear" w:color="auto" w:fill="auto"/>
            <w:vAlign w:val="center"/>
          </w:tcPr>
          <w:p w14:paraId="43A295A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6454FBBB" w14:textId="77777777" w:rsidTr="001B03DF">
        <w:trPr>
          <w:cantSplit/>
          <w:trHeight w:val="411"/>
          <w:jc w:val="center"/>
        </w:trPr>
        <w:tc>
          <w:tcPr>
            <w:tcW w:w="3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F2003"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 xml:space="preserve">Petróleo e Gás </w:t>
            </w:r>
          </w:p>
        </w:tc>
        <w:tc>
          <w:tcPr>
            <w:tcW w:w="3409" w:type="dxa"/>
            <w:tcBorders>
              <w:top w:val="single" w:sz="4" w:space="0" w:color="auto"/>
              <w:left w:val="nil"/>
              <w:right w:val="single" w:sz="4" w:space="0" w:color="auto"/>
            </w:tcBorders>
            <w:shd w:val="clear" w:color="auto" w:fill="auto"/>
            <w:noWrap/>
            <w:vAlign w:val="center"/>
          </w:tcPr>
          <w:p w14:paraId="24DBFAA5"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GALP ENERGIA - NOM</w:t>
            </w:r>
          </w:p>
        </w:tc>
        <w:tc>
          <w:tcPr>
            <w:tcW w:w="2075" w:type="dxa"/>
            <w:tcBorders>
              <w:top w:val="single" w:sz="4" w:space="0" w:color="auto"/>
              <w:left w:val="nil"/>
              <w:right w:val="single" w:sz="4" w:space="0" w:color="auto"/>
            </w:tcBorders>
            <w:shd w:val="clear" w:color="auto" w:fill="auto"/>
            <w:vAlign w:val="center"/>
          </w:tcPr>
          <w:p w14:paraId="262B407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3149E7C1"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A215B"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Saúde</w:t>
            </w: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E7387"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PHAROL</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E93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11C7C252"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jc w:val="center"/>
        </w:trPr>
        <w:tc>
          <w:tcPr>
            <w:tcW w:w="3706" w:type="dxa"/>
            <w:vMerge/>
            <w:shd w:val="clear" w:color="auto" w:fill="D9D9D9" w:themeFill="background1" w:themeFillShade="D9"/>
            <w:textDirection w:val="btLr"/>
            <w:vAlign w:val="center"/>
          </w:tcPr>
          <w:p w14:paraId="7B4CABDB" w14:textId="77777777" w:rsidR="00D368C5" w:rsidRPr="00CE6CC0" w:rsidRDefault="00D368C5" w:rsidP="001B03DF">
            <w:pPr>
              <w:spacing w:after="0" w:line="240" w:lineRule="auto"/>
              <w:jc w:val="center"/>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DB1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LUZ SAÚDE</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8009"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50789476"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69097"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Tecnologia da Informação</w:t>
            </w: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5D1A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COMPACTA</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344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162841FF"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jc w:val="center"/>
        </w:trPr>
        <w:tc>
          <w:tcPr>
            <w:tcW w:w="3706" w:type="dxa"/>
            <w:vMerge/>
            <w:shd w:val="clear" w:color="auto" w:fill="D9D9D9" w:themeFill="background1" w:themeFillShade="D9"/>
            <w:vAlign w:val="center"/>
            <w:hideMark/>
          </w:tcPr>
          <w:p w14:paraId="3CE463EF"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AA556"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GLINTT</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5A21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0F6A59D3"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jc w:val="center"/>
        </w:trPr>
        <w:tc>
          <w:tcPr>
            <w:tcW w:w="3706" w:type="dxa"/>
            <w:vMerge/>
            <w:shd w:val="clear" w:color="auto" w:fill="D9D9D9" w:themeFill="background1" w:themeFillShade="D9"/>
            <w:vAlign w:val="center"/>
            <w:hideMark/>
          </w:tcPr>
          <w:p w14:paraId="21788E02"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A95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ISA</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199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77AD1A73"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jc w:val="center"/>
        </w:trPr>
        <w:tc>
          <w:tcPr>
            <w:tcW w:w="3706" w:type="dxa"/>
            <w:vMerge/>
            <w:shd w:val="clear" w:color="auto" w:fill="D9D9D9" w:themeFill="background1" w:themeFillShade="D9"/>
            <w:vAlign w:val="center"/>
            <w:hideMark/>
          </w:tcPr>
          <w:p w14:paraId="7E04AE51"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623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NOVA BASE SGPS</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5D86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1E58DA70"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3706" w:type="dxa"/>
            <w:vMerge/>
            <w:shd w:val="clear" w:color="auto" w:fill="D9D9D9" w:themeFill="background1" w:themeFillShade="D9"/>
            <w:vAlign w:val="center"/>
          </w:tcPr>
          <w:p w14:paraId="46DC9ED8"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A20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REDITUS SGPS</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C7E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Outros</w:t>
            </w:r>
          </w:p>
        </w:tc>
      </w:tr>
      <w:tr w:rsidR="00D368C5" w:rsidRPr="00CE6CC0" w14:paraId="34F135AF"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jc w:val="center"/>
        </w:trPr>
        <w:tc>
          <w:tcPr>
            <w:tcW w:w="3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0B548"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Telecomunicações</w:t>
            </w: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66A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SONAECOM SGPS</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9997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319AE8D3"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jc w:val="center"/>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5511E" w14:textId="77777777" w:rsidR="00D368C5" w:rsidRPr="00CE6CC0" w:rsidRDefault="00D368C5" w:rsidP="001B03DF">
            <w:pPr>
              <w:spacing w:after="0" w:line="240" w:lineRule="auto"/>
              <w:jc w:val="center"/>
              <w:rPr>
                <w:rFonts w:ascii="Times" w:eastAsia="Times New Roman" w:hAnsi="Times" w:cs="Times New Roman"/>
                <w:b/>
                <w:bCs/>
                <w:color w:val="000000" w:themeColor="text1"/>
                <w:sz w:val="22"/>
                <w:lang w:eastAsia="pt-BR"/>
              </w:rPr>
            </w:pPr>
            <w:r w:rsidRPr="00CE6CC0">
              <w:rPr>
                <w:rFonts w:ascii="Times" w:eastAsia="Times New Roman" w:hAnsi="Times" w:cs="Times New Roman"/>
                <w:b/>
                <w:bCs/>
                <w:color w:val="000000" w:themeColor="text1"/>
                <w:sz w:val="22"/>
                <w:lang w:eastAsia="pt-BR"/>
              </w:rPr>
              <w:t>Utilidade Pública</w:t>
            </w: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5BDDE"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EDP ENERGIA ELÉTRICA</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E2E9"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2F7BEF01" w14:textId="77777777" w:rsidTr="001B0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center"/>
        </w:trPr>
        <w:tc>
          <w:tcPr>
            <w:tcW w:w="3706" w:type="dxa"/>
            <w:vMerge/>
            <w:shd w:val="clear" w:color="auto" w:fill="D9D9D9" w:themeFill="background1" w:themeFillShade="D9"/>
            <w:vAlign w:val="center"/>
            <w:hideMark/>
          </w:tcPr>
          <w:p w14:paraId="1EE2BAE0" w14:textId="77777777" w:rsidR="00D368C5" w:rsidRPr="00CE6CC0" w:rsidRDefault="00D368C5" w:rsidP="001B03DF">
            <w:pPr>
              <w:spacing w:after="0" w:line="240" w:lineRule="auto"/>
              <w:jc w:val="left"/>
              <w:rPr>
                <w:rFonts w:ascii="Times" w:eastAsia="Times New Roman" w:hAnsi="Times" w:cs="Times New Roman"/>
                <w:b/>
                <w:bCs/>
                <w:color w:val="000000"/>
                <w:sz w:val="22"/>
                <w:lang w:eastAsia="pt-BR"/>
              </w:rPr>
            </w:pPr>
          </w:p>
        </w:tc>
        <w:tc>
          <w:tcPr>
            <w:tcW w:w="3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7DD2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EDP RENOVÁVEIS</w:t>
            </w:r>
          </w:p>
        </w:tc>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B001"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bl>
    <w:p w14:paraId="408CCEA2" w14:textId="77777777" w:rsidR="00D368C5" w:rsidRPr="00CE6CC0" w:rsidRDefault="00D368C5" w:rsidP="00D368C5">
      <w:pPr>
        <w:tabs>
          <w:tab w:val="left" w:pos="709"/>
        </w:tabs>
        <w:spacing w:after="0" w:line="240" w:lineRule="auto"/>
        <w:jc w:val="left"/>
        <w:rPr>
          <w:rFonts w:ascii="Times" w:hAnsi="Times" w:cs="Times New Roman"/>
          <w:b/>
          <w:bCs/>
          <w:sz w:val="20"/>
          <w:szCs w:val="20"/>
        </w:rPr>
      </w:pPr>
      <w:r w:rsidRPr="00CE6CC0">
        <w:rPr>
          <w:rFonts w:ascii="Times" w:hAnsi="Times" w:cs="Times New Roman"/>
          <w:b/>
          <w:bCs/>
          <w:sz w:val="20"/>
          <w:szCs w:val="20"/>
        </w:rPr>
        <w:t xml:space="preserve"> Fonte: Elaborado pelos autores.</w:t>
      </w:r>
    </w:p>
    <w:p w14:paraId="74DFEB73" w14:textId="77777777" w:rsidR="00D368C5" w:rsidRPr="00CE6CC0" w:rsidRDefault="00D368C5" w:rsidP="00D368C5">
      <w:pPr>
        <w:tabs>
          <w:tab w:val="left" w:pos="709"/>
        </w:tabs>
        <w:spacing w:after="0" w:line="240" w:lineRule="auto"/>
        <w:jc w:val="left"/>
        <w:rPr>
          <w:rFonts w:ascii="Times" w:hAnsi="Times" w:cs="Times New Roman"/>
          <w:szCs w:val="24"/>
        </w:rPr>
      </w:pPr>
    </w:p>
    <w:p w14:paraId="4D58895F" w14:textId="77777777" w:rsidR="00D368C5" w:rsidRPr="00CE6CC0" w:rsidRDefault="00D368C5" w:rsidP="00D368C5">
      <w:pPr>
        <w:tabs>
          <w:tab w:val="left" w:pos="709"/>
        </w:tabs>
        <w:spacing w:after="0" w:line="240" w:lineRule="auto"/>
        <w:jc w:val="left"/>
        <w:rPr>
          <w:rFonts w:ascii="Times" w:hAnsi="Times" w:cs="Times New Roman"/>
          <w:szCs w:val="24"/>
        </w:rPr>
      </w:pPr>
    </w:p>
    <w:p w14:paraId="589ADF3F" w14:textId="77777777" w:rsidR="00D368C5" w:rsidRPr="00CE6CC0" w:rsidRDefault="00D368C5" w:rsidP="00D368C5">
      <w:pPr>
        <w:tabs>
          <w:tab w:val="left" w:pos="709"/>
        </w:tabs>
        <w:spacing w:after="0" w:line="240" w:lineRule="auto"/>
        <w:jc w:val="left"/>
        <w:rPr>
          <w:rFonts w:ascii="Times" w:hAnsi="Times" w:cs="Times New Roman"/>
          <w:szCs w:val="24"/>
        </w:rPr>
      </w:pPr>
    </w:p>
    <w:p w14:paraId="25EE585D" w14:textId="77777777" w:rsidR="00D368C5" w:rsidRPr="00CE6CC0" w:rsidRDefault="00D368C5" w:rsidP="00D368C5">
      <w:pPr>
        <w:tabs>
          <w:tab w:val="left" w:pos="709"/>
        </w:tabs>
        <w:spacing w:after="0" w:line="240" w:lineRule="auto"/>
        <w:rPr>
          <w:rFonts w:ascii="Times" w:hAnsi="Times" w:cs="Times New Roman"/>
          <w:b/>
          <w:bCs/>
          <w:szCs w:val="24"/>
        </w:rPr>
      </w:pPr>
    </w:p>
    <w:p w14:paraId="43C0B676" w14:textId="12536298" w:rsidR="00D368C5" w:rsidRPr="00CE6CC0" w:rsidRDefault="00047280" w:rsidP="00D368C5">
      <w:pPr>
        <w:tabs>
          <w:tab w:val="left" w:pos="709"/>
        </w:tabs>
        <w:spacing w:after="0" w:line="240" w:lineRule="auto"/>
        <w:jc w:val="center"/>
        <w:rPr>
          <w:rFonts w:ascii="Times" w:hAnsi="Times" w:cs="Times New Roman"/>
          <w:b/>
          <w:bCs/>
        </w:rPr>
      </w:pPr>
      <w:r>
        <w:rPr>
          <w:rFonts w:ascii="Times" w:hAnsi="Times" w:cs="Times New Roman"/>
          <w:b/>
          <w:bCs/>
        </w:rPr>
        <w:t>Quadro 2</w:t>
      </w:r>
      <w:r w:rsidR="00D368C5" w:rsidRPr="00CE6CC0">
        <w:rPr>
          <w:rFonts w:ascii="Times" w:hAnsi="Times" w:cs="Times New Roman"/>
          <w:b/>
          <w:bCs/>
        </w:rPr>
        <w:t xml:space="preserve">: Empresas e seus respectivos setores </w:t>
      </w:r>
      <w:r w:rsidR="00D368C5">
        <w:rPr>
          <w:rFonts w:ascii="Times" w:hAnsi="Times" w:cs="Times New Roman"/>
          <w:b/>
          <w:bCs/>
        </w:rPr>
        <w:t>B3</w:t>
      </w:r>
    </w:p>
    <w:tbl>
      <w:tblPr>
        <w:tblW w:w="9389" w:type="dxa"/>
        <w:tblInd w:w="-152" w:type="dxa"/>
        <w:tblCellMar>
          <w:left w:w="70" w:type="dxa"/>
          <w:right w:w="70" w:type="dxa"/>
        </w:tblCellMar>
        <w:tblLook w:val="04A0" w:firstRow="1" w:lastRow="0" w:firstColumn="1" w:lastColumn="0" w:noHBand="0" w:noVBand="1"/>
      </w:tblPr>
      <w:tblGrid>
        <w:gridCol w:w="2192"/>
        <w:gridCol w:w="5504"/>
        <w:gridCol w:w="1693"/>
      </w:tblGrid>
      <w:tr w:rsidR="00D368C5" w:rsidRPr="00CE6CC0" w14:paraId="26FC6858" w14:textId="77777777" w:rsidTr="001B03DF">
        <w:trPr>
          <w:trHeight w:val="348"/>
        </w:trPr>
        <w:tc>
          <w:tcPr>
            <w:tcW w:w="2192" w:type="dxa"/>
            <w:tcBorders>
              <w:top w:val="single" w:sz="8" w:space="0" w:color="auto"/>
              <w:left w:val="single" w:sz="8" w:space="0" w:color="auto"/>
              <w:bottom w:val="single" w:sz="4" w:space="0" w:color="auto"/>
              <w:right w:val="nil"/>
            </w:tcBorders>
            <w:shd w:val="clear" w:color="auto" w:fill="DBDBDB" w:themeFill="accent3" w:themeFillTint="66"/>
            <w:noWrap/>
            <w:vAlign w:val="center"/>
            <w:hideMark/>
          </w:tcPr>
          <w:p w14:paraId="53249C11"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 xml:space="preserve">SETOR </w:t>
            </w:r>
          </w:p>
        </w:tc>
        <w:tc>
          <w:tcPr>
            <w:tcW w:w="5504" w:type="dxa"/>
            <w:tcBorders>
              <w:top w:val="single" w:sz="8" w:space="0" w:color="auto"/>
              <w:left w:val="single" w:sz="8" w:space="0" w:color="auto"/>
              <w:bottom w:val="single" w:sz="8" w:space="0" w:color="auto"/>
              <w:right w:val="single" w:sz="8" w:space="0" w:color="auto"/>
            </w:tcBorders>
            <w:shd w:val="clear" w:color="auto" w:fill="DBDBDB" w:themeFill="accent3" w:themeFillTint="66"/>
            <w:noWrap/>
            <w:vAlign w:val="center"/>
            <w:hideMark/>
          </w:tcPr>
          <w:p w14:paraId="3E8411CA"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DENOMINAÇÃO SOCIAL</w:t>
            </w:r>
          </w:p>
        </w:tc>
        <w:tc>
          <w:tcPr>
            <w:tcW w:w="1693" w:type="dxa"/>
            <w:tcBorders>
              <w:top w:val="single" w:sz="8" w:space="0" w:color="auto"/>
              <w:left w:val="nil"/>
              <w:bottom w:val="single" w:sz="8" w:space="0" w:color="auto"/>
              <w:right w:val="single" w:sz="8" w:space="0" w:color="auto"/>
            </w:tcBorders>
            <w:shd w:val="clear" w:color="auto" w:fill="DBDBDB" w:themeFill="accent3" w:themeFillTint="66"/>
            <w:noWrap/>
            <w:vAlign w:val="center"/>
            <w:hideMark/>
          </w:tcPr>
          <w:p w14:paraId="6BAB5583"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AUDITORIA</w:t>
            </w:r>
          </w:p>
        </w:tc>
      </w:tr>
      <w:tr w:rsidR="00D368C5" w:rsidRPr="00CE6CC0" w14:paraId="36CA6A94" w14:textId="77777777" w:rsidTr="001B03DF">
        <w:trPr>
          <w:trHeight w:hRule="exact" w:val="284"/>
        </w:trPr>
        <w:tc>
          <w:tcPr>
            <w:tcW w:w="2192" w:type="dxa"/>
            <w:vMerge w:val="restart"/>
            <w:tcBorders>
              <w:top w:val="single" w:sz="4" w:space="0" w:color="auto"/>
              <w:left w:val="single" w:sz="8" w:space="0" w:color="auto"/>
              <w:bottom w:val="nil"/>
              <w:right w:val="single" w:sz="8" w:space="0" w:color="auto"/>
            </w:tcBorders>
            <w:shd w:val="clear" w:color="auto" w:fill="DBDBDB" w:themeFill="accent3" w:themeFillTint="66"/>
            <w:noWrap/>
            <w:vAlign w:val="center"/>
            <w:hideMark/>
          </w:tcPr>
          <w:p w14:paraId="3C3BC538"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Bens Industriais</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5C09D99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AZUL</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00ED9DC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74E31293"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0E678BB5"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356758D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CONTAX</w:t>
            </w:r>
          </w:p>
        </w:tc>
        <w:tc>
          <w:tcPr>
            <w:tcW w:w="1693" w:type="dxa"/>
            <w:tcBorders>
              <w:top w:val="nil"/>
              <w:left w:val="nil"/>
              <w:bottom w:val="single" w:sz="4" w:space="0" w:color="auto"/>
              <w:right w:val="single" w:sz="8" w:space="0" w:color="auto"/>
            </w:tcBorders>
            <w:shd w:val="clear" w:color="auto" w:fill="auto"/>
            <w:noWrap/>
            <w:vAlign w:val="center"/>
            <w:hideMark/>
          </w:tcPr>
          <w:p w14:paraId="58C767B9"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61830DBF"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464C809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FEE3655"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ECORODOVIAS</w:t>
            </w:r>
          </w:p>
        </w:tc>
        <w:tc>
          <w:tcPr>
            <w:tcW w:w="1693" w:type="dxa"/>
            <w:tcBorders>
              <w:top w:val="nil"/>
              <w:left w:val="nil"/>
              <w:bottom w:val="single" w:sz="4" w:space="0" w:color="auto"/>
              <w:right w:val="single" w:sz="8" w:space="0" w:color="auto"/>
            </w:tcBorders>
            <w:shd w:val="clear" w:color="auto" w:fill="auto"/>
            <w:noWrap/>
            <w:vAlign w:val="center"/>
            <w:hideMark/>
          </w:tcPr>
          <w:p w14:paraId="70A7696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61545D42"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7BB3524B"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2968F56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EMBRAER S/A</w:t>
            </w:r>
          </w:p>
        </w:tc>
        <w:tc>
          <w:tcPr>
            <w:tcW w:w="1693" w:type="dxa"/>
            <w:tcBorders>
              <w:top w:val="nil"/>
              <w:left w:val="nil"/>
              <w:bottom w:val="single" w:sz="4" w:space="0" w:color="auto"/>
              <w:right w:val="single" w:sz="8" w:space="0" w:color="auto"/>
            </w:tcBorders>
            <w:shd w:val="clear" w:color="auto" w:fill="auto"/>
            <w:noWrap/>
            <w:vAlign w:val="center"/>
            <w:hideMark/>
          </w:tcPr>
          <w:p w14:paraId="3A9AD7C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4224D311"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7C8A8BC2"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A20890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GOL</w:t>
            </w:r>
          </w:p>
        </w:tc>
        <w:tc>
          <w:tcPr>
            <w:tcW w:w="1693" w:type="dxa"/>
            <w:tcBorders>
              <w:top w:val="nil"/>
              <w:left w:val="nil"/>
              <w:bottom w:val="single" w:sz="4" w:space="0" w:color="auto"/>
              <w:right w:val="single" w:sz="8" w:space="0" w:color="auto"/>
            </w:tcBorders>
            <w:shd w:val="clear" w:color="auto" w:fill="auto"/>
            <w:noWrap/>
            <w:vAlign w:val="center"/>
            <w:hideMark/>
          </w:tcPr>
          <w:p w14:paraId="7D3700C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130AF0E2"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19C1FCD5"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20D400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GRUPO JSL</w:t>
            </w:r>
          </w:p>
        </w:tc>
        <w:tc>
          <w:tcPr>
            <w:tcW w:w="1693" w:type="dxa"/>
            <w:tcBorders>
              <w:top w:val="nil"/>
              <w:left w:val="nil"/>
              <w:bottom w:val="single" w:sz="4" w:space="0" w:color="auto"/>
              <w:right w:val="single" w:sz="8" w:space="0" w:color="auto"/>
            </w:tcBorders>
            <w:shd w:val="clear" w:color="auto" w:fill="auto"/>
            <w:noWrap/>
            <w:vAlign w:val="center"/>
            <w:hideMark/>
          </w:tcPr>
          <w:p w14:paraId="115F60A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29A5936C"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25C7D34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E007DE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MARCOPOLO</w:t>
            </w:r>
          </w:p>
        </w:tc>
        <w:tc>
          <w:tcPr>
            <w:tcW w:w="1693" w:type="dxa"/>
            <w:tcBorders>
              <w:top w:val="nil"/>
              <w:left w:val="nil"/>
              <w:bottom w:val="single" w:sz="4" w:space="0" w:color="auto"/>
              <w:right w:val="single" w:sz="8" w:space="0" w:color="auto"/>
            </w:tcBorders>
            <w:shd w:val="clear" w:color="auto" w:fill="auto"/>
            <w:noWrap/>
            <w:vAlign w:val="center"/>
            <w:hideMark/>
          </w:tcPr>
          <w:p w14:paraId="73EB6C45"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2704BF8"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50154F8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5C99D2B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MILLS ESTRUTURAS E SERVICOS DE ENGENHARIA S/A</w:t>
            </w:r>
          </w:p>
        </w:tc>
        <w:tc>
          <w:tcPr>
            <w:tcW w:w="1693" w:type="dxa"/>
            <w:tcBorders>
              <w:top w:val="nil"/>
              <w:left w:val="nil"/>
              <w:bottom w:val="single" w:sz="4" w:space="0" w:color="auto"/>
              <w:right w:val="single" w:sz="8" w:space="0" w:color="auto"/>
            </w:tcBorders>
            <w:shd w:val="clear" w:color="auto" w:fill="auto"/>
            <w:noWrap/>
            <w:vAlign w:val="center"/>
            <w:hideMark/>
          </w:tcPr>
          <w:p w14:paraId="14350E3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D351357" w14:textId="77777777" w:rsidTr="001B03DF">
        <w:trPr>
          <w:trHeight w:val="278"/>
        </w:trPr>
        <w:tc>
          <w:tcPr>
            <w:tcW w:w="2192" w:type="dxa"/>
            <w:vMerge/>
            <w:tcBorders>
              <w:top w:val="single" w:sz="4" w:space="0" w:color="auto"/>
              <w:left w:val="single" w:sz="8" w:space="0" w:color="auto"/>
              <w:bottom w:val="nil"/>
              <w:right w:val="single" w:sz="8" w:space="0" w:color="auto"/>
            </w:tcBorders>
            <w:vAlign w:val="center"/>
            <w:hideMark/>
          </w:tcPr>
          <w:p w14:paraId="391F5511"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020F3D3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TUPY </w:t>
            </w:r>
          </w:p>
        </w:tc>
        <w:tc>
          <w:tcPr>
            <w:tcW w:w="1693" w:type="dxa"/>
            <w:tcBorders>
              <w:top w:val="nil"/>
              <w:left w:val="nil"/>
              <w:bottom w:val="single" w:sz="4" w:space="0" w:color="auto"/>
              <w:right w:val="single" w:sz="8" w:space="0" w:color="auto"/>
            </w:tcBorders>
            <w:shd w:val="clear" w:color="auto" w:fill="auto"/>
            <w:noWrap/>
            <w:vAlign w:val="center"/>
            <w:hideMark/>
          </w:tcPr>
          <w:p w14:paraId="1DABA71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6FE11A7" w14:textId="77777777" w:rsidTr="001B03DF">
        <w:trPr>
          <w:trHeight w:val="278"/>
        </w:trPr>
        <w:tc>
          <w:tcPr>
            <w:tcW w:w="2192" w:type="dxa"/>
            <w:vMerge/>
            <w:tcBorders>
              <w:top w:val="single" w:sz="4" w:space="0" w:color="auto"/>
              <w:left w:val="single" w:sz="8" w:space="0" w:color="auto"/>
              <w:bottom w:val="single" w:sz="4" w:space="0" w:color="auto"/>
              <w:right w:val="single" w:sz="8" w:space="0" w:color="auto"/>
            </w:tcBorders>
            <w:vAlign w:val="center"/>
            <w:hideMark/>
          </w:tcPr>
          <w:p w14:paraId="5833CB1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560427E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WEG SA</w:t>
            </w:r>
          </w:p>
        </w:tc>
        <w:tc>
          <w:tcPr>
            <w:tcW w:w="1693" w:type="dxa"/>
            <w:tcBorders>
              <w:top w:val="nil"/>
              <w:left w:val="nil"/>
              <w:bottom w:val="single" w:sz="4" w:space="0" w:color="auto"/>
              <w:right w:val="single" w:sz="8" w:space="0" w:color="auto"/>
            </w:tcBorders>
            <w:shd w:val="clear" w:color="auto" w:fill="auto"/>
            <w:noWrap/>
            <w:vAlign w:val="center"/>
            <w:hideMark/>
          </w:tcPr>
          <w:p w14:paraId="787C6365"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33825B45" w14:textId="77777777" w:rsidTr="001B03DF">
        <w:trPr>
          <w:trHeight w:val="278"/>
        </w:trPr>
        <w:tc>
          <w:tcPr>
            <w:tcW w:w="2192" w:type="dxa"/>
            <w:vMerge w:val="restart"/>
            <w:tcBorders>
              <w:top w:val="single" w:sz="4" w:space="0" w:color="auto"/>
              <w:left w:val="single" w:sz="8" w:space="0" w:color="auto"/>
              <w:right w:val="single" w:sz="8" w:space="0" w:color="auto"/>
            </w:tcBorders>
            <w:shd w:val="clear" w:color="auto" w:fill="DBDBDB" w:themeFill="accent3" w:themeFillTint="66"/>
            <w:noWrap/>
            <w:vAlign w:val="center"/>
            <w:hideMark/>
          </w:tcPr>
          <w:p w14:paraId="6BF80629"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Consumo Cíclico</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2511529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AREZZO</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249998A9"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187434AF" w14:textId="77777777" w:rsidTr="001B03DF">
        <w:trPr>
          <w:trHeight w:val="278"/>
        </w:trPr>
        <w:tc>
          <w:tcPr>
            <w:tcW w:w="2192" w:type="dxa"/>
            <w:vMerge/>
            <w:tcBorders>
              <w:left w:val="single" w:sz="8" w:space="0" w:color="auto"/>
              <w:right w:val="single" w:sz="8" w:space="0" w:color="auto"/>
            </w:tcBorders>
            <w:vAlign w:val="center"/>
            <w:hideMark/>
          </w:tcPr>
          <w:p w14:paraId="2AF431AC" w14:textId="77777777" w:rsidR="00D368C5" w:rsidRPr="00CE6CC0" w:rsidRDefault="00D368C5" w:rsidP="001B03DF">
            <w:pPr>
              <w:spacing w:after="0" w:line="240" w:lineRule="auto"/>
              <w:jc w:val="center"/>
              <w:rPr>
                <w:rFonts w:ascii="Times" w:eastAsia="Times New Roman" w:hAnsi="Times" w:cs="Times New Roman"/>
                <w:b/>
                <w:bCs/>
                <w:color w:val="262626"/>
                <w:szCs w:val="24"/>
                <w:lang w:eastAsia="pt-BR"/>
              </w:rPr>
            </w:pPr>
          </w:p>
        </w:tc>
        <w:tc>
          <w:tcPr>
            <w:tcW w:w="5504" w:type="dxa"/>
            <w:tcBorders>
              <w:top w:val="single" w:sz="4" w:space="0" w:color="auto"/>
              <w:left w:val="nil"/>
              <w:bottom w:val="single" w:sz="4" w:space="0" w:color="auto"/>
              <w:right w:val="single" w:sz="4" w:space="0" w:color="auto"/>
            </w:tcBorders>
            <w:shd w:val="clear" w:color="auto" w:fill="auto"/>
            <w:noWrap/>
            <w:vAlign w:val="bottom"/>
          </w:tcPr>
          <w:p w14:paraId="75225186"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CIA HERING</w:t>
            </w:r>
          </w:p>
        </w:tc>
        <w:tc>
          <w:tcPr>
            <w:tcW w:w="1693" w:type="dxa"/>
            <w:tcBorders>
              <w:top w:val="single" w:sz="4" w:space="0" w:color="auto"/>
              <w:left w:val="nil"/>
              <w:bottom w:val="single" w:sz="4" w:space="0" w:color="auto"/>
              <w:right w:val="single" w:sz="8" w:space="0" w:color="auto"/>
            </w:tcBorders>
            <w:shd w:val="clear" w:color="auto" w:fill="auto"/>
            <w:noWrap/>
            <w:vAlign w:val="center"/>
          </w:tcPr>
          <w:p w14:paraId="409E6AC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2CB0836B" w14:textId="77777777" w:rsidTr="001B03DF">
        <w:trPr>
          <w:trHeight w:val="278"/>
        </w:trPr>
        <w:tc>
          <w:tcPr>
            <w:tcW w:w="2192" w:type="dxa"/>
            <w:vMerge/>
            <w:tcBorders>
              <w:left w:val="single" w:sz="8" w:space="0" w:color="auto"/>
              <w:right w:val="single" w:sz="8" w:space="0" w:color="auto"/>
            </w:tcBorders>
            <w:vAlign w:val="center"/>
            <w:hideMark/>
          </w:tcPr>
          <w:p w14:paraId="3D15DAD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0A7A4075"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EVEN</w:t>
            </w:r>
          </w:p>
        </w:tc>
        <w:tc>
          <w:tcPr>
            <w:tcW w:w="1693" w:type="dxa"/>
            <w:tcBorders>
              <w:top w:val="nil"/>
              <w:left w:val="nil"/>
              <w:bottom w:val="single" w:sz="4" w:space="0" w:color="auto"/>
              <w:right w:val="single" w:sz="8" w:space="0" w:color="auto"/>
            </w:tcBorders>
            <w:shd w:val="clear" w:color="auto" w:fill="auto"/>
            <w:noWrap/>
            <w:vAlign w:val="center"/>
          </w:tcPr>
          <w:p w14:paraId="0F0778C3"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1CC2D367" w14:textId="77777777" w:rsidTr="001B03DF">
        <w:trPr>
          <w:trHeight w:val="278"/>
        </w:trPr>
        <w:tc>
          <w:tcPr>
            <w:tcW w:w="2192" w:type="dxa"/>
            <w:vMerge/>
            <w:tcBorders>
              <w:left w:val="single" w:sz="8" w:space="0" w:color="auto"/>
              <w:right w:val="single" w:sz="8" w:space="0" w:color="auto"/>
            </w:tcBorders>
            <w:vAlign w:val="center"/>
            <w:hideMark/>
          </w:tcPr>
          <w:p w14:paraId="0AAE6AA7"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603E46C8"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EZ TEC</w:t>
            </w:r>
          </w:p>
        </w:tc>
        <w:tc>
          <w:tcPr>
            <w:tcW w:w="1693" w:type="dxa"/>
            <w:tcBorders>
              <w:top w:val="nil"/>
              <w:left w:val="nil"/>
              <w:bottom w:val="single" w:sz="4" w:space="0" w:color="auto"/>
              <w:right w:val="single" w:sz="8" w:space="0" w:color="auto"/>
            </w:tcBorders>
            <w:shd w:val="clear" w:color="auto" w:fill="auto"/>
            <w:noWrap/>
            <w:vAlign w:val="center"/>
          </w:tcPr>
          <w:p w14:paraId="502E56C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23836DBD" w14:textId="77777777" w:rsidTr="001B03DF">
        <w:trPr>
          <w:trHeight w:val="278"/>
        </w:trPr>
        <w:tc>
          <w:tcPr>
            <w:tcW w:w="2192" w:type="dxa"/>
            <w:vMerge/>
            <w:tcBorders>
              <w:left w:val="single" w:sz="8" w:space="0" w:color="auto"/>
              <w:right w:val="single" w:sz="8" w:space="0" w:color="auto"/>
            </w:tcBorders>
            <w:vAlign w:val="center"/>
            <w:hideMark/>
          </w:tcPr>
          <w:p w14:paraId="7934CD1D"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79ADC24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GAFISA</w:t>
            </w:r>
          </w:p>
        </w:tc>
        <w:tc>
          <w:tcPr>
            <w:tcW w:w="1693" w:type="dxa"/>
            <w:tcBorders>
              <w:top w:val="nil"/>
              <w:left w:val="nil"/>
              <w:bottom w:val="single" w:sz="4" w:space="0" w:color="auto"/>
              <w:right w:val="single" w:sz="8" w:space="0" w:color="auto"/>
            </w:tcBorders>
            <w:shd w:val="clear" w:color="auto" w:fill="auto"/>
            <w:noWrap/>
            <w:vAlign w:val="center"/>
          </w:tcPr>
          <w:p w14:paraId="1A03EC0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FBB8E2A" w14:textId="77777777" w:rsidTr="001B03DF">
        <w:trPr>
          <w:trHeight w:val="278"/>
        </w:trPr>
        <w:tc>
          <w:tcPr>
            <w:tcW w:w="2192" w:type="dxa"/>
            <w:vMerge/>
            <w:tcBorders>
              <w:left w:val="single" w:sz="8" w:space="0" w:color="auto"/>
              <w:right w:val="single" w:sz="8" w:space="0" w:color="auto"/>
            </w:tcBorders>
            <w:vAlign w:val="center"/>
            <w:hideMark/>
          </w:tcPr>
          <w:p w14:paraId="0415BC4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single" w:sz="4" w:space="0" w:color="auto"/>
              <w:left w:val="nil"/>
              <w:bottom w:val="single" w:sz="4" w:space="0" w:color="auto"/>
              <w:right w:val="single" w:sz="4" w:space="0" w:color="auto"/>
            </w:tcBorders>
            <w:shd w:val="clear" w:color="auto" w:fill="auto"/>
            <w:noWrap/>
            <w:vAlign w:val="bottom"/>
          </w:tcPr>
          <w:p w14:paraId="50E5011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MARISA</w:t>
            </w:r>
          </w:p>
        </w:tc>
        <w:tc>
          <w:tcPr>
            <w:tcW w:w="1693" w:type="dxa"/>
            <w:tcBorders>
              <w:top w:val="nil"/>
              <w:left w:val="nil"/>
              <w:bottom w:val="single" w:sz="4" w:space="0" w:color="auto"/>
              <w:right w:val="single" w:sz="8" w:space="0" w:color="auto"/>
            </w:tcBorders>
            <w:shd w:val="clear" w:color="auto" w:fill="auto"/>
            <w:noWrap/>
            <w:vAlign w:val="center"/>
          </w:tcPr>
          <w:p w14:paraId="7C673DD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A701B92" w14:textId="77777777" w:rsidTr="001B03DF">
        <w:trPr>
          <w:trHeight w:val="278"/>
        </w:trPr>
        <w:tc>
          <w:tcPr>
            <w:tcW w:w="2192" w:type="dxa"/>
            <w:vMerge/>
            <w:tcBorders>
              <w:left w:val="single" w:sz="8" w:space="0" w:color="auto"/>
              <w:right w:val="single" w:sz="8" w:space="0" w:color="auto"/>
            </w:tcBorders>
            <w:vAlign w:val="center"/>
            <w:hideMark/>
          </w:tcPr>
          <w:p w14:paraId="794991E2"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166E86E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METAL LEVE</w:t>
            </w:r>
          </w:p>
        </w:tc>
        <w:tc>
          <w:tcPr>
            <w:tcW w:w="1693" w:type="dxa"/>
            <w:tcBorders>
              <w:top w:val="nil"/>
              <w:left w:val="nil"/>
              <w:bottom w:val="single" w:sz="4" w:space="0" w:color="auto"/>
              <w:right w:val="single" w:sz="8" w:space="0" w:color="auto"/>
            </w:tcBorders>
            <w:shd w:val="clear" w:color="auto" w:fill="auto"/>
            <w:noWrap/>
            <w:vAlign w:val="center"/>
          </w:tcPr>
          <w:p w14:paraId="293968A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78BB9C0" w14:textId="77777777" w:rsidTr="001B03DF">
        <w:trPr>
          <w:trHeight w:val="278"/>
        </w:trPr>
        <w:tc>
          <w:tcPr>
            <w:tcW w:w="2192" w:type="dxa"/>
            <w:vMerge/>
            <w:tcBorders>
              <w:left w:val="single" w:sz="8" w:space="0" w:color="auto"/>
              <w:right w:val="single" w:sz="8" w:space="0" w:color="auto"/>
            </w:tcBorders>
            <w:vAlign w:val="center"/>
            <w:hideMark/>
          </w:tcPr>
          <w:p w14:paraId="59DE682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444EC89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MOVIDA</w:t>
            </w:r>
          </w:p>
        </w:tc>
        <w:tc>
          <w:tcPr>
            <w:tcW w:w="1693" w:type="dxa"/>
            <w:tcBorders>
              <w:top w:val="nil"/>
              <w:left w:val="nil"/>
              <w:bottom w:val="single" w:sz="4" w:space="0" w:color="auto"/>
              <w:right w:val="single" w:sz="8" w:space="0" w:color="auto"/>
            </w:tcBorders>
            <w:shd w:val="clear" w:color="auto" w:fill="auto"/>
            <w:noWrap/>
            <w:vAlign w:val="center"/>
          </w:tcPr>
          <w:p w14:paraId="1D72C8B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6DAFF477" w14:textId="77777777" w:rsidTr="001B03DF">
        <w:trPr>
          <w:trHeight w:val="278"/>
        </w:trPr>
        <w:tc>
          <w:tcPr>
            <w:tcW w:w="2192" w:type="dxa"/>
            <w:vMerge/>
            <w:tcBorders>
              <w:left w:val="single" w:sz="8" w:space="0" w:color="auto"/>
              <w:right w:val="single" w:sz="8" w:space="0" w:color="auto"/>
            </w:tcBorders>
            <w:vAlign w:val="center"/>
            <w:hideMark/>
          </w:tcPr>
          <w:p w14:paraId="2661D258"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11CF3A6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MRV ENGENHARIA</w:t>
            </w:r>
          </w:p>
        </w:tc>
        <w:tc>
          <w:tcPr>
            <w:tcW w:w="1693" w:type="dxa"/>
            <w:tcBorders>
              <w:top w:val="nil"/>
              <w:left w:val="nil"/>
              <w:bottom w:val="single" w:sz="4" w:space="0" w:color="auto"/>
              <w:right w:val="single" w:sz="8" w:space="0" w:color="auto"/>
            </w:tcBorders>
            <w:shd w:val="clear" w:color="auto" w:fill="auto"/>
            <w:noWrap/>
            <w:vAlign w:val="center"/>
          </w:tcPr>
          <w:p w14:paraId="560089B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4D815CFD" w14:textId="77777777" w:rsidTr="001B03DF">
        <w:trPr>
          <w:trHeight w:val="278"/>
        </w:trPr>
        <w:tc>
          <w:tcPr>
            <w:tcW w:w="2192" w:type="dxa"/>
            <w:vMerge/>
            <w:tcBorders>
              <w:left w:val="single" w:sz="8" w:space="0" w:color="auto"/>
              <w:bottom w:val="single" w:sz="4" w:space="0" w:color="auto"/>
              <w:right w:val="single" w:sz="8" w:space="0" w:color="auto"/>
            </w:tcBorders>
            <w:vAlign w:val="center"/>
            <w:hideMark/>
          </w:tcPr>
          <w:p w14:paraId="124261E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17B2D1A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TECNISA</w:t>
            </w:r>
          </w:p>
        </w:tc>
        <w:tc>
          <w:tcPr>
            <w:tcW w:w="1693" w:type="dxa"/>
            <w:tcBorders>
              <w:top w:val="nil"/>
              <w:left w:val="nil"/>
              <w:bottom w:val="single" w:sz="4" w:space="0" w:color="auto"/>
              <w:right w:val="single" w:sz="8" w:space="0" w:color="auto"/>
            </w:tcBorders>
            <w:shd w:val="clear" w:color="auto" w:fill="auto"/>
            <w:noWrap/>
            <w:vAlign w:val="center"/>
          </w:tcPr>
          <w:p w14:paraId="4222D63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453AEAAF" w14:textId="77777777" w:rsidTr="001B03DF">
        <w:trPr>
          <w:trHeight w:val="278"/>
        </w:trPr>
        <w:tc>
          <w:tcPr>
            <w:tcW w:w="2192" w:type="dxa"/>
            <w:vMerge w:val="restart"/>
            <w:tcBorders>
              <w:top w:val="single" w:sz="4" w:space="0" w:color="auto"/>
              <w:left w:val="single" w:sz="8" w:space="0" w:color="auto"/>
              <w:bottom w:val="single" w:sz="4" w:space="0" w:color="000000" w:themeColor="text1"/>
              <w:right w:val="single" w:sz="8" w:space="0" w:color="auto"/>
            </w:tcBorders>
            <w:shd w:val="clear" w:color="auto" w:fill="DBDBDB" w:themeFill="accent3" w:themeFillTint="66"/>
            <w:noWrap/>
            <w:vAlign w:val="center"/>
            <w:hideMark/>
          </w:tcPr>
          <w:p w14:paraId="76D941A7"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Consumo não Cíclico</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07B8AB8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AMBEV S.A</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5298A691"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1B861A13"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004A0588"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32C2F09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BRASILAGRO</w:t>
            </w:r>
          </w:p>
        </w:tc>
        <w:tc>
          <w:tcPr>
            <w:tcW w:w="1693" w:type="dxa"/>
            <w:tcBorders>
              <w:top w:val="nil"/>
              <w:left w:val="nil"/>
              <w:bottom w:val="single" w:sz="4" w:space="0" w:color="auto"/>
              <w:right w:val="single" w:sz="8" w:space="0" w:color="auto"/>
            </w:tcBorders>
            <w:shd w:val="clear" w:color="auto" w:fill="auto"/>
            <w:noWrap/>
            <w:vAlign w:val="center"/>
            <w:hideMark/>
          </w:tcPr>
          <w:p w14:paraId="7B94EE4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3B460F41"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02A2FD2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1D7A2F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BRF S.A</w:t>
            </w:r>
          </w:p>
        </w:tc>
        <w:tc>
          <w:tcPr>
            <w:tcW w:w="1693" w:type="dxa"/>
            <w:tcBorders>
              <w:top w:val="nil"/>
              <w:left w:val="nil"/>
              <w:bottom w:val="single" w:sz="4" w:space="0" w:color="auto"/>
              <w:right w:val="single" w:sz="8" w:space="0" w:color="auto"/>
            </w:tcBorders>
            <w:shd w:val="clear" w:color="auto" w:fill="auto"/>
            <w:noWrap/>
            <w:vAlign w:val="center"/>
            <w:hideMark/>
          </w:tcPr>
          <w:p w14:paraId="089445C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593671E0"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09C4054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00B7EB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FORNO DE MINAS ALIMENTOS S.A.</w:t>
            </w:r>
          </w:p>
        </w:tc>
        <w:tc>
          <w:tcPr>
            <w:tcW w:w="1693" w:type="dxa"/>
            <w:tcBorders>
              <w:top w:val="nil"/>
              <w:left w:val="nil"/>
              <w:bottom w:val="single" w:sz="4" w:space="0" w:color="auto"/>
              <w:right w:val="single" w:sz="8" w:space="0" w:color="auto"/>
            </w:tcBorders>
            <w:shd w:val="clear" w:color="auto" w:fill="auto"/>
            <w:noWrap/>
            <w:vAlign w:val="center"/>
            <w:hideMark/>
          </w:tcPr>
          <w:p w14:paraId="1409DB8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3905393A"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18BB76F1"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ACEC9D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GRUPO JBS</w:t>
            </w:r>
          </w:p>
        </w:tc>
        <w:tc>
          <w:tcPr>
            <w:tcW w:w="1693" w:type="dxa"/>
            <w:tcBorders>
              <w:top w:val="nil"/>
              <w:left w:val="nil"/>
              <w:bottom w:val="single" w:sz="4" w:space="0" w:color="auto"/>
              <w:right w:val="single" w:sz="8" w:space="0" w:color="auto"/>
            </w:tcBorders>
            <w:shd w:val="clear" w:color="auto" w:fill="auto"/>
            <w:noWrap/>
            <w:vAlign w:val="center"/>
            <w:hideMark/>
          </w:tcPr>
          <w:p w14:paraId="1A2282E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29DF873A"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18714754"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CCA328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HYPERMARCAS</w:t>
            </w:r>
          </w:p>
        </w:tc>
        <w:tc>
          <w:tcPr>
            <w:tcW w:w="1693" w:type="dxa"/>
            <w:tcBorders>
              <w:top w:val="nil"/>
              <w:left w:val="nil"/>
              <w:bottom w:val="single" w:sz="4" w:space="0" w:color="auto"/>
              <w:right w:val="single" w:sz="8" w:space="0" w:color="auto"/>
            </w:tcBorders>
            <w:shd w:val="clear" w:color="auto" w:fill="auto"/>
            <w:noWrap/>
            <w:vAlign w:val="center"/>
            <w:hideMark/>
          </w:tcPr>
          <w:p w14:paraId="0400B2F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A8611C8"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7F53847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20D1B73"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J. MACEDO</w:t>
            </w:r>
          </w:p>
        </w:tc>
        <w:tc>
          <w:tcPr>
            <w:tcW w:w="1693" w:type="dxa"/>
            <w:tcBorders>
              <w:top w:val="nil"/>
              <w:left w:val="nil"/>
              <w:bottom w:val="single" w:sz="4" w:space="0" w:color="auto"/>
              <w:right w:val="single" w:sz="8" w:space="0" w:color="auto"/>
            </w:tcBorders>
            <w:shd w:val="clear" w:color="auto" w:fill="auto"/>
            <w:noWrap/>
            <w:vAlign w:val="center"/>
            <w:hideMark/>
          </w:tcPr>
          <w:p w14:paraId="0BE2E55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3B04057"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2464D5D6"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B6C44B7"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 DIASBRANCO</w:t>
            </w:r>
          </w:p>
        </w:tc>
        <w:tc>
          <w:tcPr>
            <w:tcW w:w="1693" w:type="dxa"/>
            <w:tcBorders>
              <w:top w:val="nil"/>
              <w:left w:val="nil"/>
              <w:bottom w:val="single" w:sz="4" w:space="0" w:color="auto"/>
              <w:right w:val="single" w:sz="8" w:space="0" w:color="auto"/>
            </w:tcBorders>
            <w:shd w:val="clear" w:color="auto" w:fill="auto"/>
            <w:noWrap/>
            <w:vAlign w:val="center"/>
            <w:hideMark/>
          </w:tcPr>
          <w:p w14:paraId="1394EF6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1185C295"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2BA13D3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3B6719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NATURA</w:t>
            </w:r>
          </w:p>
        </w:tc>
        <w:tc>
          <w:tcPr>
            <w:tcW w:w="1693" w:type="dxa"/>
            <w:tcBorders>
              <w:top w:val="nil"/>
              <w:left w:val="nil"/>
              <w:bottom w:val="single" w:sz="4" w:space="0" w:color="auto"/>
              <w:right w:val="single" w:sz="8" w:space="0" w:color="auto"/>
            </w:tcBorders>
            <w:shd w:val="clear" w:color="auto" w:fill="auto"/>
            <w:noWrap/>
            <w:vAlign w:val="center"/>
            <w:hideMark/>
          </w:tcPr>
          <w:p w14:paraId="6930D5C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0028A14F"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538683B4"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A77655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PAO DE ACUCAR</w:t>
            </w:r>
          </w:p>
        </w:tc>
        <w:tc>
          <w:tcPr>
            <w:tcW w:w="1693" w:type="dxa"/>
            <w:tcBorders>
              <w:top w:val="nil"/>
              <w:left w:val="nil"/>
              <w:bottom w:val="single" w:sz="4" w:space="0" w:color="auto"/>
              <w:right w:val="single" w:sz="8" w:space="0" w:color="auto"/>
            </w:tcBorders>
            <w:shd w:val="clear" w:color="auto" w:fill="auto"/>
            <w:noWrap/>
            <w:vAlign w:val="center"/>
            <w:hideMark/>
          </w:tcPr>
          <w:p w14:paraId="0178538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28633EE9" w14:textId="77777777" w:rsidTr="001B03DF">
        <w:trPr>
          <w:trHeight w:val="278"/>
        </w:trPr>
        <w:tc>
          <w:tcPr>
            <w:tcW w:w="2192" w:type="dxa"/>
            <w:vMerge w:val="restart"/>
            <w:tcBorders>
              <w:top w:val="nil"/>
              <w:left w:val="single" w:sz="8" w:space="0" w:color="auto"/>
              <w:bottom w:val="single" w:sz="4" w:space="0" w:color="000000" w:themeColor="text1"/>
              <w:right w:val="single" w:sz="8" w:space="0" w:color="auto"/>
            </w:tcBorders>
            <w:shd w:val="clear" w:color="auto" w:fill="DBDBDB" w:themeFill="accent3" w:themeFillTint="66"/>
            <w:noWrap/>
            <w:vAlign w:val="center"/>
            <w:hideMark/>
          </w:tcPr>
          <w:p w14:paraId="31C10993"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Matérias Básicos</w:t>
            </w:r>
          </w:p>
        </w:tc>
        <w:tc>
          <w:tcPr>
            <w:tcW w:w="5504" w:type="dxa"/>
            <w:tcBorders>
              <w:top w:val="nil"/>
              <w:left w:val="nil"/>
              <w:bottom w:val="single" w:sz="4" w:space="0" w:color="auto"/>
              <w:right w:val="single" w:sz="4" w:space="0" w:color="auto"/>
            </w:tcBorders>
            <w:shd w:val="clear" w:color="auto" w:fill="auto"/>
            <w:noWrap/>
            <w:vAlign w:val="bottom"/>
            <w:hideMark/>
          </w:tcPr>
          <w:p w14:paraId="55992261"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CELULOSE IRANI</w:t>
            </w:r>
          </w:p>
        </w:tc>
        <w:tc>
          <w:tcPr>
            <w:tcW w:w="1693" w:type="dxa"/>
            <w:tcBorders>
              <w:top w:val="nil"/>
              <w:left w:val="nil"/>
              <w:bottom w:val="single" w:sz="4" w:space="0" w:color="auto"/>
              <w:right w:val="single" w:sz="8" w:space="0" w:color="auto"/>
            </w:tcBorders>
            <w:shd w:val="clear" w:color="auto" w:fill="auto"/>
            <w:noWrap/>
            <w:vAlign w:val="center"/>
            <w:hideMark/>
          </w:tcPr>
          <w:p w14:paraId="6EC8CCBC"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0E6EB72D"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027138C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C9CE73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CRISTAL PIGMENTOS </w:t>
            </w:r>
          </w:p>
        </w:tc>
        <w:tc>
          <w:tcPr>
            <w:tcW w:w="1693" w:type="dxa"/>
            <w:tcBorders>
              <w:top w:val="nil"/>
              <w:left w:val="nil"/>
              <w:bottom w:val="single" w:sz="4" w:space="0" w:color="auto"/>
              <w:right w:val="single" w:sz="8" w:space="0" w:color="auto"/>
            </w:tcBorders>
            <w:shd w:val="clear" w:color="auto" w:fill="auto"/>
            <w:noWrap/>
            <w:vAlign w:val="center"/>
            <w:hideMark/>
          </w:tcPr>
          <w:p w14:paraId="3A5FF60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5DA66A01"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4875EF25"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F64485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GERDAU</w:t>
            </w:r>
          </w:p>
        </w:tc>
        <w:tc>
          <w:tcPr>
            <w:tcW w:w="1693" w:type="dxa"/>
            <w:tcBorders>
              <w:top w:val="nil"/>
              <w:left w:val="nil"/>
              <w:bottom w:val="single" w:sz="4" w:space="0" w:color="auto"/>
              <w:right w:val="single" w:sz="8" w:space="0" w:color="auto"/>
            </w:tcBorders>
            <w:shd w:val="clear" w:color="auto" w:fill="auto"/>
            <w:noWrap/>
            <w:vAlign w:val="center"/>
            <w:hideMark/>
          </w:tcPr>
          <w:p w14:paraId="7537182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7E63F888"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543DA07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5B42225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KLABIN AS</w:t>
            </w:r>
          </w:p>
        </w:tc>
        <w:tc>
          <w:tcPr>
            <w:tcW w:w="1693" w:type="dxa"/>
            <w:tcBorders>
              <w:top w:val="nil"/>
              <w:left w:val="nil"/>
              <w:bottom w:val="single" w:sz="4" w:space="0" w:color="auto"/>
              <w:right w:val="single" w:sz="8" w:space="0" w:color="auto"/>
            </w:tcBorders>
            <w:shd w:val="clear" w:color="auto" w:fill="auto"/>
            <w:noWrap/>
            <w:vAlign w:val="center"/>
            <w:hideMark/>
          </w:tcPr>
          <w:p w14:paraId="132B478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0F2D36A6"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5C42683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AA5456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MAGNESITA</w:t>
            </w:r>
          </w:p>
        </w:tc>
        <w:tc>
          <w:tcPr>
            <w:tcW w:w="1693" w:type="dxa"/>
            <w:tcBorders>
              <w:top w:val="nil"/>
              <w:left w:val="nil"/>
              <w:bottom w:val="single" w:sz="4" w:space="0" w:color="auto"/>
              <w:right w:val="single" w:sz="8" w:space="0" w:color="auto"/>
            </w:tcBorders>
            <w:shd w:val="clear" w:color="auto" w:fill="auto"/>
            <w:noWrap/>
            <w:vAlign w:val="center"/>
            <w:hideMark/>
          </w:tcPr>
          <w:p w14:paraId="31651D99"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3B0D03F0"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54963D65"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22BE234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PARANAPANEMA</w:t>
            </w:r>
          </w:p>
        </w:tc>
        <w:tc>
          <w:tcPr>
            <w:tcW w:w="1693" w:type="dxa"/>
            <w:tcBorders>
              <w:top w:val="nil"/>
              <w:left w:val="nil"/>
              <w:bottom w:val="single" w:sz="4" w:space="0" w:color="auto"/>
              <w:right w:val="single" w:sz="8" w:space="0" w:color="auto"/>
            </w:tcBorders>
            <w:shd w:val="clear" w:color="auto" w:fill="auto"/>
            <w:noWrap/>
            <w:vAlign w:val="center"/>
            <w:hideMark/>
          </w:tcPr>
          <w:p w14:paraId="735C67F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056EBDEB"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7D5CD13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CD44D87"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TEKNO</w:t>
            </w:r>
          </w:p>
        </w:tc>
        <w:tc>
          <w:tcPr>
            <w:tcW w:w="1693" w:type="dxa"/>
            <w:tcBorders>
              <w:top w:val="nil"/>
              <w:left w:val="nil"/>
              <w:bottom w:val="single" w:sz="4" w:space="0" w:color="auto"/>
              <w:right w:val="single" w:sz="8" w:space="0" w:color="auto"/>
            </w:tcBorders>
            <w:shd w:val="clear" w:color="auto" w:fill="auto"/>
            <w:noWrap/>
            <w:vAlign w:val="center"/>
            <w:hideMark/>
          </w:tcPr>
          <w:p w14:paraId="27AF26C3"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65796389"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047880E5"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DF57E3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UNIPAR</w:t>
            </w:r>
          </w:p>
        </w:tc>
        <w:tc>
          <w:tcPr>
            <w:tcW w:w="1693" w:type="dxa"/>
            <w:tcBorders>
              <w:top w:val="nil"/>
              <w:left w:val="nil"/>
              <w:bottom w:val="single" w:sz="4" w:space="0" w:color="auto"/>
              <w:right w:val="single" w:sz="8" w:space="0" w:color="auto"/>
            </w:tcBorders>
            <w:shd w:val="clear" w:color="auto" w:fill="auto"/>
            <w:noWrap/>
            <w:vAlign w:val="center"/>
            <w:hideMark/>
          </w:tcPr>
          <w:p w14:paraId="6DF830E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6FC86F9A"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7CEC799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700F171"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USINAS SIDERURGICAS DE MINAS GERAIS AS</w:t>
            </w:r>
          </w:p>
        </w:tc>
        <w:tc>
          <w:tcPr>
            <w:tcW w:w="1693" w:type="dxa"/>
            <w:tcBorders>
              <w:top w:val="nil"/>
              <w:left w:val="nil"/>
              <w:bottom w:val="single" w:sz="4" w:space="0" w:color="auto"/>
              <w:right w:val="single" w:sz="8" w:space="0" w:color="auto"/>
            </w:tcBorders>
            <w:shd w:val="clear" w:color="auto" w:fill="auto"/>
            <w:noWrap/>
            <w:vAlign w:val="center"/>
            <w:hideMark/>
          </w:tcPr>
          <w:p w14:paraId="1A3B4B6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4B29BF1" w14:textId="77777777" w:rsidTr="001B03DF">
        <w:trPr>
          <w:trHeight w:val="278"/>
        </w:trPr>
        <w:tc>
          <w:tcPr>
            <w:tcW w:w="2192" w:type="dxa"/>
            <w:vMerge/>
            <w:tcBorders>
              <w:top w:val="nil"/>
              <w:left w:val="single" w:sz="8" w:space="0" w:color="auto"/>
              <w:bottom w:val="single" w:sz="4" w:space="0" w:color="000000"/>
              <w:right w:val="single" w:sz="8" w:space="0" w:color="auto"/>
            </w:tcBorders>
            <w:vAlign w:val="center"/>
            <w:hideMark/>
          </w:tcPr>
          <w:p w14:paraId="776E6832"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1A02CB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VALE</w:t>
            </w:r>
          </w:p>
        </w:tc>
        <w:tc>
          <w:tcPr>
            <w:tcW w:w="1693" w:type="dxa"/>
            <w:tcBorders>
              <w:top w:val="nil"/>
              <w:left w:val="nil"/>
              <w:bottom w:val="single" w:sz="4" w:space="0" w:color="auto"/>
              <w:right w:val="single" w:sz="8" w:space="0" w:color="auto"/>
            </w:tcBorders>
            <w:shd w:val="clear" w:color="auto" w:fill="auto"/>
            <w:noWrap/>
            <w:vAlign w:val="center"/>
            <w:hideMark/>
          </w:tcPr>
          <w:p w14:paraId="58E1422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3F29D582" w14:textId="77777777" w:rsidTr="001B03DF">
        <w:trPr>
          <w:trHeight w:val="278"/>
        </w:trPr>
        <w:tc>
          <w:tcPr>
            <w:tcW w:w="2192" w:type="dxa"/>
            <w:vMerge w:val="restart"/>
            <w:tcBorders>
              <w:top w:val="single" w:sz="4" w:space="0" w:color="auto"/>
              <w:left w:val="single" w:sz="8" w:space="0" w:color="auto"/>
              <w:bottom w:val="nil"/>
              <w:right w:val="single" w:sz="8" w:space="0" w:color="auto"/>
            </w:tcBorders>
            <w:shd w:val="clear" w:color="auto" w:fill="DBDBDB" w:themeFill="accent3" w:themeFillTint="66"/>
            <w:noWrap/>
            <w:vAlign w:val="center"/>
            <w:hideMark/>
          </w:tcPr>
          <w:p w14:paraId="63154FFB"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Petróleo e Gás</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43AA2B72"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COSAN LTD  </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72519764"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493E45C4" w14:textId="77777777" w:rsidTr="001B03DF">
        <w:trPr>
          <w:trHeight w:val="278"/>
        </w:trPr>
        <w:tc>
          <w:tcPr>
            <w:tcW w:w="2192" w:type="dxa"/>
            <w:vMerge/>
            <w:tcBorders>
              <w:top w:val="nil"/>
              <w:left w:val="single" w:sz="8" w:space="0" w:color="auto"/>
              <w:bottom w:val="nil"/>
              <w:right w:val="single" w:sz="8" w:space="0" w:color="auto"/>
            </w:tcBorders>
            <w:vAlign w:val="center"/>
          </w:tcPr>
          <w:p w14:paraId="42F0B192"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26D9039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DOMMO OGX – DOMMO ENERGIAS S.A</w:t>
            </w:r>
          </w:p>
        </w:tc>
        <w:tc>
          <w:tcPr>
            <w:tcW w:w="1693" w:type="dxa"/>
            <w:tcBorders>
              <w:top w:val="nil"/>
              <w:left w:val="nil"/>
              <w:bottom w:val="single" w:sz="4" w:space="0" w:color="auto"/>
              <w:right w:val="single" w:sz="8" w:space="0" w:color="auto"/>
            </w:tcBorders>
            <w:shd w:val="clear" w:color="auto" w:fill="auto"/>
            <w:noWrap/>
            <w:vAlign w:val="center"/>
          </w:tcPr>
          <w:p w14:paraId="6E6C3BC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49B79428"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75074F6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347F505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LUPATECH</w:t>
            </w:r>
          </w:p>
        </w:tc>
        <w:tc>
          <w:tcPr>
            <w:tcW w:w="1693" w:type="dxa"/>
            <w:tcBorders>
              <w:top w:val="nil"/>
              <w:left w:val="nil"/>
              <w:bottom w:val="single" w:sz="4" w:space="0" w:color="auto"/>
              <w:right w:val="single" w:sz="8" w:space="0" w:color="auto"/>
            </w:tcBorders>
            <w:shd w:val="clear" w:color="auto" w:fill="auto"/>
            <w:noWrap/>
            <w:vAlign w:val="center"/>
            <w:hideMark/>
          </w:tcPr>
          <w:p w14:paraId="133A96C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2917CD96"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22BB9508"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15106D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PETROBRAS</w:t>
            </w:r>
          </w:p>
        </w:tc>
        <w:tc>
          <w:tcPr>
            <w:tcW w:w="1693" w:type="dxa"/>
            <w:tcBorders>
              <w:top w:val="nil"/>
              <w:left w:val="nil"/>
              <w:bottom w:val="single" w:sz="4" w:space="0" w:color="auto"/>
              <w:right w:val="single" w:sz="8" w:space="0" w:color="auto"/>
            </w:tcBorders>
            <w:shd w:val="clear" w:color="auto" w:fill="auto"/>
            <w:noWrap/>
            <w:vAlign w:val="center"/>
            <w:hideMark/>
          </w:tcPr>
          <w:p w14:paraId="6C80ED2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49ADC037"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1136BF3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C539FD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QGEP PARTICIPAÇÕES</w:t>
            </w:r>
          </w:p>
        </w:tc>
        <w:tc>
          <w:tcPr>
            <w:tcW w:w="1693" w:type="dxa"/>
            <w:tcBorders>
              <w:top w:val="nil"/>
              <w:left w:val="nil"/>
              <w:bottom w:val="single" w:sz="4" w:space="0" w:color="auto"/>
              <w:right w:val="single" w:sz="8" w:space="0" w:color="auto"/>
            </w:tcBorders>
            <w:shd w:val="clear" w:color="auto" w:fill="auto"/>
            <w:noWrap/>
            <w:vAlign w:val="center"/>
            <w:hideMark/>
          </w:tcPr>
          <w:p w14:paraId="2F28C22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B6A1A5A" w14:textId="77777777" w:rsidTr="001B03DF">
        <w:trPr>
          <w:trHeight w:val="278"/>
        </w:trPr>
        <w:tc>
          <w:tcPr>
            <w:tcW w:w="2192" w:type="dxa"/>
            <w:vMerge/>
            <w:tcBorders>
              <w:top w:val="nil"/>
              <w:left w:val="single" w:sz="8" w:space="0" w:color="auto"/>
              <w:bottom w:val="single" w:sz="4" w:space="0" w:color="auto"/>
              <w:right w:val="single" w:sz="8" w:space="0" w:color="auto"/>
            </w:tcBorders>
            <w:vAlign w:val="center"/>
            <w:hideMark/>
          </w:tcPr>
          <w:p w14:paraId="29B3DA98"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3D5C02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ULTRAPAR </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6A3A58B5"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36D05C87" w14:textId="77777777" w:rsidTr="001B03DF">
        <w:trPr>
          <w:trHeight w:val="278"/>
        </w:trPr>
        <w:tc>
          <w:tcPr>
            <w:tcW w:w="2192" w:type="dxa"/>
            <w:vMerge w:val="restart"/>
            <w:tcBorders>
              <w:top w:val="single" w:sz="4" w:space="0" w:color="auto"/>
              <w:left w:val="single" w:sz="8" w:space="0" w:color="auto"/>
              <w:bottom w:val="single" w:sz="4" w:space="0" w:color="000000" w:themeColor="text1"/>
              <w:right w:val="single" w:sz="8" w:space="0" w:color="auto"/>
            </w:tcBorders>
            <w:shd w:val="clear" w:color="auto" w:fill="DBDBDB" w:themeFill="accent3" w:themeFillTint="66"/>
            <w:noWrap/>
            <w:vAlign w:val="center"/>
            <w:hideMark/>
          </w:tcPr>
          <w:p w14:paraId="1081DF8A"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Saúde</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616979B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BIOMM S.A</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267021E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7AC726E7"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727A6BD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5D87741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BRASIL PHARMA</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307E5D1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013A5B5B"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452C786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56141DC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CREMER</w:t>
            </w:r>
          </w:p>
        </w:tc>
        <w:tc>
          <w:tcPr>
            <w:tcW w:w="1693" w:type="dxa"/>
            <w:tcBorders>
              <w:top w:val="nil"/>
              <w:left w:val="nil"/>
              <w:bottom w:val="single" w:sz="4" w:space="0" w:color="auto"/>
              <w:right w:val="single" w:sz="8" w:space="0" w:color="auto"/>
            </w:tcBorders>
            <w:shd w:val="clear" w:color="auto" w:fill="auto"/>
            <w:noWrap/>
            <w:vAlign w:val="center"/>
            <w:hideMark/>
          </w:tcPr>
          <w:p w14:paraId="5CC80A2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549F0B4"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36CF55BA"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B1885B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DASA</w:t>
            </w:r>
          </w:p>
        </w:tc>
        <w:tc>
          <w:tcPr>
            <w:tcW w:w="1693" w:type="dxa"/>
            <w:tcBorders>
              <w:top w:val="nil"/>
              <w:left w:val="nil"/>
              <w:bottom w:val="single" w:sz="4" w:space="0" w:color="auto"/>
              <w:right w:val="single" w:sz="8" w:space="0" w:color="auto"/>
            </w:tcBorders>
            <w:shd w:val="clear" w:color="auto" w:fill="auto"/>
            <w:noWrap/>
            <w:vAlign w:val="center"/>
            <w:hideMark/>
          </w:tcPr>
          <w:p w14:paraId="06CF2EF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75FB3E8E"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10A418F6"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025E5A9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DIMED</w:t>
            </w:r>
          </w:p>
        </w:tc>
        <w:tc>
          <w:tcPr>
            <w:tcW w:w="1693" w:type="dxa"/>
            <w:tcBorders>
              <w:top w:val="nil"/>
              <w:left w:val="nil"/>
              <w:bottom w:val="single" w:sz="4" w:space="0" w:color="auto"/>
              <w:right w:val="single" w:sz="8" w:space="0" w:color="auto"/>
            </w:tcBorders>
            <w:shd w:val="clear" w:color="auto" w:fill="auto"/>
            <w:noWrap/>
            <w:vAlign w:val="center"/>
            <w:hideMark/>
          </w:tcPr>
          <w:p w14:paraId="78C6997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2BC724A"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429BBEF4"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BF969B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FLEURY</w:t>
            </w:r>
          </w:p>
        </w:tc>
        <w:tc>
          <w:tcPr>
            <w:tcW w:w="1693" w:type="dxa"/>
            <w:tcBorders>
              <w:top w:val="nil"/>
              <w:left w:val="nil"/>
              <w:bottom w:val="single" w:sz="4" w:space="0" w:color="auto"/>
              <w:right w:val="single" w:sz="8" w:space="0" w:color="auto"/>
            </w:tcBorders>
            <w:shd w:val="clear" w:color="auto" w:fill="auto"/>
            <w:noWrap/>
            <w:vAlign w:val="center"/>
            <w:hideMark/>
          </w:tcPr>
          <w:p w14:paraId="5A5A3BFE"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12E665C"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227953C1"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238EE8E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HERMES PARDINI</w:t>
            </w:r>
          </w:p>
        </w:tc>
        <w:tc>
          <w:tcPr>
            <w:tcW w:w="1693" w:type="dxa"/>
            <w:tcBorders>
              <w:top w:val="nil"/>
              <w:left w:val="nil"/>
              <w:bottom w:val="single" w:sz="4" w:space="0" w:color="auto"/>
              <w:right w:val="single" w:sz="8" w:space="0" w:color="auto"/>
            </w:tcBorders>
            <w:shd w:val="clear" w:color="auto" w:fill="auto"/>
            <w:noWrap/>
            <w:vAlign w:val="center"/>
            <w:hideMark/>
          </w:tcPr>
          <w:p w14:paraId="3C89E54C"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9B1E3BB"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3C19916B"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3BEC7FF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ODONTOPREV</w:t>
            </w:r>
          </w:p>
        </w:tc>
        <w:tc>
          <w:tcPr>
            <w:tcW w:w="1693" w:type="dxa"/>
            <w:tcBorders>
              <w:top w:val="nil"/>
              <w:left w:val="nil"/>
              <w:bottom w:val="single" w:sz="4" w:space="0" w:color="auto"/>
              <w:right w:val="single" w:sz="8" w:space="0" w:color="auto"/>
            </w:tcBorders>
            <w:shd w:val="clear" w:color="auto" w:fill="auto"/>
            <w:noWrap/>
            <w:vAlign w:val="center"/>
            <w:hideMark/>
          </w:tcPr>
          <w:p w14:paraId="7AF665F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7885A0C8"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187A6FA7"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2C1A10A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PROFARMA</w:t>
            </w:r>
          </w:p>
        </w:tc>
        <w:tc>
          <w:tcPr>
            <w:tcW w:w="1693" w:type="dxa"/>
            <w:tcBorders>
              <w:top w:val="nil"/>
              <w:left w:val="nil"/>
              <w:bottom w:val="single" w:sz="4" w:space="0" w:color="auto"/>
              <w:right w:val="single" w:sz="8" w:space="0" w:color="auto"/>
            </w:tcBorders>
            <w:shd w:val="clear" w:color="auto" w:fill="auto"/>
            <w:noWrap/>
            <w:vAlign w:val="center"/>
            <w:hideMark/>
          </w:tcPr>
          <w:p w14:paraId="7EFE300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7C5B1201" w14:textId="77777777" w:rsidTr="001B03DF">
        <w:trPr>
          <w:trHeight w:val="278"/>
        </w:trPr>
        <w:tc>
          <w:tcPr>
            <w:tcW w:w="2192" w:type="dxa"/>
            <w:vMerge/>
            <w:tcBorders>
              <w:top w:val="single" w:sz="4" w:space="0" w:color="auto"/>
              <w:left w:val="single" w:sz="8" w:space="0" w:color="auto"/>
              <w:bottom w:val="single" w:sz="4" w:space="0" w:color="000000"/>
              <w:right w:val="single" w:sz="8" w:space="0" w:color="auto"/>
            </w:tcBorders>
            <w:vAlign w:val="center"/>
            <w:hideMark/>
          </w:tcPr>
          <w:p w14:paraId="39761EDB"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038A7754"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RAIA DROGASIL</w:t>
            </w:r>
          </w:p>
        </w:tc>
        <w:tc>
          <w:tcPr>
            <w:tcW w:w="1693" w:type="dxa"/>
            <w:tcBorders>
              <w:top w:val="nil"/>
              <w:left w:val="nil"/>
              <w:bottom w:val="single" w:sz="4" w:space="0" w:color="auto"/>
              <w:right w:val="single" w:sz="8" w:space="0" w:color="auto"/>
            </w:tcBorders>
            <w:shd w:val="clear" w:color="auto" w:fill="auto"/>
            <w:noWrap/>
            <w:vAlign w:val="center"/>
            <w:hideMark/>
          </w:tcPr>
          <w:p w14:paraId="721074BB"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0DD99F8D" w14:textId="77777777" w:rsidTr="001B03DF">
        <w:trPr>
          <w:trHeight w:val="278"/>
        </w:trPr>
        <w:tc>
          <w:tcPr>
            <w:tcW w:w="2192" w:type="dxa"/>
            <w:vMerge w:val="restart"/>
            <w:tcBorders>
              <w:top w:val="nil"/>
              <w:left w:val="single" w:sz="8" w:space="0" w:color="auto"/>
              <w:bottom w:val="nil"/>
              <w:right w:val="single" w:sz="8" w:space="0" w:color="auto"/>
            </w:tcBorders>
            <w:shd w:val="clear" w:color="auto" w:fill="DBDBDB" w:themeFill="accent3" w:themeFillTint="66"/>
            <w:vAlign w:val="center"/>
            <w:hideMark/>
          </w:tcPr>
          <w:p w14:paraId="4CCEBC1B"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Tecnologia e Internet</w:t>
            </w:r>
          </w:p>
        </w:tc>
        <w:tc>
          <w:tcPr>
            <w:tcW w:w="5504" w:type="dxa"/>
            <w:tcBorders>
              <w:top w:val="nil"/>
              <w:left w:val="nil"/>
              <w:bottom w:val="single" w:sz="4" w:space="0" w:color="auto"/>
              <w:right w:val="single" w:sz="4" w:space="0" w:color="auto"/>
            </w:tcBorders>
            <w:shd w:val="clear" w:color="auto" w:fill="auto"/>
            <w:noWrap/>
            <w:vAlign w:val="bottom"/>
            <w:hideMark/>
          </w:tcPr>
          <w:p w14:paraId="32132882"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BRQ</w:t>
            </w:r>
          </w:p>
        </w:tc>
        <w:tc>
          <w:tcPr>
            <w:tcW w:w="1693" w:type="dxa"/>
            <w:tcBorders>
              <w:top w:val="nil"/>
              <w:left w:val="nil"/>
              <w:bottom w:val="single" w:sz="4" w:space="0" w:color="auto"/>
              <w:right w:val="single" w:sz="8" w:space="0" w:color="auto"/>
            </w:tcBorders>
            <w:shd w:val="clear" w:color="auto" w:fill="auto"/>
            <w:noWrap/>
            <w:vAlign w:val="center"/>
            <w:hideMark/>
          </w:tcPr>
          <w:p w14:paraId="2405CEC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13670E7D"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70CAAB1A"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2A12FE35"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LINX</w:t>
            </w:r>
          </w:p>
        </w:tc>
        <w:tc>
          <w:tcPr>
            <w:tcW w:w="1693" w:type="dxa"/>
            <w:tcBorders>
              <w:top w:val="nil"/>
              <w:left w:val="nil"/>
              <w:bottom w:val="single" w:sz="4" w:space="0" w:color="auto"/>
              <w:right w:val="single" w:sz="8" w:space="0" w:color="auto"/>
            </w:tcBorders>
            <w:shd w:val="clear" w:color="auto" w:fill="auto"/>
            <w:noWrap/>
            <w:vAlign w:val="center"/>
            <w:hideMark/>
          </w:tcPr>
          <w:p w14:paraId="35AEF12D"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D26D1D2"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73A37B4B"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1BDDAB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POSITIVO</w:t>
            </w:r>
          </w:p>
        </w:tc>
        <w:tc>
          <w:tcPr>
            <w:tcW w:w="1693" w:type="dxa"/>
            <w:tcBorders>
              <w:top w:val="nil"/>
              <w:left w:val="nil"/>
              <w:bottom w:val="single" w:sz="4" w:space="0" w:color="auto"/>
              <w:right w:val="single" w:sz="8" w:space="0" w:color="auto"/>
            </w:tcBorders>
            <w:shd w:val="clear" w:color="auto" w:fill="auto"/>
            <w:noWrap/>
            <w:vAlign w:val="center"/>
            <w:hideMark/>
          </w:tcPr>
          <w:p w14:paraId="4B7B884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21D230AF" w14:textId="77777777" w:rsidTr="001B03DF">
        <w:trPr>
          <w:trHeight w:val="278"/>
        </w:trPr>
        <w:tc>
          <w:tcPr>
            <w:tcW w:w="2192" w:type="dxa"/>
            <w:vMerge/>
            <w:tcBorders>
              <w:top w:val="nil"/>
              <w:left w:val="single" w:sz="8" w:space="0" w:color="auto"/>
              <w:bottom w:val="nil"/>
              <w:right w:val="single" w:sz="8" w:space="0" w:color="auto"/>
            </w:tcBorders>
            <w:vAlign w:val="center"/>
            <w:hideMark/>
          </w:tcPr>
          <w:p w14:paraId="354C459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A15DB8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SENIOR SOLUTION</w:t>
            </w:r>
          </w:p>
        </w:tc>
        <w:tc>
          <w:tcPr>
            <w:tcW w:w="1693" w:type="dxa"/>
            <w:tcBorders>
              <w:top w:val="nil"/>
              <w:left w:val="nil"/>
              <w:bottom w:val="single" w:sz="4" w:space="0" w:color="auto"/>
              <w:right w:val="single" w:sz="8" w:space="0" w:color="auto"/>
            </w:tcBorders>
            <w:shd w:val="clear" w:color="auto" w:fill="auto"/>
            <w:noWrap/>
            <w:vAlign w:val="center"/>
            <w:hideMark/>
          </w:tcPr>
          <w:p w14:paraId="43940D6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170A180" w14:textId="77777777" w:rsidTr="001B03DF">
        <w:trPr>
          <w:trHeight w:val="293"/>
        </w:trPr>
        <w:tc>
          <w:tcPr>
            <w:tcW w:w="2192" w:type="dxa"/>
            <w:vMerge/>
            <w:tcBorders>
              <w:top w:val="nil"/>
              <w:left w:val="single" w:sz="8" w:space="0" w:color="auto"/>
              <w:bottom w:val="nil"/>
              <w:right w:val="single" w:sz="8" w:space="0" w:color="auto"/>
            </w:tcBorders>
            <w:vAlign w:val="center"/>
            <w:hideMark/>
          </w:tcPr>
          <w:p w14:paraId="17A27960"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F171C82"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TOTVS</w:t>
            </w:r>
          </w:p>
        </w:tc>
        <w:tc>
          <w:tcPr>
            <w:tcW w:w="1693" w:type="dxa"/>
            <w:tcBorders>
              <w:top w:val="nil"/>
              <w:left w:val="nil"/>
              <w:bottom w:val="single" w:sz="4" w:space="0" w:color="auto"/>
              <w:right w:val="single" w:sz="8" w:space="0" w:color="auto"/>
            </w:tcBorders>
            <w:shd w:val="clear" w:color="auto" w:fill="auto"/>
            <w:noWrap/>
            <w:vAlign w:val="center"/>
            <w:hideMark/>
          </w:tcPr>
          <w:p w14:paraId="44AD8FC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559E277B" w14:textId="77777777" w:rsidTr="001B03DF">
        <w:trPr>
          <w:trHeight w:val="278"/>
        </w:trPr>
        <w:tc>
          <w:tcPr>
            <w:tcW w:w="2192" w:type="dxa"/>
            <w:vMerge w:val="restart"/>
            <w:tcBorders>
              <w:top w:val="single" w:sz="8" w:space="0" w:color="auto"/>
              <w:left w:val="single" w:sz="8" w:space="0" w:color="auto"/>
              <w:bottom w:val="nil"/>
              <w:right w:val="single" w:sz="8" w:space="0" w:color="auto"/>
            </w:tcBorders>
            <w:shd w:val="clear" w:color="auto" w:fill="DBDBDB" w:themeFill="accent3" w:themeFillTint="66"/>
            <w:vAlign w:val="center"/>
            <w:hideMark/>
          </w:tcPr>
          <w:p w14:paraId="68F082CA" w14:textId="77777777" w:rsidR="00D368C5" w:rsidRPr="00CE6CC0" w:rsidRDefault="00D368C5" w:rsidP="001B03DF">
            <w:pPr>
              <w:spacing w:after="0" w:line="240" w:lineRule="auto"/>
              <w:jc w:val="center"/>
              <w:rPr>
                <w:rFonts w:ascii="Times" w:eastAsia="Times New Roman" w:hAnsi="Times" w:cs="Times New Roman"/>
                <w:b/>
                <w:bCs/>
                <w:color w:val="000000" w:themeColor="text1"/>
                <w:lang w:eastAsia="pt-BR"/>
              </w:rPr>
            </w:pPr>
            <w:r w:rsidRPr="00CE6CC0">
              <w:rPr>
                <w:rFonts w:ascii="Times" w:eastAsia="Times New Roman" w:hAnsi="Times" w:cs="Times New Roman"/>
                <w:b/>
                <w:bCs/>
                <w:color w:val="000000" w:themeColor="text1"/>
                <w:lang w:eastAsia="pt-BR"/>
              </w:rPr>
              <w:t xml:space="preserve">Telecomunicações </w:t>
            </w:r>
          </w:p>
        </w:tc>
        <w:tc>
          <w:tcPr>
            <w:tcW w:w="5504" w:type="dxa"/>
            <w:tcBorders>
              <w:top w:val="nil"/>
              <w:left w:val="nil"/>
              <w:bottom w:val="single" w:sz="4" w:space="0" w:color="auto"/>
              <w:right w:val="single" w:sz="4" w:space="0" w:color="auto"/>
            </w:tcBorders>
            <w:shd w:val="clear" w:color="auto" w:fill="auto"/>
            <w:noWrap/>
            <w:vAlign w:val="bottom"/>
            <w:hideMark/>
          </w:tcPr>
          <w:p w14:paraId="6DD670AC"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ALGAR TELECOM S. A</w:t>
            </w:r>
          </w:p>
        </w:tc>
        <w:tc>
          <w:tcPr>
            <w:tcW w:w="1693" w:type="dxa"/>
            <w:tcBorders>
              <w:top w:val="nil"/>
              <w:left w:val="nil"/>
              <w:bottom w:val="single" w:sz="4" w:space="0" w:color="auto"/>
              <w:right w:val="single" w:sz="8" w:space="0" w:color="auto"/>
            </w:tcBorders>
            <w:shd w:val="clear" w:color="auto" w:fill="auto"/>
            <w:noWrap/>
            <w:vAlign w:val="center"/>
            <w:hideMark/>
          </w:tcPr>
          <w:p w14:paraId="56AD68E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57DCD686" w14:textId="77777777" w:rsidTr="001B03DF">
        <w:trPr>
          <w:trHeight w:val="278"/>
        </w:trPr>
        <w:tc>
          <w:tcPr>
            <w:tcW w:w="2192" w:type="dxa"/>
            <w:vMerge/>
            <w:tcBorders>
              <w:top w:val="single" w:sz="8" w:space="0" w:color="auto"/>
              <w:left w:val="single" w:sz="8" w:space="0" w:color="auto"/>
              <w:bottom w:val="nil"/>
              <w:right w:val="single" w:sz="8" w:space="0" w:color="auto"/>
            </w:tcBorders>
            <w:shd w:val="clear" w:color="auto" w:fill="DBDBDB" w:themeFill="accent3" w:themeFillTint="66"/>
            <w:vAlign w:val="center"/>
          </w:tcPr>
          <w:p w14:paraId="2F5D710D" w14:textId="77777777" w:rsidR="00D368C5" w:rsidRPr="00CE6CC0" w:rsidRDefault="00D368C5" w:rsidP="001B03DF">
            <w:pPr>
              <w:spacing w:after="0" w:line="240" w:lineRule="auto"/>
              <w:jc w:val="center"/>
              <w:rPr>
                <w:rFonts w:ascii="Times" w:eastAsia="Times New Roman" w:hAnsi="Times" w:cs="Times New Roman"/>
                <w:b/>
                <w:bCs/>
                <w:color w:val="000000" w:themeColor="text1"/>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2EC6D19F"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JEREISSATI TELECOM</w:t>
            </w:r>
          </w:p>
        </w:tc>
        <w:tc>
          <w:tcPr>
            <w:tcW w:w="1693" w:type="dxa"/>
            <w:tcBorders>
              <w:top w:val="nil"/>
              <w:left w:val="nil"/>
              <w:bottom w:val="single" w:sz="4" w:space="0" w:color="auto"/>
              <w:right w:val="single" w:sz="8" w:space="0" w:color="auto"/>
            </w:tcBorders>
            <w:shd w:val="clear" w:color="auto" w:fill="auto"/>
            <w:noWrap/>
            <w:vAlign w:val="center"/>
          </w:tcPr>
          <w:p w14:paraId="1C6488B2"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F3BB6F0" w14:textId="77777777" w:rsidTr="001B03DF">
        <w:trPr>
          <w:trHeight w:val="278"/>
        </w:trPr>
        <w:tc>
          <w:tcPr>
            <w:tcW w:w="2192" w:type="dxa"/>
            <w:vMerge/>
            <w:tcBorders>
              <w:top w:val="single" w:sz="8" w:space="0" w:color="auto"/>
              <w:left w:val="single" w:sz="8" w:space="0" w:color="auto"/>
              <w:bottom w:val="single" w:sz="4" w:space="0" w:color="auto"/>
              <w:right w:val="single" w:sz="8" w:space="0" w:color="auto"/>
            </w:tcBorders>
            <w:vAlign w:val="center"/>
            <w:hideMark/>
          </w:tcPr>
          <w:p w14:paraId="4E1EC5EB"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0D9BB026"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OI </w:t>
            </w:r>
          </w:p>
        </w:tc>
        <w:tc>
          <w:tcPr>
            <w:tcW w:w="1693" w:type="dxa"/>
            <w:tcBorders>
              <w:top w:val="nil"/>
              <w:left w:val="nil"/>
              <w:bottom w:val="single" w:sz="4" w:space="0" w:color="auto"/>
              <w:right w:val="single" w:sz="8" w:space="0" w:color="auto"/>
            </w:tcBorders>
            <w:shd w:val="clear" w:color="auto" w:fill="auto"/>
            <w:noWrap/>
            <w:vAlign w:val="center"/>
            <w:hideMark/>
          </w:tcPr>
          <w:p w14:paraId="28C16B3C"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2EF35C40" w14:textId="77777777" w:rsidTr="001B03DF">
        <w:trPr>
          <w:trHeight w:val="278"/>
        </w:trPr>
        <w:tc>
          <w:tcPr>
            <w:tcW w:w="2192" w:type="dxa"/>
            <w:vMerge/>
            <w:tcBorders>
              <w:top w:val="single" w:sz="4" w:space="0" w:color="auto"/>
              <w:left w:val="single" w:sz="8" w:space="0" w:color="auto"/>
              <w:bottom w:val="single" w:sz="4" w:space="0" w:color="auto"/>
              <w:right w:val="single" w:sz="8" w:space="0" w:color="auto"/>
            </w:tcBorders>
            <w:vAlign w:val="center"/>
            <w:hideMark/>
          </w:tcPr>
          <w:p w14:paraId="50E5DC5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D43F16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TELEFONICA BRASIL</w:t>
            </w:r>
          </w:p>
        </w:tc>
        <w:tc>
          <w:tcPr>
            <w:tcW w:w="1693" w:type="dxa"/>
            <w:tcBorders>
              <w:top w:val="nil"/>
              <w:left w:val="nil"/>
              <w:bottom w:val="single" w:sz="4" w:space="0" w:color="auto"/>
              <w:right w:val="single" w:sz="8" w:space="0" w:color="auto"/>
            </w:tcBorders>
            <w:shd w:val="clear" w:color="auto" w:fill="auto"/>
            <w:noWrap/>
            <w:vAlign w:val="center"/>
            <w:hideMark/>
          </w:tcPr>
          <w:p w14:paraId="52916598"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11D0C021" w14:textId="77777777" w:rsidTr="001B03DF">
        <w:trPr>
          <w:trHeight w:val="278"/>
        </w:trPr>
        <w:tc>
          <w:tcPr>
            <w:tcW w:w="2192" w:type="dxa"/>
            <w:vMerge w:val="restart"/>
            <w:tcBorders>
              <w:top w:val="single" w:sz="4" w:space="0" w:color="auto"/>
              <w:left w:val="single" w:sz="8" w:space="0" w:color="auto"/>
              <w:bottom w:val="single" w:sz="8" w:space="0" w:color="000000" w:themeColor="text1"/>
              <w:right w:val="single" w:sz="8" w:space="0" w:color="auto"/>
            </w:tcBorders>
            <w:shd w:val="clear" w:color="auto" w:fill="DBDBDB" w:themeFill="accent3" w:themeFillTint="66"/>
            <w:noWrap/>
            <w:vAlign w:val="center"/>
            <w:hideMark/>
          </w:tcPr>
          <w:p w14:paraId="4926C988" w14:textId="77777777" w:rsidR="00D368C5" w:rsidRPr="00CE6CC0" w:rsidRDefault="00D368C5" w:rsidP="001B03DF">
            <w:pPr>
              <w:spacing w:after="0" w:line="240" w:lineRule="auto"/>
              <w:jc w:val="center"/>
              <w:rPr>
                <w:rFonts w:ascii="Times" w:eastAsia="Times New Roman" w:hAnsi="Times" w:cs="Times New Roman"/>
                <w:b/>
                <w:bCs/>
                <w:color w:val="262626" w:themeColor="text1" w:themeTint="D9"/>
                <w:lang w:eastAsia="pt-BR"/>
              </w:rPr>
            </w:pPr>
            <w:r w:rsidRPr="00CE6CC0">
              <w:rPr>
                <w:rFonts w:ascii="Times" w:eastAsia="Times New Roman" w:hAnsi="Times" w:cs="Times New Roman"/>
                <w:b/>
                <w:bCs/>
                <w:color w:val="262626" w:themeColor="text1" w:themeTint="D9"/>
                <w:lang w:eastAsia="pt-BR"/>
              </w:rPr>
              <w:t>Utilidade Pública</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14:paraId="700E4EC7"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 xml:space="preserve">ALUPAR INVESTIMENTO </w:t>
            </w:r>
          </w:p>
        </w:tc>
        <w:tc>
          <w:tcPr>
            <w:tcW w:w="1693" w:type="dxa"/>
            <w:tcBorders>
              <w:top w:val="single" w:sz="4" w:space="0" w:color="auto"/>
              <w:left w:val="nil"/>
              <w:bottom w:val="single" w:sz="4" w:space="0" w:color="auto"/>
              <w:right w:val="single" w:sz="8" w:space="0" w:color="auto"/>
            </w:tcBorders>
            <w:shd w:val="clear" w:color="auto" w:fill="auto"/>
            <w:noWrap/>
            <w:vAlign w:val="center"/>
            <w:hideMark/>
          </w:tcPr>
          <w:p w14:paraId="6FF1297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0F2B6CA5"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10677C3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6D163096"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CELPE</w:t>
            </w:r>
          </w:p>
        </w:tc>
        <w:tc>
          <w:tcPr>
            <w:tcW w:w="1693" w:type="dxa"/>
            <w:tcBorders>
              <w:top w:val="nil"/>
              <w:left w:val="nil"/>
              <w:bottom w:val="single" w:sz="4" w:space="0" w:color="auto"/>
              <w:right w:val="single" w:sz="8" w:space="0" w:color="auto"/>
            </w:tcBorders>
            <w:shd w:val="clear" w:color="auto" w:fill="auto"/>
            <w:noWrap/>
            <w:vAlign w:val="center"/>
            <w:hideMark/>
          </w:tcPr>
          <w:p w14:paraId="0752D113"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0E79692A"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0FF3A5E6"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13025A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CESP</w:t>
            </w:r>
          </w:p>
        </w:tc>
        <w:tc>
          <w:tcPr>
            <w:tcW w:w="1693" w:type="dxa"/>
            <w:tcBorders>
              <w:top w:val="nil"/>
              <w:left w:val="nil"/>
              <w:bottom w:val="single" w:sz="4" w:space="0" w:color="auto"/>
              <w:right w:val="single" w:sz="8" w:space="0" w:color="auto"/>
            </w:tcBorders>
            <w:shd w:val="clear" w:color="auto" w:fill="auto"/>
            <w:noWrap/>
            <w:vAlign w:val="center"/>
            <w:hideMark/>
          </w:tcPr>
          <w:p w14:paraId="7F202005"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r w:rsidR="00D368C5" w:rsidRPr="00CE6CC0" w14:paraId="6E20A8FF" w14:textId="77777777" w:rsidTr="001B03DF">
        <w:trPr>
          <w:trHeight w:hRule="exac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62C421C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950F855"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COMGAS</w:t>
            </w:r>
          </w:p>
        </w:tc>
        <w:tc>
          <w:tcPr>
            <w:tcW w:w="1693" w:type="dxa"/>
            <w:tcBorders>
              <w:top w:val="nil"/>
              <w:left w:val="nil"/>
              <w:bottom w:val="single" w:sz="4" w:space="0" w:color="auto"/>
              <w:right w:val="single" w:sz="8" w:space="0" w:color="auto"/>
            </w:tcBorders>
            <w:shd w:val="clear" w:color="auto" w:fill="auto"/>
            <w:noWrap/>
            <w:vAlign w:val="center"/>
            <w:hideMark/>
          </w:tcPr>
          <w:p w14:paraId="5253A653"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43BFD997"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tcPr>
          <w:p w14:paraId="76003F96"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tcPr>
          <w:p w14:paraId="02944E90"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COPASA</w:t>
            </w:r>
          </w:p>
        </w:tc>
        <w:tc>
          <w:tcPr>
            <w:tcW w:w="1693" w:type="dxa"/>
            <w:tcBorders>
              <w:top w:val="nil"/>
              <w:left w:val="nil"/>
              <w:bottom w:val="single" w:sz="4" w:space="0" w:color="auto"/>
              <w:right w:val="single" w:sz="8" w:space="0" w:color="auto"/>
            </w:tcBorders>
            <w:shd w:val="clear" w:color="auto" w:fill="auto"/>
            <w:noWrap/>
            <w:vAlign w:val="center"/>
          </w:tcPr>
          <w:p w14:paraId="0E96A18A"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1C75A096"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320B5803"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783C42FA"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ELEKTRO</w:t>
            </w:r>
          </w:p>
        </w:tc>
        <w:tc>
          <w:tcPr>
            <w:tcW w:w="1693" w:type="dxa"/>
            <w:tcBorders>
              <w:top w:val="nil"/>
              <w:left w:val="nil"/>
              <w:bottom w:val="single" w:sz="4" w:space="0" w:color="auto"/>
              <w:right w:val="single" w:sz="8" w:space="0" w:color="auto"/>
            </w:tcBorders>
            <w:shd w:val="clear" w:color="auto" w:fill="auto"/>
            <w:noWrap/>
            <w:vAlign w:val="center"/>
            <w:hideMark/>
          </w:tcPr>
          <w:p w14:paraId="3AE2737F"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59419F78"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679E5EF9"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41AE7769"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ENERGIAS BR</w:t>
            </w:r>
          </w:p>
        </w:tc>
        <w:tc>
          <w:tcPr>
            <w:tcW w:w="1693" w:type="dxa"/>
            <w:tcBorders>
              <w:top w:val="nil"/>
              <w:left w:val="nil"/>
              <w:bottom w:val="single" w:sz="4" w:space="0" w:color="auto"/>
              <w:right w:val="single" w:sz="8" w:space="0" w:color="auto"/>
            </w:tcBorders>
            <w:shd w:val="clear" w:color="auto" w:fill="auto"/>
            <w:noWrap/>
            <w:vAlign w:val="center"/>
            <w:hideMark/>
          </w:tcPr>
          <w:p w14:paraId="5D27C1C6"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PWC</w:t>
            </w:r>
          </w:p>
        </w:tc>
      </w:tr>
      <w:tr w:rsidR="00D368C5" w:rsidRPr="00CE6CC0" w14:paraId="76E2704A"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458FB6EE"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3569975D"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LIGHT</w:t>
            </w:r>
          </w:p>
        </w:tc>
        <w:tc>
          <w:tcPr>
            <w:tcW w:w="1693" w:type="dxa"/>
            <w:tcBorders>
              <w:top w:val="nil"/>
              <w:left w:val="nil"/>
              <w:bottom w:val="single" w:sz="4" w:space="0" w:color="auto"/>
              <w:right w:val="single" w:sz="8" w:space="0" w:color="auto"/>
            </w:tcBorders>
            <w:shd w:val="clear" w:color="auto" w:fill="auto"/>
            <w:noWrap/>
            <w:vAlign w:val="center"/>
            <w:hideMark/>
          </w:tcPr>
          <w:p w14:paraId="2EE08887"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DTT</w:t>
            </w:r>
          </w:p>
        </w:tc>
      </w:tr>
      <w:tr w:rsidR="00D368C5" w:rsidRPr="00CE6CC0" w14:paraId="0FBAAF00"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67FAD180"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1C43F6D7"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SABESP</w:t>
            </w:r>
          </w:p>
        </w:tc>
        <w:tc>
          <w:tcPr>
            <w:tcW w:w="1693" w:type="dxa"/>
            <w:tcBorders>
              <w:top w:val="nil"/>
              <w:left w:val="nil"/>
              <w:bottom w:val="single" w:sz="4" w:space="0" w:color="auto"/>
              <w:right w:val="single" w:sz="8" w:space="0" w:color="auto"/>
            </w:tcBorders>
            <w:shd w:val="clear" w:color="auto" w:fill="auto"/>
            <w:noWrap/>
            <w:vAlign w:val="center"/>
            <w:hideMark/>
          </w:tcPr>
          <w:p w14:paraId="766159B0"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KPMG</w:t>
            </w:r>
          </w:p>
        </w:tc>
      </w:tr>
      <w:tr w:rsidR="00D368C5" w:rsidRPr="00CE6CC0" w14:paraId="10EB0109" w14:textId="77777777" w:rsidTr="001B03DF">
        <w:trPr>
          <w:trHeight w:val="278"/>
        </w:trPr>
        <w:tc>
          <w:tcPr>
            <w:tcW w:w="2192" w:type="dxa"/>
            <w:vMerge/>
            <w:tcBorders>
              <w:top w:val="single" w:sz="4" w:space="0" w:color="auto"/>
              <w:left w:val="single" w:sz="8" w:space="0" w:color="auto"/>
              <w:bottom w:val="single" w:sz="8" w:space="0" w:color="000000"/>
              <w:right w:val="single" w:sz="8" w:space="0" w:color="auto"/>
            </w:tcBorders>
            <w:vAlign w:val="center"/>
            <w:hideMark/>
          </w:tcPr>
          <w:p w14:paraId="07D8426F" w14:textId="77777777" w:rsidR="00D368C5" w:rsidRPr="00CE6CC0" w:rsidRDefault="00D368C5" w:rsidP="001B03DF">
            <w:pPr>
              <w:spacing w:after="0" w:line="240" w:lineRule="auto"/>
              <w:jc w:val="left"/>
              <w:rPr>
                <w:rFonts w:ascii="Times" w:eastAsia="Times New Roman" w:hAnsi="Times" w:cs="Times New Roman"/>
                <w:b/>
                <w:bCs/>
                <w:color w:val="262626"/>
                <w:szCs w:val="24"/>
                <w:lang w:eastAsia="pt-BR"/>
              </w:rPr>
            </w:pPr>
          </w:p>
        </w:tc>
        <w:tc>
          <w:tcPr>
            <w:tcW w:w="5504" w:type="dxa"/>
            <w:tcBorders>
              <w:top w:val="nil"/>
              <w:left w:val="nil"/>
              <w:bottom w:val="single" w:sz="4" w:space="0" w:color="auto"/>
              <w:right w:val="single" w:sz="4" w:space="0" w:color="auto"/>
            </w:tcBorders>
            <w:shd w:val="clear" w:color="auto" w:fill="auto"/>
            <w:noWrap/>
            <w:vAlign w:val="bottom"/>
            <w:hideMark/>
          </w:tcPr>
          <w:p w14:paraId="0E794EFB" w14:textId="77777777" w:rsidR="00D368C5" w:rsidRPr="00CE6CC0" w:rsidRDefault="00D368C5" w:rsidP="001B03DF">
            <w:pPr>
              <w:spacing w:after="0" w:line="240" w:lineRule="auto"/>
              <w:jc w:val="left"/>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SANEPAR</w:t>
            </w:r>
          </w:p>
        </w:tc>
        <w:tc>
          <w:tcPr>
            <w:tcW w:w="1693" w:type="dxa"/>
            <w:tcBorders>
              <w:top w:val="nil"/>
              <w:left w:val="nil"/>
              <w:bottom w:val="single" w:sz="4" w:space="0" w:color="auto"/>
              <w:right w:val="single" w:sz="8" w:space="0" w:color="auto"/>
            </w:tcBorders>
            <w:shd w:val="clear" w:color="auto" w:fill="auto"/>
            <w:noWrap/>
            <w:vAlign w:val="center"/>
            <w:hideMark/>
          </w:tcPr>
          <w:p w14:paraId="5ED79E91" w14:textId="77777777" w:rsidR="00D368C5" w:rsidRPr="00CE6CC0" w:rsidRDefault="00D368C5" w:rsidP="001B03DF">
            <w:pPr>
              <w:spacing w:after="0" w:line="240" w:lineRule="auto"/>
              <w:jc w:val="center"/>
              <w:rPr>
                <w:rFonts w:ascii="Times" w:eastAsia="Times New Roman" w:hAnsi="Times" w:cs="Times New Roman"/>
                <w:color w:val="000000" w:themeColor="text1"/>
                <w:sz w:val="22"/>
                <w:lang w:eastAsia="pt-BR"/>
              </w:rPr>
            </w:pPr>
            <w:r w:rsidRPr="00CE6CC0">
              <w:rPr>
                <w:rFonts w:ascii="Times" w:eastAsia="Times New Roman" w:hAnsi="Times" w:cs="Times New Roman"/>
                <w:color w:val="000000" w:themeColor="text1"/>
                <w:sz w:val="22"/>
                <w:lang w:eastAsia="pt-BR"/>
              </w:rPr>
              <w:t>EY</w:t>
            </w:r>
          </w:p>
        </w:tc>
      </w:tr>
    </w:tbl>
    <w:p w14:paraId="22938060" w14:textId="77777777" w:rsidR="00D368C5" w:rsidRPr="00CE6CC0" w:rsidRDefault="00D368C5" w:rsidP="00D368C5">
      <w:pPr>
        <w:spacing w:line="240" w:lineRule="auto"/>
        <w:rPr>
          <w:rFonts w:ascii="Times" w:eastAsia="Times New Roman" w:hAnsi="Times" w:cs="Times New Roman"/>
          <w:b/>
          <w:bCs/>
          <w:sz w:val="20"/>
          <w:szCs w:val="20"/>
          <w:lang w:eastAsia="pt-BR"/>
        </w:rPr>
      </w:pPr>
      <w:r w:rsidRPr="00CE6CC0">
        <w:rPr>
          <w:rFonts w:ascii="Times" w:eastAsia="Times New Roman" w:hAnsi="Times" w:cs="Times New Roman"/>
          <w:lang w:eastAsia="pt-BR"/>
        </w:rPr>
        <w:t xml:space="preserve"> </w:t>
      </w:r>
      <w:r w:rsidRPr="00CE6CC0">
        <w:rPr>
          <w:rFonts w:ascii="Times" w:eastAsia="Times New Roman" w:hAnsi="Times" w:cs="Times New Roman"/>
          <w:b/>
          <w:bCs/>
          <w:sz w:val="20"/>
          <w:szCs w:val="20"/>
          <w:lang w:eastAsia="pt-BR"/>
        </w:rPr>
        <w:t xml:space="preserve">Fonte: Elaborado pelos autores       </w:t>
      </w:r>
    </w:p>
    <w:p w14:paraId="22713A1A" w14:textId="13D323DD" w:rsidR="00D368C5" w:rsidRDefault="00D368C5" w:rsidP="008B60A3">
      <w:pPr>
        <w:spacing w:line="240" w:lineRule="auto"/>
        <w:rPr>
          <w:rFonts w:ascii="Times" w:hAnsi="Times" w:cs="Times New Roman"/>
          <w:szCs w:val="24"/>
        </w:rPr>
      </w:pPr>
    </w:p>
    <w:p w14:paraId="26138FF5" w14:textId="57866618" w:rsidR="00047280" w:rsidRDefault="00047280" w:rsidP="008B60A3">
      <w:pPr>
        <w:spacing w:line="240" w:lineRule="auto"/>
        <w:rPr>
          <w:rFonts w:ascii="Times" w:hAnsi="Times" w:cs="Times New Roman"/>
          <w:szCs w:val="24"/>
        </w:rPr>
      </w:pPr>
    </w:p>
    <w:p w14:paraId="70BE52DF" w14:textId="3165D4E9" w:rsidR="00047280" w:rsidRDefault="00047280" w:rsidP="00047280">
      <w:pPr>
        <w:spacing w:line="240" w:lineRule="auto"/>
        <w:rPr>
          <w:rFonts w:ascii="Times" w:hAnsi="Times" w:cs="Times New Roman"/>
          <w:szCs w:val="24"/>
        </w:rPr>
      </w:pPr>
      <w:r>
        <w:rPr>
          <w:rFonts w:ascii="Times" w:hAnsi="Times" w:cs="Times New Roman"/>
          <w:szCs w:val="24"/>
        </w:rPr>
        <w:t xml:space="preserve">Anexo II  - </w:t>
      </w:r>
      <w:r w:rsidRPr="00047280">
        <w:rPr>
          <w:rFonts w:ascii="Times" w:eastAsia="Arial" w:hAnsi="Times" w:cs="Times New Roman"/>
          <w:bCs/>
          <w:iCs/>
          <w:kern w:val="3"/>
        </w:rPr>
        <w:t>Checklist</w:t>
      </w:r>
    </w:p>
    <w:p w14:paraId="5A079A7B" w14:textId="77777777" w:rsidR="00047280" w:rsidRDefault="00047280" w:rsidP="008B60A3">
      <w:pPr>
        <w:spacing w:line="240" w:lineRule="auto"/>
        <w:rPr>
          <w:rFonts w:ascii="Times" w:hAnsi="Times" w:cs="Times New Roman"/>
          <w:szCs w:val="24"/>
        </w:rPr>
      </w:pPr>
    </w:p>
    <w:p w14:paraId="3711A65A" w14:textId="19E71F51" w:rsidR="00047280" w:rsidRPr="00CE6CC0" w:rsidRDefault="00047280" w:rsidP="00047280">
      <w:pPr>
        <w:suppressAutoHyphens/>
        <w:autoSpaceDE w:val="0"/>
        <w:autoSpaceDN w:val="0"/>
        <w:spacing w:after="40" w:line="240" w:lineRule="auto"/>
        <w:jc w:val="center"/>
        <w:textAlignment w:val="baseline"/>
        <w:rPr>
          <w:rFonts w:ascii="Times" w:eastAsia="Arial" w:hAnsi="Times" w:cs="Times New Roman"/>
          <w:b/>
          <w:bCs/>
        </w:rPr>
      </w:pPr>
      <w:r>
        <w:rPr>
          <w:rFonts w:ascii="Times" w:eastAsia="Arial" w:hAnsi="Times" w:cs="Times New Roman"/>
          <w:b/>
          <w:bCs/>
          <w:kern w:val="3"/>
        </w:rPr>
        <w:t>Quadro 3</w:t>
      </w:r>
      <w:r w:rsidRPr="00CE6CC0">
        <w:rPr>
          <w:rFonts w:ascii="Times" w:eastAsia="Arial" w:hAnsi="Times" w:cs="Times New Roman"/>
          <w:b/>
          <w:bCs/>
          <w:kern w:val="3"/>
        </w:rPr>
        <w:t xml:space="preserve">: </w:t>
      </w:r>
      <w:r w:rsidRPr="00CE6CC0">
        <w:rPr>
          <w:rFonts w:ascii="Times" w:eastAsia="Arial" w:hAnsi="Times" w:cs="Times New Roman"/>
          <w:b/>
          <w:bCs/>
          <w:i/>
          <w:iCs/>
          <w:kern w:val="3"/>
        </w:rPr>
        <w:t>Checklist</w:t>
      </w:r>
      <w:r w:rsidRPr="00CE6CC0">
        <w:rPr>
          <w:rFonts w:ascii="Times" w:eastAsia="Arial" w:hAnsi="Times" w:cs="Times New Roman"/>
          <w:b/>
          <w:bCs/>
          <w:kern w:val="3"/>
        </w:rPr>
        <w:t xml:space="preserve"> para verificação da divulgação dos ativos intangíveis</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7"/>
      </w:tblGrid>
      <w:tr w:rsidR="00047280" w:rsidRPr="00CE6CC0" w14:paraId="791F819D" w14:textId="77777777" w:rsidTr="00AA79D8">
        <w:trPr>
          <w:trHeight w:val="50"/>
          <w:jc w:val="center"/>
        </w:trPr>
        <w:tc>
          <w:tcPr>
            <w:tcW w:w="9127" w:type="dxa"/>
            <w:shd w:val="clear" w:color="auto" w:fill="auto"/>
            <w:vAlign w:val="bottom"/>
          </w:tcPr>
          <w:p w14:paraId="3B2798D9" w14:textId="77777777" w:rsidR="00047280" w:rsidRPr="00CE6CC0" w:rsidRDefault="00047280" w:rsidP="00AA79D8">
            <w:pPr>
              <w:spacing w:before="40" w:after="40" w:line="240" w:lineRule="auto"/>
              <w:rPr>
                <w:rFonts w:ascii="Times" w:hAnsi="Times" w:cs="Times New Roman"/>
                <w:b/>
                <w:bCs/>
                <w:color w:val="000000" w:themeColor="text1"/>
              </w:rPr>
            </w:pPr>
            <w:r w:rsidRPr="00CE6CC0">
              <w:rPr>
                <w:rFonts w:ascii="Times" w:hAnsi="Times" w:cs="Times New Roman"/>
                <w:b/>
                <w:bCs/>
                <w:color w:val="000000" w:themeColor="text1"/>
              </w:rPr>
              <w:t>Item 118 a 123. Geral</w:t>
            </w:r>
          </w:p>
        </w:tc>
      </w:tr>
      <w:tr w:rsidR="00047280" w:rsidRPr="00CE6CC0" w14:paraId="7CE89AB7" w14:textId="77777777" w:rsidTr="00AA79D8">
        <w:trPr>
          <w:trHeight w:val="50"/>
          <w:jc w:val="center"/>
        </w:trPr>
        <w:tc>
          <w:tcPr>
            <w:tcW w:w="9127" w:type="dxa"/>
            <w:shd w:val="clear" w:color="auto" w:fill="auto"/>
            <w:vAlign w:val="bottom"/>
          </w:tcPr>
          <w:p w14:paraId="48BC5A7F"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w:t>
            </w:r>
            <w:r w:rsidRPr="00CE6CC0">
              <w:rPr>
                <w:rFonts w:ascii="Times" w:hAnsi="Times" w:cs="Times New Roman"/>
                <w:color w:val="000000" w:themeColor="text1"/>
              </w:rPr>
              <w:t xml:space="preserve"> Distinção entre ativos intangíveis gerados internamente e outros ativos intangíveis</w:t>
            </w:r>
          </w:p>
        </w:tc>
      </w:tr>
      <w:tr w:rsidR="00047280" w:rsidRPr="00CE6CC0" w14:paraId="2BF78853" w14:textId="77777777" w:rsidTr="00AA79D8">
        <w:trPr>
          <w:trHeight w:val="50"/>
          <w:jc w:val="center"/>
        </w:trPr>
        <w:tc>
          <w:tcPr>
            <w:tcW w:w="9127" w:type="dxa"/>
            <w:shd w:val="clear" w:color="auto" w:fill="auto"/>
            <w:vAlign w:val="bottom"/>
          </w:tcPr>
          <w:p w14:paraId="028463DB"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2.</w:t>
            </w:r>
            <w:r w:rsidRPr="00CE6CC0">
              <w:rPr>
                <w:rFonts w:ascii="Times" w:hAnsi="Times" w:cs="Times New Roman"/>
                <w:color w:val="000000" w:themeColor="text1"/>
              </w:rPr>
              <w:t xml:space="preserve"> Definição de vida útil (definida ou indefinida) – valor contábil e motivos fundamentais</w:t>
            </w:r>
          </w:p>
        </w:tc>
      </w:tr>
      <w:tr w:rsidR="00047280" w:rsidRPr="00CE6CC0" w14:paraId="6E8A8202" w14:textId="77777777" w:rsidTr="00AA79D8">
        <w:trPr>
          <w:trHeight w:val="50"/>
          <w:jc w:val="center"/>
        </w:trPr>
        <w:tc>
          <w:tcPr>
            <w:tcW w:w="9127" w:type="dxa"/>
            <w:shd w:val="clear" w:color="auto" w:fill="auto"/>
            <w:vAlign w:val="bottom"/>
          </w:tcPr>
          <w:p w14:paraId="5235A1BC"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3.</w:t>
            </w:r>
            <w:r w:rsidRPr="00CE6CC0">
              <w:rPr>
                <w:rFonts w:ascii="Times" w:hAnsi="Times" w:cs="Times New Roman"/>
                <w:color w:val="000000" w:themeColor="text1"/>
              </w:rPr>
              <w:t xml:space="preserve"> Métodos de amortização</w:t>
            </w:r>
          </w:p>
        </w:tc>
      </w:tr>
      <w:tr w:rsidR="00047280" w:rsidRPr="00CE6CC0" w14:paraId="73632611" w14:textId="77777777" w:rsidTr="00AA79D8">
        <w:trPr>
          <w:trHeight w:val="50"/>
          <w:jc w:val="center"/>
        </w:trPr>
        <w:tc>
          <w:tcPr>
            <w:tcW w:w="9127" w:type="dxa"/>
            <w:shd w:val="clear" w:color="auto" w:fill="auto"/>
            <w:vAlign w:val="bottom"/>
          </w:tcPr>
          <w:p w14:paraId="52AA8953"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4.</w:t>
            </w:r>
            <w:r w:rsidRPr="00CE6CC0">
              <w:rPr>
                <w:rFonts w:ascii="Times" w:hAnsi="Times" w:cs="Times New Roman"/>
                <w:color w:val="000000" w:themeColor="text1"/>
              </w:rPr>
              <w:t xml:space="preserve"> Valor contábil bruto e eventual amortização acumulada (início e final do período)</w:t>
            </w:r>
          </w:p>
        </w:tc>
      </w:tr>
      <w:tr w:rsidR="00047280" w:rsidRPr="00CE6CC0" w14:paraId="62E63EC7" w14:textId="77777777" w:rsidTr="00AA79D8">
        <w:trPr>
          <w:trHeight w:val="50"/>
          <w:jc w:val="center"/>
        </w:trPr>
        <w:tc>
          <w:tcPr>
            <w:tcW w:w="9127" w:type="dxa"/>
            <w:shd w:val="clear" w:color="auto" w:fill="auto"/>
            <w:vAlign w:val="bottom"/>
          </w:tcPr>
          <w:p w14:paraId="3DB8501D"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5.</w:t>
            </w:r>
            <w:r w:rsidRPr="00CE6CC0">
              <w:rPr>
                <w:rFonts w:ascii="Times" w:hAnsi="Times" w:cs="Times New Roman"/>
                <w:color w:val="000000" w:themeColor="text1"/>
              </w:rPr>
              <w:t xml:space="preserve"> Rubrica da Demonstração do Resultado em que for incluída a amortização do Ativo Intangível</w:t>
            </w:r>
          </w:p>
        </w:tc>
      </w:tr>
      <w:tr w:rsidR="00047280" w:rsidRPr="00CE6CC0" w14:paraId="340BAF80" w14:textId="77777777" w:rsidTr="00AA79D8">
        <w:trPr>
          <w:trHeight w:val="50"/>
          <w:jc w:val="center"/>
        </w:trPr>
        <w:tc>
          <w:tcPr>
            <w:tcW w:w="9127" w:type="dxa"/>
            <w:shd w:val="clear" w:color="auto" w:fill="auto"/>
            <w:vAlign w:val="bottom"/>
          </w:tcPr>
          <w:p w14:paraId="360334C1"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w:t>
            </w:r>
            <w:r w:rsidRPr="00CE6CC0">
              <w:rPr>
                <w:rFonts w:ascii="Times" w:hAnsi="Times" w:cs="Times New Roman"/>
                <w:color w:val="000000" w:themeColor="text1"/>
              </w:rPr>
              <w:t xml:space="preserve"> Conciliação do valor contábil, demonstrando:</w:t>
            </w:r>
          </w:p>
        </w:tc>
      </w:tr>
      <w:tr w:rsidR="00047280" w:rsidRPr="00CE6CC0" w14:paraId="40DCBD5C" w14:textId="77777777" w:rsidTr="00AA79D8">
        <w:trPr>
          <w:trHeight w:val="50"/>
          <w:jc w:val="center"/>
        </w:trPr>
        <w:tc>
          <w:tcPr>
            <w:tcW w:w="9127" w:type="dxa"/>
            <w:shd w:val="clear" w:color="auto" w:fill="auto"/>
            <w:vAlign w:val="bottom"/>
          </w:tcPr>
          <w:p w14:paraId="3F587DBE"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6.1.</w:t>
            </w:r>
            <w:r w:rsidRPr="00CE6CC0">
              <w:rPr>
                <w:rFonts w:ascii="Times" w:hAnsi="Times" w:cs="Times New Roman"/>
                <w:color w:val="000000" w:themeColor="text1"/>
              </w:rPr>
              <w:t xml:space="preserve"> Adições (separando as geradas internamente e as adquiridas)</w:t>
            </w:r>
          </w:p>
        </w:tc>
      </w:tr>
      <w:tr w:rsidR="00047280" w:rsidRPr="00CE6CC0" w14:paraId="52397C35" w14:textId="77777777" w:rsidTr="00AA79D8">
        <w:trPr>
          <w:trHeight w:val="50"/>
          <w:jc w:val="center"/>
        </w:trPr>
        <w:tc>
          <w:tcPr>
            <w:tcW w:w="9127" w:type="dxa"/>
            <w:shd w:val="clear" w:color="auto" w:fill="auto"/>
            <w:vAlign w:val="bottom"/>
          </w:tcPr>
          <w:p w14:paraId="6F595C5E"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6.2.</w:t>
            </w:r>
            <w:r w:rsidRPr="00CE6CC0">
              <w:rPr>
                <w:rFonts w:ascii="Times" w:hAnsi="Times" w:cs="Times New Roman"/>
                <w:color w:val="000000" w:themeColor="text1"/>
              </w:rPr>
              <w:t xml:space="preserve"> Classificados como mantidos para venda</w:t>
            </w:r>
          </w:p>
        </w:tc>
      </w:tr>
      <w:tr w:rsidR="00047280" w:rsidRPr="00CE6CC0" w14:paraId="0AD34C61" w14:textId="77777777" w:rsidTr="00AA79D8">
        <w:trPr>
          <w:trHeight w:val="50"/>
          <w:jc w:val="center"/>
        </w:trPr>
        <w:tc>
          <w:tcPr>
            <w:tcW w:w="9127" w:type="dxa"/>
            <w:shd w:val="clear" w:color="auto" w:fill="auto"/>
            <w:vAlign w:val="bottom"/>
          </w:tcPr>
          <w:p w14:paraId="025ED30D"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6.3.</w:t>
            </w:r>
            <w:r w:rsidRPr="00CE6CC0">
              <w:rPr>
                <w:rFonts w:ascii="Times" w:hAnsi="Times" w:cs="Times New Roman"/>
                <w:color w:val="000000" w:themeColor="text1"/>
              </w:rPr>
              <w:t xml:space="preserve"> Aumentos ou reduções no período decorrentes de reavaliações</w:t>
            </w:r>
          </w:p>
        </w:tc>
      </w:tr>
      <w:tr w:rsidR="00047280" w:rsidRPr="00CE6CC0" w14:paraId="30C15B1D" w14:textId="77777777" w:rsidTr="00AA79D8">
        <w:trPr>
          <w:trHeight w:val="50"/>
          <w:jc w:val="center"/>
        </w:trPr>
        <w:tc>
          <w:tcPr>
            <w:tcW w:w="9127" w:type="dxa"/>
            <w:shd w:val="clear" w:color="auto" w:fill="auto"/>
            <w:vAlign w:val="bottom"/>
          </w:tcPr>
          <w:p w14:paraId="6725D09F"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color w:val="000000" w:themeColor="text1"/>
              </w:rPr>
              <w:t>6</w:t>
            </w:r>
            <w:r w:rsidRPr="00CE6CC0">
              <w:rPr>
                <w:rFonts w:ascii="Times" w:hAnsi="Times" w:cs="Times New Roman"/>
                <w:b/>
                <w:bCs/>
                <w:color w:val="000000" w:themeColor="text1"/>
              </w:rPr>
              <w:t>.4</w:t>
            </w:r>
            <w:r w:rsidRPr="00CE6CC0">
              <w:rPr>
                <w:rFonts w:ascii="Times" w:hAnsi="Times" w:cs="Times New Roman"/>
                <w:color w:val="000000" w:themeColor="text1"/>
              </w:rPr>
              <w:t>. Provisões para perda de ativos intangíveis (conforme CPC 01)</w:t>
            </w:r>
          </w:p>
        </w:tc>
      </w:tr>
      <w:tr w:rsidR="00047280" w:rsidRPr="00CE6CC0" w14:paraId="6A83B485" w14:textId="77777777" w:rsidTr="00AA79D8">
        <w:trPr>
          <w:trHeight w:val="50"/>
          <w:jc w:val="center"/>
        </w:trPr>
        <w:tc>
          <w:tcPr>
            <w:tcW w:w="9127" w:type="dxa"/>
            <w:shd w:val="clear" w:color="auto" w:fill="auto"/>
            <w:vAlign w:val="bottom"/>
          </w:tcPr>
          <w:p w14:paraId="04D13FA8"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6.5.</w:t>
            </w:r>
            <w:r w:rsidRPr="00CE6CC0">
              <w:rPr>
                <w:rFonts w:ascii="Times" w:hAnsi="Times" w:cs="Times New Roman"/>
                <w:color w:val="000000" w:themeColor="text1"/>
              </w:rPr>
              <w:t xml:space="preserve"> Reversão de perdas por desvalorização</w:t>
            </w:r>
          </w:p>
        </w:tc>
      </w:tr>
      <w:tr w:rsidR="00047280" w:rsidRPr="00CE6CC0" w14:paraId="7F9B4DCF" w14:textId="77777777" w:rsidTr="00AA79D8">
        <w:trPr>
          <w:trHeight w:val="50"/>
          <w:jc w:val="center"/>
        </w:trPr>
        <w:tc>
          <w:tcPr>
            <w:tcW w:w="9127" w:type="dxa"/>
            <w:shd w:val="clear" w:color="auto" w:fill="auto"/>
            <w:vAlign w:val="bottom"/>
          </w:tcPr>
          <w:p w14:paraId="59B13DC3"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lastRenderedPageBreak/>
              <w:t>6.6</w:t>
            </w:r>
            <w:r w:rsidRPr="00CE6CC0">
              <w:rPr>
                <w:rFonts w:ascii="Times" w:hAnsi="Times" w:cs="Times New Roman"/>
                <w:color w:val="000000" w:themeColor="text1"/>
              </w:rPr>
              <w:t>. Qualquer amortização reconhecida no período</w:t>
            </w:r>
          </w:p>
        </w:tc>
      </w:tr>
      <w:tr w:rsidR="00047280" w:rsidRPr="00CE6CC0" w14:paraId="4D27F808" w14:textId="77777777" w:rsidTr="00AA79D8">
        <w:trPr>
          <w:trHeight w:val="50"/>
          <w:jc w:val="center"/>
        </w:trPr>
        <w:tc>
          <w:tcPr>
            <w:tcW w:w="9127" w:type="dxa"/>
            <w:shd w:val="clear" w:color="auto" w:fill="auto"/>
            <w:vAlign w:val="bottom"/>
          </w:tcPr>
          <w:p w14:paraId="0404F497"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6.7.</w:t>
            </w:r>
            <w:r w:rsidRPr="00CE6CC0">
              <w:rPr>
                <w:rFonts w:ascii="Times" w:hAnsi="Times" w:cs="Times New Roman"/>
                <w:color w:val="000000" w:themeColor="text1"/>
              </w:rPr>
              <w:t xml:space="preserve"> Variações cambiais</w:t>
            </w:r>
          </w:p>
        </w:tc>
      </w:tr>
      <w:tr w:rsidR="00047280" w:rsidRPr="00CE6CC0" w14:paraId="23DEA10D" w14:textId="77777777" w:rsidTr="00AA79D8">
        <w:trPr>
          <w:trHeight w:val="50"/>
          <w:jc w:val="center"/>
        </w:trPr>
        <w:tc>
          <w:tcPr>
            <w:tcW w:w="9127" w:type="dxa"/>
            <w:shd w:val="clear" w:color="auto" w:fill="auto"/>
            <w:vAlign w:val="bottom"/>
          </w:tcPr>
          <w:p w14:paraId="11632712"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6.8.</w:t>
            </w:r>
            <w:r w:rsidRPr="00CE6CC0">
              <w:rPr>
                <w:rFonts w:ascii="Times" w:hAnsi="Times" w:cs="Times New Roman"/>
                <w:color w:val="000000" w:themeColor="text1"/>
              </w:rPr>
              <w:t xml:space="preserve"> Outras alterações</w:t>
            </w:r>
          </w:p>
        </w:tc>
      </w:tr>
      <w:tr w:rsidR="00047280" w:rsidRPr="00CE6CC0" w14:paraId="457CE19E" w14:textId="77777777" w:rsidTr="00AA79D8">
        <w:trPr>
          <w:trHeight w:val="50"/>
          <w:jc w:val="center"/>
        </w:trPr>
        <w:tc>
          <w:tcPr>
            <w:tcW w:w="9127" w:type="dxa"/>
            <w:shd w:val="clear" w:color="auto" w:fill="auto"/>
            <w:vAlign w:val="bottom"/>
          </w:tcPr>
          <w:p w14:paraId="2ED53C73"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7. </w:t>
            </w:r>
            <w:r w:rsidRPr="00CE6CC0">
              <w:rPr>
                <w:rFonts w:ascii="Times" w:hAnsi="Times" w:cs="Times New Roman"/>
                <w:color w:val="000000" w:themeColor="text1"/>
              </w:rPr>
              <w:t>Separar em classes menores ou maiores se isso resultar em informação mais relevante para os usuários</w:t>
            </w:r>
          </w:p>
        </w:tc>
      </w:tr>
      <w:tr w:rsidR="00047280" w:rsidRPr="00CE6CC0" w14:paraId="025557EF" w14:textId="77777777" w:rsidTr="00AA79D8">
        <w:trPr>
          <w:trHeight w:val="50"/>
          <w:jc w:val="center"/>
        </w:trPr>
        <w:tc>
          <w:tcPr>
            <w:tcW w:w="9127" w:type="dxa"/>
            <w:shd w:val="clear" w:color="auto" w:fill="auto"/>
            <w:vAlign w:val="bottom"/>
          </w:tcPr>
          <w:p w14:paraId="62E83C12"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8.</w:t>
            </w:r>
            <w:r w:rsidRPr="00CE6CC0">
              <w:rPr>
                <w:rFonts w:ascii="Times" w:hAnsi="Times" w:cs="Times New Roman"/>
                <w:color w:val="000000" w:themeColor="text1"/>
              </w:rPr>
              <w:t xml:space="preserve"> Informações sobre ativos intangíveis que perderam valor - </w:t>
            </w:r>
            <w:r w:rsidRPr="00CE6CC0">
              <w:rPr>
                <w:rFonts w:ascii="Times" w:hAnsi="Times" w:cs="Times New Roman"/>
                <w:i/>
                <w:iCs/>
                <w:color w:val="000000" w:themeColor="text1"/>
              </w:rPr>
              <w:t>Impairment</w:t>
            </w:r>
            <w:r w:rsidRPr="00CE6CC0">
              <w:rPr>
                <w:rFonts w:ascii="Times" w:hAnsi="Times" w:cs="Times New Roman"/>
                <w:color w:val="000000" w:themeColor="text1"/>
              </w:rPr>
              <w:t xml:space="preserve"> (CPC 01)</w:t>
            </w:r>
          </w:p>
        </w:tc>
      </w:tr>
      <w:tr w:rsidR="00047280" w:rsidRPr="00CE6CC0" w14:paraId="6CCF12B1" w14:textId="77777777" w:rsidTr="00AA79D8">
        <w:trPr>
          <w:trHeight w:val="50"/>
          <w:jc w:val="center"/>
        </w:trPr>
        <w:tc>
          <w:tcPr>
            <w:tcW w:w="9127" w:type="dxa"/>
            <w:shd w:val="clear" w:color="auto" w:fill="auto"/>
            <w:vAlign w:val="bottom"/>
          </w:tcPr>
          <w:p w14:paraId="1F1B13B0"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9.</w:t>
            </w:r>
            <w:r w:rsidRPr="00CE6CC0">
              <w:rPr>
                <w:rFonts w:ascii="Times" w:hAnsi="Times" w:cs="Times New Roman"/>
                <w:color w:val="000000" w:themeColor="text1"/>
              </w:rPr>
              <w:t xml:space="preserve"> Alterações relevantes nas estimativas contábeis:</w:t>
            </w:r>
          </w:p>
        </w:tc>
      </w:tr>
      <w:tr w:rsidR="00047280" w:rsidRPr="00CE6CC0" w14:paraId="0EDDE90D" w14:textId="77777777" w:rsidTr="00AA79D8">
        <w:trPr>
          <w:trHeight w:val="50"/>
          <w:jc w:val="center"/>
        </w:trPr>
        <w:tc>
          <w:tcPr>
            <w:tcW w:w="9127" w:type="dxa"/>
            <w:shd w:val="clear" w:color="auto" w:fill="auto"/>
            <w:vAlign w:val="bottom"/>
          </w:tcPr>
          <w:p w14:paraId="5F0CF348"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9.1. </w:t>
            </w:r>
            <w:r w:rsidRPr="00CE6CC0">
              <w:rPr>
                <w:rFonts w:ascii="Times" w:hAnsi="Times" w:cs="Times New Roman"/>
                <w:color w:val="000000" w:themeColor="text1"/>
              </w:rPr>
              <w:t>Vida útil</w:t>
            </w:r>
          </w:p>
        </w:tc>
      </w:tr>
      <w:tr w:rsidR="00047280" w:rsidRPr="00CE6CC0" w14:paraId="74AA90EE" w14:textId="77777777" w:rsidTr="00AA79D8">
        <w:trPr>
          <w:trHeight w:val="50"/>
          <w:jc w:val="center"/>
        </w:trPr>
        <w:tc>
          <w:tcPr>
            <w:tcW w:w="9127" w:type="dxa"/>
            <w:shd w:val="clear" w:color="auto" w:fill="auto"/>
            <w:vAlign w:val="bottom"/>
          </w:tcPr>
          <w:p w14:paraId="72424DAB"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9.2. </w:t>
            </w:r>
            <w:r w:rsidRPr="00CE6CC0">
              <w:rPr>
                <w:rFonts w:ascii="Times" w:hAnsi="Times" w:cs="Times New Roman"/>
                <w:color w:val="000000" w:themeColor="text1"/>
              </w:rPr>
              <w:t>Método de Amortização</w:t>
            </w:r>
          </w:p>
        </w:tc>
      </w:tr>
      <w:tr w:rsidR="00047280" w:rsidRPr="00CE6CC0" w14:paraId="281AC23C" w14:textId="77777777" w:rsidTr="00AA79D8">
        <w:trPr>
          <w:trHeight w:val="50"/>
          <w:jc w:val="center"/>
        </w:trPr>
        <w:tc>
          <w:tcPr>
            <w:tcW w:w="9127" w:type="dxa"/>
            <w:shd w:val="clear" w:color="auto" w:fill="auto"/>
            <w:vAlign w:val="bottom"/>
          </w:tcPr>
          <w:p w14:paraId="4E86E562" w14:textId="77777777" w:rsidR="00047280" w:rsidRPr="00CE6CC0" w:rsidRDefault="00047280" w:rsidP="00AA79D8">
            <w:pPr>
              <w:spacing w:before="20" w:after="20" w:line="240" w:lineRule="auto"/>
              <w:rPr>
                <w:rFonts w:ascii="Times" w:hAnsi="Times" w:cs="Times New Roman"/>
                <w:b/>
                <w:bCs/>
                <w:color w:val="000000" w:themeColor="text1"/>
              </w:rPr>
            </w:pPr>
            <w:r w:rsidRPr="00CE6CC0">
              <w:rPr>
                <w:rFonts w:ascii="Times" w:hAnsi="Times" w:cs="Times New Roman"/>
                <w:b/>
                <w:bCs/>
                <w:color w:val="000000" w:themeColor="text1"/>
              </w:rPr>
              <w:t xml:space="preserve">9.3. </w:t>
            </w:r>
            <w:r w:rsidRPr="00CE6CC0">
              <w:rPr>
                <w:rFonts w:ascii="Times" w:hAnsi="Times" w:cs="Times New Roman"/>
                <w:color w:val="000000" w:themeColor="text1"/>
              </w:rPr>
              <w:t>Valores residuais</w:t>
            </w:r>
          </w:p>
        </w:tc>
      </w:tr>
      <w:tr w:rsidR="00047280" w:rsidRPr="00CE6CC0" w14:paraId="2A60613A" w14:textId="77777777" w:rsidTr="00AA79D8">
        <w:trPr>
          <w:trHeight w:val="50"/>
          <w:jc w:val="center"/>
        </w:trPr>
        <w:tc>
          <w:tcPr>
            <w:tcW w:w="9127" w:type="dxa"/>
            <w:shd w:val="clear" w:color="auto" w:fill="auto"/>
            <w:vAlign w:val="bottom"/>
          </w:tcPr>
          <w:p w14:paraId="259A4546"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10. </w:t>
            </w:r>
            <w:r w:rsidRPr="00CE6CC0">
              <w:rPr>
                <w:rFonts w:ascii="Times" w:hAnsi="Times" w:cs="Times New Roman"/>
                <w:color w:val="000000" w:themeColor="text1"/>
              </w:rPr>
              <w:t>Valor contábil e motivos que fundamentam ativos avaliados como vida útil indefinida</w:t>
            </w:r>
          </w:p>
        </w:tc>
      </w:tr>
      <w:tr w:rsidR="00047280" w:rsidRPr="00CE6CC0" w14:paraId="6F217A53" w14:textId="77777777" w:rsidTr="00AA79D8">
        <w:trPr>
          <w:trHeight w:val="50"/>
          <w:jc w:val="center"/>
        </w:trPr>
        <w:tc>
          <w:tcPr>
            <w:tcW w:w="9127" w:type="dxa"/>
            <w:shd w:val="clear" w:color="auto" w:fill="auto"/>
            <w:vAlign w:val="bottom"/>
          </w:tcPr>
          <w:p w14:paraId="4E7EBCE5"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11.</w:t>
            </w:r>
            <w:r w:rsidRPr="00CE6CC0">
              <w:rPr>
                <w:rFonts w:ascii="Times" w:hAnsi="Times" w:cs="Times New Roman"/>
                <w:color w:val="000000" w:themeColor="text1"/>
              </w:rPr>
              <w:t xml:space="preserve"> Destaque de ativo intangível individual relevante (descrição, valor contábil e prazo de amortização)</w:t>
            </w:r>
          </w:p>
        </w:tc>
      </w:tr>
      <w:tr w:rsidR="00047280" w:rsidRPr="00CE6CC0" w14:paraId="370E1D7F" w14:textId="77777777" w:rsidTr="00AA79D8">
        <w:trPr>
          <w:trHeight w:val="50"/>
          <w:jc w:val="center"/>
        </w:trPr>
        <w:tc>
          <w:tcPr>
            <w:tcW w:w="9127" w:type="dxa"/>
            <w:shd w:val="clear" w:color="auto" w:fill="auto"/>
            <w:vAlign w:val="bottom"/>
          </w:tcPr>
          <w:p w14:paraId="725EB9E3"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12.</w:t>
            </w:r>
            <w:r w:rsidRPr="00CE6CC0">
              <w:rPr>
                <w:rFonts w:ascii="Times" w:hAnsi="Times" w:cs="Times New Roman"/>
                <w:color w:val="000000" w:themeColor="text1"/>
              </w:rPr>
              <w:t xml:space="preserve"> Ativos intangíveis adquiridos por subvenção ou assistência governamental (valor justo, valor contábil e método de amortização)</w:t>
            </w:r>
          </w:p>
        </w:tc>
      </w:tr>
      <w:tr w:rsidR="00047280" w:rsidRPr="00CE6CC0" w14:paraId="76BF6C1D" w14:textId="77777777" w:rsidTr="00AA79D8">
        <w:trPr>
          <w:trHeight w:val="50"/>
          <w:jc w:val="center"/>
        </w:trPr>
        <w:tc>
          <w:tcPr>
            <w:tcW w:w="9127" w:type="dxa"/>
            <w:shd w:val="clear" w:color="auto" w:fill="auto"/>
            <w:vAlign w:val="bottom"/>
          </w:tcPr>
          <w:p w14:paraId="338E577F"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13.</w:t>
            </w:r>
            <w:r w:rsidRPr="00CE6CC0">
              <w:rPr>
                <w:rFonts w:ascii="Times" w:hAnsi="Times" w:cs="Times New Roman"/>
                <w:color w:val="000000" w:themeColor="text1"/>
              </w:rPr>
              <w:t xml:space="preserve"> Ativos intangíveis de titularidade restrita</w:t>
            </w:r>
          </w:p>
        </w:tc>
      </w:tr>
      <w:tr w:rsidR="00047280" w:rsidRPr="00CE6CC0" w14:paraId="26152DD7" w14:textId="77777777" w:rsidTr="00AA79D8">
        <w:trPr>
          <w:trHeight w:val="50"/>
          <w:jc w:val="center"/>
        </w:trPr>
        <w:tc>
          <w:tcPr>
            <w:tcW w:w="9127" w:type="dxa"/>
            <w:shd w:val="clear" w:color="auto" w:fill="auto"/>
            <w:vAlign w:val="bottom"/>
          </w:tcPr>
          <w:p w14:paraId="28A39198"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14.</w:t>
            </w:r>
            <w:r w:rsidRPr="00CE6CC0">
              <w:rPr>
                <w:rFonts w:ascii="Times" w:hAnsi="Times" w:cs="Times New Roman"/>
                <w:color w:val="000000" w:themeColor="text1"/>
              </w:rPr>
              <w:t xml:space="preserve"> Ativos intangíveis oferecidos em garantia de obrigações</w:t>
            </w:r>
          </w:p>
        </w:tc>
      </w:tr>
      <w:tr w:rsidR="00047280" w:rsidRPr="00CE6CC0" w14:paraId="451B0CAB" w14:textId="77777777" w:rsidTr="00AA79D8">
        <w:trPr>
          <w:trHeight w:val="50"/>
          <w:jc w:val="center"/>
        </w:trPr>
        <w:tc>
          <w:tcPr>
            <w:tcW w:w="9127" w:type="dxa"/>
            <w:shd w:val="clear" w:color="auto" w:fill="auto"/>
            <w:vAlign w:val="bottom"/>
          </w:tcPr>
          <w:p w14:paraId="158C5EBC"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15.</w:t>
            </w:r>
            <w:r w:rsidRPr="00CE6CC0">
              <w:rPr>
                <w:rFonts w:ascii="Times" w:hAnsi="Times" w:cs="Times New Roman"/>
                <w:color w:val="000000" w:themeColor="text1"/>
              </w:rPr>
              <w:t xml:space="preserve"> Valor dos compromissos contratuais na aquisição de ativos</w:t>
            </w:r>
          </w:p>
        </w:tc>
      </w:tr>
      <w:tr w:rsidR="00047280" w:rsidRPr="00CE6CC0" w14:paraId="59575146" w14:textId="77777777" w:rsidTr="00AA79D8">
        <w:trPr>
          <w:trHeight w:val="50"/>
          <w:jc w:val="center"/>
        </w:trPr>
        <w:tc>
          <w:tcPr>
            <w:tcW w:w="9127" w:type="dxa"/>
            <w:shd w:val="clear" w:color="auto" w:fill="auto"/>
            <w:vAlign w:val="bottom"/>
          </w:tcPr>
          <w:p w14:paraId="39C1C2B4"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16. </w:t>
            </w:r>
            <w:r w:rsidRPr="00CE6CC0">
              <w:rPr>
                <w:rFonts w:ascii="Times" w:hAnsi="Times" w:cs="Times New Roman"/>
                <w:color w:val="000000" w:themeColor="text1"/>
              </w:rPr>
              <w:t>Ao apresentar os motivos para ativos intangíveis de vida útil indefinida, levar em consideração o item 90.</w:t>
            </w:r>
          </w:p>
        </w:tc>
      </w:tr>
      <w:tr w:rsidR="00047280" w:rsidRPr="00CE6CC0" w14:paraId="7844154A" w14:textId="77777777" w:rsidTr="00AA79D8">
        <w:trPr>
          <w:trHeight w:val="50"/>
          <w:jc w:val="center"/>
        </w:trPr>
        <w:tc>
          <w:tcPr>
            <w:tcW w:w="9127" w:type="dxa"/>
            <w:shd w:val="clear" w:color="auto" w:fill="auto"/>
            <w:noWrap/>
            <w:vAlign w:val="bottom"/>
          </w:tcPr>
          <w:p w14:paraId="05D5DB20" w14:textId="77777777" w:rsidR="00047280" w:rsidRPr="00CE6CC0" w:rsidRDefault="00047280" w:rsidP="00AA79D8">
            <w:pPr>
              <w:spacing w:before="40" w:after="40" w:line="240" w:lineRule="auto"/>
              <w:rPr>
                <w:rFonts w:ascii="Times" w:hAnsi="Times" w:cs="Times New Roman"/>
                <w:b/>
                <w:bCs/>
                <w:color w:val="000000" w:themeColor="text1"/>
              </w:rPr>
            </w:pPr>
            <w:r w:rsidRPr="00CE6CC0">
              <w:rPr>
                <w:rFonts w:ascii="Times" w:hAnsi="Times" w:cs="Times New Roman"/>
                <w:b/>
                <w:bCs/>
                <w:color w:val="000000" w:themeColor="text1"/>
              </w:rPr>
              <w:t>Item 126 e 127. Gastos com pesquisa e desenvolvimento (P&amp;D)</w:t>
            </w:r>
          </w:p>
        </w:tc>
      </w:tr>
      <w:tr w:rsidR="00047280" w:rsidRPr="00CE6CC0" w14:paraId="637A86F1" w14:textId="77777777" w:rsidTr="00AA79D8">
        <w:trPr>
          <w:trHeight w:val="50"/>
          <w:jc w:val="center"/>
        </w:trPr>
        <w:tc>
          <w:tcPr>
            <w:tcW w:w="9127" w:type="dxa"/>
            <w:shd w:val="clear" w:color="auto" w:fill="auto"/>
            <w:vAlign w:val="bottom"/>
          </w:tcPr>
          <w:p w14:paraId="66F1C0B3"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1.</w:t>
            </w:r>
            <w:r w:rsidRPr="00CE6CC0">
              <w:rPr>
                <w:rFonts w:ascii="Times" w:hAnsi="Times" w:cs="Times New Roman"/>
                <w:color w:val="000000" w:themeColor="text1"/>
              </w:rPr>
              <w:t xml:space="preserve"> Divulgação dos gastos com P&amp;D reconhecidos como despesas</w:t>
            </w:r>
          </w:p>
        </w:tc>
      </w:tr>
      <w:tr w:rsidR="00047280" w:rsidRPr="00CE6CC0" w14:paraId="4AADDF21" w14:textId="77777777" w:rsidTr="00AA79D8">
        <w:trPr>
          <w:trHeight w:val="50"/>
          <w:jc w:val="center"/>
        </w:trPr>
        <w:tc>
          <w:tcPr>
            <w:tcW w:w="9127" w:type="dxa"/>
            <w:shd w:val="clear" w:color="auto" w:fill="auto"/>
            <w:vAlign w:val="bottom"/>
          </w:tcPr>
          <w:p w14:paraId="6E97A550" w14:textId="77777777" w:rsidR="00047280" w:rsidRPr="00CE6CC0" w:rsidRDefault="00047280" w:rsidP="00AA79D8">
            <w:pPr>
              <w:spacing w:before="20" w:after="20" w:line="240" w:lineRule="auto"/>
              <w:rPr>
                <w:rFonts w:ascii="Times" w:hAnsi="Times" w:cs="Times New Roman"/>
                <w:color w:val="000000" w:themeColor="text1"/>
              </w:rPr>
            </w:pPr>
            <w:r w:rsidRPr="00CE6CC0">
              <w:rPr>
                <w:rFonts w:ascii="Times" w:hAnsi="Times" w:cs="Times New Roman"/>
                <w:b/>
                <w:bCs/>
                <w:color w:val="000000" w:themeColor="text1"/>
              </w:rPr>
              <w:t xml:space="preserve">2. </w:t>
            </w:r>
            <w:r w:rsidRPr="00CE6CC0">
              <w:rPr>
                <w:rFonts w:ascii="Times" w:hAnsi="Times" w:cs="Times New Roman"/>
                <w:color w:val="000000" w:themeColor="text1"/>
              </w:rPr>
              <w:t>Para gastos com pesquisa e desenvolvimento, respeitar os itens 9, 66 e 67</w:t>
            </w:r>
          </w:p>
        </w:tc>
      </w:tr>
    </w:tbl>
    <w:p w14:paraId="0B55D294" w14:textId="77777777" w:rsidR="00047280" w:rsidRPr="00CE6CC0" w:rsidRDefault="00047280" w:rsidP="00047280">
      <w:pPr>
        <w:suppressAutoHyphens/>
        <w:autoSpaceDE w:val="0"/>
        <w:autoSpaceDN w:val="0"/>
        <w:spacing w:line="240" w:lineRule="auto"/>
        <w:textAlignment w:val="baseline"/>
        <w:rPr>
          <w:rFonts w:ascii="Times" w:eastAsia="Arial" w:hAnsi="Times" w:cs="Times New Roman"/>
          <w:b/>
          <w:bCs/>
          <w:sz w:val="20"/>
          <w:szCs w:val="20"/>
        </w:rPr>
      </w:pPr>
      <w:r w:rsidRPr="00CE6CC0">
        <w:rPr>
          <w:rFonts w:ascii="Times" w:eastAsia="Arial" w:hAnsi="Times" w:cs="Times New Roman"/>
          <w:b/>
          <w:bCs/>
          <w:kern w:val="3"/>
          <w:sz w:val="20"/>
          <w:szCs w:val="20"/>
        </w:rPr>
        <w:t xml:space="preserve"> Fonte: Elaborado pelos autores, a partir do IAS 38 (2017).</w:t>
      </w:r>
    </w:p>
    <w:p w14:paraId="3894947F" w14:textId="77777777" w:rsidR="00047280" w:rsidRPr="00CE6CC0" w:rsidRDefault="00047280" w:rsidP="008B60A3">
      <w:pPr>
        <w:spacing w:line="240" w:lineRule="auto"/>
        <w:rPr>
          <w:rFonts w:ascii="Times" w:hAnsi="Times" w:cs="Times New Roman"/>
          <w:szCs w:val="24"/>
        </w:rPr>
      </w:pPr>
    </w:p>
    <w:sectPr w:rsidR="00047280" w:rsidRPr="00CE6CC0" w:rsidSect="00240BB4">
      <w:headerReference w:type="default" r:id="rId22"/>
      <w:pgSz w:w="11906" w:h="16838"/>
      <w:pgMar w:top="1560"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07D0" w14:textId="77777777" w:rsidR="003A357D" w:rsidRDefault="003A357D" w:rsidP="00861769">
      <w:pPr>
        <w:spacing w:after="0" w:line="240" w:lineRule="auto"/>
      </w:pPr>
      <w:r>
        <w:separator/>
      </w:r>
    </w:p>
  </w:endnote>
  <w:endnote w:type="continuationSeparator" w:id="0">
    <w:p w14:paraId="5B94D668" w14:textId="77777777" w:rsidR="003A357D" w:rsidRDefault="003A357D" w:rsidP="0086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Times">
    <w:panose1 w:val="02000500000000000000"/>
    <w:charset w:val="00"/>
    <w:family w:val="auto"/>
    <w:pitch w:val="variable"/>
    <w:sig w:usb0="E00002FF" w:usb1="5000205A" w:usb2="00000000" w:usb3="00000000" w:csb0="0000019F" w:csb1="00000000"/>
  </w:font>
  <w:font w:name="ArialNarrow">
    <w:altName w:val="Arial"/>
    <w:panose1 w:val="020B0606020202030204"/>
    <w:charset w:val="00"/>
    <w:family w:val="swiss"/>
    <w:pitch w:val="variable"/>
    <w:sig w:usb0="00000001"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53BB" w14:textId="77777777" w:rsidR="003A357D" w:rsidRDefault="003A357D" w:rsidP="00861769">
      <w:pPr>
        <w:spacing w:after="0" w:line="240" w:lineRule="auto"/>
      </w:pPr>
      <w:r>
        <w:separator/>
      </w:r>
    </w:p>
  </w:footnote>
  <w:footnote w:type="continuationSeparator" w:id="0">
    <w:p w14:paraId="48764501" w14:textId="77777777" w:rsidR="003A357D" w:rsidRDefault="003A357D" w:rsidP="00861769">
      <w:pPr>
        <w:spacing w:after="0" w:line="240" w:lineRule="auto"/>
      </w:pPr>
      <w:r>
        <w:continuationSeparator/>
      </w:r>
    </w:p>
  </w:footnote>
  <w:footnote w:id="1">
    <w:p w14:paraId="54F418C9" w14:textId="25A3CD3C" w:rsidR="001171EF" w:rsidRPr="00420C8D" w:rsidRDefault="001171EF" w:rsidP="00420C8D">
      <w:pPr>
        <w:spacing w:after="0" w:line="240" w:lineRule="auto"/>
        <w:jc w:val="left"/>
        <w:rPr>
          <w:rFonts w:ascii="Times" w:eastAsia="Times New Roman" w:hAnsi="Times" w:cs="Times New Roman"/>
          <w:sz w:val="20"/>
          <w:szCs w:val="20"/>
          <w:lang w:eastAsia="pt-BR"/>
        </w:rPr>
      </w:pPr>
      <w:r w:rsidRPr="00DE15C1">
        <w:rPr>
          <w:rStyle w:val="Refdenotaderodap"/>
          <w:rFonts w:ascii="Times" w:hAnsi="Times"/>
          <w:sz w:val="20"/>
          <w:szCs w:val="20"/>
        </w:rPr>
        <w:footnoteRef/>
      </w:r>
      <w:r w:rsidRPr="00DE15C1">
        <w:rPr>
          <w:rFonts w:ascii="Times" w:hAnsi="Times"/>
          <w:sz w:val="20"/>
          <w:szCs w:val="20"/>
        </w:rPr>
        <w:t xml:space="preserve"> </w:t>
      </w:r>
      <w:r w:rsidR="00F133EE">
        <w:rPr>
          <w:rFonts w:ascii="Times" w:eastAsia="Times New Roman" w:hAnsi="Times" w:cs="Times New Roman"/>
          <w:color w:val="111111"/>
          <w:sz w:val="20"/>
          <w:szCs w:val="20"/>
          <w:shd w:val="clear" w:color="auto" w:fill="FFFFFF"/>
          <w:lang w:eastAsia="pt-BR"/>
        </w:rPr>
        <w:t>Murillo José Torelli Pinto</w:t>
      </w:r>
      <w:r w:rsidR="00D61D86">
        <w:rPr>
          <w:rFonts w:ascii="Times" w:eastAsia="Times New Roman" w:hAnsi="Times" w:cs="Times New Roman"/>
          <w:color w:val="111111"/>
          <w:sz w:val="20"/>
          <w:szCs w:val="20"/>
          <w:shd w:val="clear" w:color="auto" w:fill="FFFFFF"/>
          <w:lang w:eastAsia="pt-BR"/>
        </w:rPr>
        <w:t xml:space="preserve"> /</w:t>
      </w:r>
      <w:r w:rsidR="00F133EE">
        <w:rPr>
          <w:rFonts w:ascii="Times" w:eastAsia="Times New Roman" w:hAnsi="Times" w:cs="Times New Roman"/>
          <w:color w:val="111111"/>
          <w:sz w:val="20"/>
          <w:szCs w:val="20"/>
          <w:shd w:val="clear" w:color="auto" w:fill="FFFFFF"/>
          <w:lang w:eastAsia="pt-BR"/>
        </w:rPr>
        <w:t xml:space="preserve"> </w:t>
      </w:r>
      <w:hyperlink r:id="rId1" w:history="1">
        <w:r w:rsidR="00D61D86" w:rsidRPr="00863A9B">
          <w:rPr>
            <w:rStyle w:val="Hyperlink"/>
            <w:rFonts w:ascii="Times" w:eastAsia="Times New Roman" w:hAnsi="Times" w:cs="Times New Roman"/>
            <w:sz w:val="20"/>
            <w:szCs w:val="20"/>
            <w:shd w:val="clear" w:color="auto" w:fill="FFFFFF"/>
            <w:lang w:eastAsia="pt-BR"/>
          </w:rPr>
          <w:t>murillo.torelli@mackenzie.br</w:t>
        </w:r>
      </w:hyperlink>
      <w:r w:rsidR="00D61D86">
        <w:rPr>
          <w:rFonts w:ascii="Times" w:eastAsia="Times New Roman" w:hAnsi="Times" w:cs="Times New Roman"/>
          <w:color w:val="111111"/>
          <w:sz w:val="20"/>
          <w:szCs w:val="20"/>
          <w:shd w:val="clear" w:color="auto" w:fill="FFFFFF"/>
          <w:lang w:eastAsia="pt-BR"/>
        </w:rPr>
        <w:t xml:space="preserve"> </w:t>
      </w:r>
      <w:r w:rsidRPr="00DE15C1">
        <w:rPr>
          <w:rFonts w:ascii="Times" w:eastAsia="Times New Roman" w:hAnsi="Times" w:cs="Times New Roman"/>
          <w:color w:val="111111"/>
          <w:sz w:val="20"/>
          <w:szCs w:val="20"/>
          <w:shd w:val="clear" w:color="auto" w:fill="FFFFFF"/>
          <w:lang w:eastAsia="pt-BR"/>
        </w:rPr>
        <w:t xml:space="preserve">/ </w:t>
      </w:r>
      <w:r w:rsidR="001E3A37">
        <w:rPr>
          <w:rFonts w:ascii="Times" w:eastAsia="Times New Roman" w:hAnsi="Times" w:cs="Times New Roman"/>
          <w:color w:val="111111"/>
          <w:sz w:val="20"/>
          <w:szCs w:val="20"/>
          <w:shd w:val="clear" w:color="auto" w:fill="FFFFFF"/>
          <w:lang w:eastAsia="pt-BR"/>
        </w:rPr>
        <w:t xml:space="preserve">Mestre em </w:t>
      </w:r>
      <w:r w:rsidR="00443C56" w:rsidRPr="00443C56">
        <w:rPr>
          <w:rFonts w:ascii="Times" w:eastAsia="Times New Roman" w:hAnsi="Times" w:cs="Times New Roman"/>
          <w:color w:val="111111"/>
          <w:sz w:val="20"/>
          <w:szCs w:val="20"/>
          <w:shd w:val="clear" w:color="auto" w:fill="FFFFFF"/>
          <w:lang w:eastAsia="pt-BR"/>
        </w:rPr>
        <w:t xml:space="preserve">Controladoria e Contabilidade </w:t>
      </w:r>
      <w:r w:rsidR="001E3A37">
        <w:rPr>
          <w:rFonts w:ascii="Times" w:eastAsia="Times New Roman" w:hAnsi="Times" w:cs="Times New Roman"/>
          <w:color w:val="111111"/>
          <w:sz w:val="20"/>
          <w:szCs w:val="20"/>
          <w:shd w:val="clear" w:color="auto" w:fill="FFFFFF"/>
          <w:lang w:eastAsia="pt-BR"/>
        </w:rPr>
        <w:t>p</w:t>
      </w:r>
      <w:r w:rsidR="00420C8D">
        <w:rPr>
          <w:rFonts w:ascii="Times" w:eastAsia="Times New Roman" w:hAnsi="Times" w:cs="Times New Roman"/>
          <w:color w:val="111111"/>
          <w:sz w:val="20"/>
          <w:szCs w:val="20"/>
          <w:shd w:val="clear" w:color="auto" w:fill="FFFFFF"/>
          <w:lang w:eastAsia="pt-BR"/>
        </w:rPr>
        <w:t>ela FEA</w:t>
      </w:r>
      <w:r w:rsidR="008777F4">
        <w:rPr>
          <w:rFonts w:ascii="Times" w:eastAsia="Times New Roman" w:hAnsi="Times" w:cs="Times New Roman"/>
          <w:color w:val="111111"/>
          <w:sz w:val="20"/>
          <w:szCs w:val="20"/>
          <w:shd w:val="clear" w:color="auto" w:fill="FFFFFF"/>
          <w:lang w:eastAsia="pt-BR"/>
        </w:rPr>
        <w:t>-</w:t>
      </w:r>
      <w:r w:rsidR="00420C8D">
        <w:rPr>
          <w:rFonts w:ascii="Times" w:eastAsia="Times New Roman" w:hAnsi="Times" w:cs="Times New Roman"/>
          <w:color w:val="111111"/>
          <w:sz w:val="20"/>
          <w:szCs w:val="20"/>
          <w:shd w:val="clear" w:color="auto" w:fill="FFFFFF"/>
          <w:lang w:eastAsia="pt-BR"/>
        </w:rPr>
        <w:t>RP/USP</w:t>
      </w:r>
      <w:r w:rsidRPr="00DE15C1">
        <w:rPr>
          <w:rFonts w:ascii="Times" w:eastAsia="Times New Roman" w:hAnsi="Times" w:cs="Times New Roman"/>
          <w:color w:val="111111"/>
          <w:sz w:val="20"/>
          <w:szCs w:val="20"/>
          <w:shd w:val="clear" w:color="auto" w:fill="FFFFFF"/>
          <w:lang w:eastAsia="pt-BR"/>
        </w:rPr>
        <w:t xml:space="preserve">. </w:t>
      </w:r>
      <w:r w:rsidR="00420C8D">
        <w:rPr>
          <w:rFonts w:ascii="Times" w:eastAsia="Times New Roman" w:hAnsi="Times" w:cs="Times New Roman"/>
          <w:color w:val="111111"/>
          <w:sz w:val="20"/>
          <w:szCs w:val="20"/>
          <w:shd w:val="clear" w:color="auto" w:fill="FFFFFF"/>
          <w:lang w:eastAsia="pt-BR"/>
        </w:rPr>
        <w:t>Professor na Universidade Presbiteriana Mackenzie</w:t>
      </w:r>
      <w:r w:rsidR="00443C56">
        <w:rPr>
          <w:rFonts w:ascii="Times" w:eastAsia="Times New Roman" w:hAnsi="Times" w:cs="Times New Roman"/>
          <w:color w:val="111111"/>
          <w:sz w:val="20"/>
          <w:szCs w:val="20"/>
          <w:shd w:val="clear" w:color="auto" w:fill="FFFFFF"/>
          <w:lang w:eastAsia="pt-BR"/>
        </w:rPr>
        <w:t xml:space="preserve"> - UPM</w:t>
      </w:r>
      <w:r w:rsidR="00420C8D">
        <w:rPr>
          <w:rFonts w:ascii="Times" w:eastAsia="Times New Roman" w:hAnsi="Times" w:cs="Times New Roman"/>
          <w:color w:val="111111"/>
          <w:sz w:val="20"/>
          <w:szCs w:val="20"/>
          <w:shd w:val="clear" w:color="auto" w:fill="FFFFFF"/>
          <w:lang w:eastAsia="pt-BR"/>
        </w:rPr>
        <w:t>.</w:t>
      </w:r>
    </w:p>
  </w:footnote>
  <w:footnote w:id="2">
    <w:p w14:paraId="5B05AE1D" w14:textId="3886785C" w:rsidR="00DE15C1" w:rsidRPr="00420C8D" w:rsidRDefault="00DE15C1">
      <w:pPr>
        <w:pStyle w:val="Textodenotaderodap"/>
        <w:rPr>
          <w:rFonts w:ascii="Times" w:eastAsia="Times New Roman" w:hAnsi="Times" w:cs="Times New Roman"/>
          <w:color w:val="111111"/>
          <w:shd w:val="clear" w:color="auto" w:fill="FFFFFF"/>
          <w:lang w:eastAsia="pt-BR"/>
        </w:rPr>
      </w:pPr>
      <w:r>
        <w:rPr>
          <w:rStyle w:val="Refdenotaderodap"/>
        </w:rPr>
        <w:footnoteRef/>
      </w:r>
      <w:r>
        <w:t xml:space="preserve"> </w:t>
      </w:r>
      <w:r w:rsidR="008777F4" w:rsidRPr="008777F4">
        <w:rPr>
          <w:rFonts w:ascii="Times" w:eastAsia="Times New Roman" w:hAnsi="Times" w:cs="Times New Roman"/>
          <w:color w:val="111111"/>
          <w:shd w:val="clear" w:color="auto" w:fill="FFFFFF"/>
          <w:lang w:eastAsia="pt-BR"/>
        </w:rPr>
        <w:t xml:space="preserve">Thamires Arcanja dos Santos </w:t>
      </w:r>
      <w:r w:rsidRPr="00DE15C1">
        <w:rPr>
          <w:rFonts w:ascii="Times" w:eastAsia="Times New Roman" w:hAnsi="Times" w:cs="Times New Roman"/>
          <w:color w:val="111111"/>
          <w:shd w:val="clear" w:color="auto" w:fill="FFFFFF"/>
          <w:lang w:eastAsia="pt-BR"/>
        </w:rPr>
        <w:t>/</w:t>
      </w:r>
      <w:r w:rsidR="004C5071" w:rsidRPr="004C5071">
        <w:t xml:space="preserve"> </w:t>
      </w:r>
      <w:hyperlink r:id="rId2" w:history="1">
        <w:r w:rsidR="004C5071" w:rsidRPr="00863A9B">
          <w:rPr>
            <w:rStyle w:val="Hyperlink"/>
            <w:rFonts w:ascii="Times" w:eastAsia="Times New Roman" w:hAnsi="Times" w:cs="Times New Roman"/>
            <w:shd w:val="clear" w:color="auto" w:fill="FFFFFF"/>
            <w:lang w:eastAsia="pt-BR"/>
          </w:rPr>
          <w:t>thamiresarcanjo@hotmail.com</w:t>
        </w:r>
      </w:hyperlink>
      <w:r w:rsidR="004C5071">
        <w:rPr>
          <w:rFonts w:ascii="Times" w:eastAsia="Times New Roman" w:hAnsi="Times" w:cs="Times New Roman"/>
          <w:color w:val="111111"/>
          <w:shd w:val="clear" w:color="auto" w:fill="FFFFFF"/>
          <w:lang w:eastAsia="pt-BR"/>
        </w:rPr>
        <w:t xml:space="preserve"> </w:t>
      </w:r>
      <w:r w:rsidRPr="00DE15C1">
        <w:rPr>
          <w:rFonts w:ascii="Times" w:eastAsia="Times New Roman" w:hAnsi="Times" w:cs="Times New Roman"/>
          <w:color w:val="111111"/>
          <w:shd w:val="clear" w:color="auto" w:fill="FFFFFF"/>
          <w:lang w:eastAsia="pt-BR"/>
        </w:rPr>
        <w:t xml:space="preserve">/ </w:t>
      </w:r>
      <w:r w:rsidR="008777F4">
        <w:rPr>
          <w:rFonts w:ascii="Times" w:eastAsia="Times New Roman" w:hAnsi="Times" w:cs="Times New Roman"/>
          <w:color w:val="111111"/>
          <w:shd w:val="clear" w:color="auto" w:fill="FFFFFF"/>
          <w:lang w:eastAsia="pt-BR"/>
        </w:rPr>
        <w:t xml:space="preserve">Graduada em Ciências </w:t>
      </w:r>
      <w:r w:rsidR="00443C56">
        <w:rPr>
          <w:rFonts w:ascii="Times" w:eastAsia="Times New Roman" w:hAnsi="Times" w:cs="Times New Roman"/>
          <w:color w:val="111111"/>
          <w:shd w:val="clear" w:color="auto" w:fill="FFFFFF"/>
          <w:lang w:eastAsia="pt-BR"/>
        </w:rPr>
        <w:t>Contábeis</w:t>
      </w:r>
      <w:r w:rsidRPr="00DE15C1">
        <w:rPr>
          <w:rFonts w:ascii="Times" w:eastAsia="Times New Roman" w:hAnsi="Times" w:cs="Times New Roman"/>
          <w:color w:val="111111"/>
          <w:shd w:val="clear" w:color="auto" w:fill="FFFFFF"/>
          <w:lang w:eastAsia="pt-BR"/>
        </w:rPr>
        <w:t xml:space="preserve"> pela </w:t>
      </w:r>
      <w:r w:rsidR="00443C56" w:rsidRPr="00443C56">
        <w:rPr>
          <w:rFonts w:ascii="Times" w:eastAsia="Times New Roman" w:hAnsi="Times" w:cs="Times New Roman"/>
          <w:color w:val="111111"/>
          <w:shd w:val="clear" w:color="auto" w:fill="FFFFFF"/>
          <w:lang w:eastAsia="pt-BR"/>
        </w:rPr>
        <w:t>Universidade Presbiteriana Mackenzie - UPM</w:t>
      </w:r>
      <w:r w:rsidRPr="00DE15C1">
        <w:rPr>
          <w:rFonts w:ascii="Times" w:eastAsia="Times New Roman" w:hAnsi="Times" w:cs="Times New Roman"/>
          <w:color w:val="111111"/>
          <w:shd w:val="clear" w:color="auto" w:fill="FFFFFF"/>
          <w:lang w:eastAsia="pt-BR"/>
        </w:rPr>
        <w:t>.</w:t>
      </w:r>
    </w:p>
  </w:footnote>
  <w:footnote w:id="3">
    <w:p w14:paraId="67A97684" w14:textId="5D828067" w:rsidR="00D368C5" w:rsidRPr="00420C8D" w:rsidRDefault="00DE15C1">
      <w:pPr>
        <w:pStyle w:val="Textodenotaderodap"/>
        <w:rPr>
          <w:rFonts w:ascii="Times" w:eastAsia="Times New Roman" w:hAnsi="Times" w:cs="Times New Roman"/>
          <w:color w:val="111111"/>
          <w:shd w:val="clear" w:color="auto" w:fill="FFFFFF"/>
          <w:lang w:eastAsia="pt-BR"/>
        </w:rPr>
      </w:pPr>
      <w:r>
        <w:rPr>
          <w:rStyle w:val="Refdenotaderodap"/>
        </w:rPr>
        <w:footnoteRef/>
      </w:r>
      <w:r>
        <w:t xml:space="preserve"> </w:t>
      </w:r>
      <w:r w:rsidR="008777F4" w:rsidRPr="008777F4">
        <w:rPr>
          <w:rFonts w:ascii="Times" w:eastAsia="Times New Roman" w:hAnsi="Times" w:cs="Times New Roman"/>
          <w:color w:val="111111"/>
          <w:shd w:val="clear" w:color="auto" w:fill="FFFFFF"/>
          <w:lang w:eastAsia="pt-BR"/>
        </w:rPr>
        <w:t xml:space="preserve">Heitor Laranjeira Vitor </w:t>
      </w:r>
      <w:r w:rsidRPr="00DE15C1">
        <w:rPr>
          <w:rFonts w:ascii="Times" w:eastAsia="Times New Roman" w:hAnsi="Times" w:cs="Times New Roman"/>
          <w:color w:val="111111"/>
          <w:shd w:val="clear" w:color="auto" w:fill="FFFFFF"/>
          <w:lang w:eastAsia="pt-BR"/>
        </w:rPr>
        <w:t>/</w:t>
      </w:r>
      <w:r w:rsidR="00A21E3F" w:rsidRPr="00A21E3F">
        <w:t xml:space="preserve"> </w:t>
      </w:r>
      <w:hyperlink r:id="rId3" w:history="1">
        <w:r w:rsidR="00A21E3F" w:rsidRPr="00863A9B">
          <w:rPr>
            <w:rStyle w:val="Hyperlink"/>
            <w:rFonts w:ascii="Times" w:eastAsia="Times New Roman" w:hAnsi="Times" w:cs="Times New Roman"/>
            <w:shd w:val="clear" w:color="auto" w:fill="FFFFFF"/>
            <w:lang w:eastAsia="pt-BR"/>
          </w:rPr>
          <w:t>heitor_toto77@hotmail.com</w:t>
        </w:r>
      </w:hyperlink>
      <w:r w:rsidR="00A21E3F">
        <w:rPr>
          <w:rFonts w:ascii="Times" w:eastAsia="Times New Roman" w:hAnsi="Times" w:cs="Times New Roman"/>
          <w:color w:val="111111"/>
          <w:shd w:val="clear" w:color="auto" w:fill="FFFFFF"/>
          <w:lang w:eastAsia="pt-BR"/>
        </w:rPr>
        <w:t xml:space="preserve"> </w:t>
      </w:r>
      <w:r w:rsidRPr="00DE15C1">
        <w:rPr>
          <w:rFonts w:ascii="Times" w:eastAsia="Times New Roman" w:hAnsi="Times" w:cs="Times New Roman"/>
          <w:color w:val="111111"/>
          <w:shd w:val="clear" w:color="auto" w:fill="FFFFFF"/>
          <w:lang w:eastAsia="pt-BR"/>
        </w:rPr>
        <w:t xml:space="preserve">/ </w:t>
      </w:r>
      <w:r w:rsidR="00443C56">
        <w:rPr>
          <w:rFonts w:ascii="Times" w:eastAsia="Times New Roman" w:hAnsi="Times" w:cs="Times New Roman"/>
          <w:color w:val="111111"/>
          <w:shd w:val="clear" w:color="auto" w:fill="FFFFFF"/>
          <w:lang w:eastAsia="pt-BR"/>
        </w:rPr>
        <w:t>Graduado em Ciências Contábeis</w:t>
      </w:r>
      <w:r w:rsidR="00443C56" w:rsidRPr="00DE15C1">
        <w:rPr>
          <w:rFonts w:ascii="Times" w:eastAsia="Times New Roman" w:hAnsi="Times" w:cs="Times New Roman"/>
          <w:color w:val="111111"/>
          <w:shd w:val="clear" w:color="auto" w:fill="FFFFFF"/>
          <w:lang w:eastAsia="pt-BR"/>
        </w:rPr>
        <w:t xml:space="preserve"> pela </w:t>
      </w:r>
      <w:r w:rsidR="00443C56" w:rsidRPr="00443C56">
        <w:rPr>
          <w:rFonts w:ascii="Times" w:eastAsia="Times New Roman" w:hAnsi="Times" w:cs="Times New Roman"/>
          <w:color w:val="111111"/>
          <w:shd w:val="clear" w:color="auto" w:fill="FFFFFF"/>
          <w:lang w:eastAsia="pt-BR"/>
        </w:rPr>
        <w:t>Universidade Presbiteriana Mackenzie - UPM</w:t>
      </w:r>
      <w:r w:rsidR="00443C56" w:rsidRPr="00DE15C1">
        <w:rPr>
          <w:rFonts w:ascii="Times" w:eastAsia="Times New Roman" w:hAnsi="Times" w:cs="Times New Roman"/>
          <w:color w:val="111111"/>
          <w:shd w:val="clear" w:color="auto" w:fill="FFFFFF"/>
          <w:lang w:eastAsia="pt-BR"/>
        </w:rPr>
        <w:t>.</w:t>
      </w:r>
    </w:p>
  </w:footnote>
  <w:footnote w:id="4">
    <w:p w14:paraId="712CCFE6" w14:textId="61D92ACD" w:rsidR="00D368C5" w:rsidRDefault="00D368C5">
      <w:pPr>
        <w:pStyle w:val="Textodenotaderodap"/>
      </w:pPr>
      <w:r>
        <w:rPr>
          <w:rStyle w:val="Refdenotaderodap"/>
        </w:rPr>
        <w:footnoteRef/>
      </w:r>
      <w:r>
        <w:t xml:space="preserve"> </w:t>
      </w:r>
      <w:r w:rsidR="008777F4" w:rsidRPr="008777F4">
        <w:rPr>
          <w:rFonts w:ascii="Times" w:eastAsia="Times New Roman" w:hAnsi="Times" w:cs="Times New Roman"/>
          <w:color w:val="111111"/>
          <w:shd w:val="clear" w:color="auto" w:fill="FFFFFF"/>
          <w:lang w:eastAsia="pt-BR"/>
        </w:rPr>
        <w:t xml:space="preserve">Tiago Oliveira Santos </w:t>
      </w:r>
      <w:r w:rsidR="00443C56">
        <w:rPr>
          <w:rFonts w:ascii="Times" w:eastAsia="Times New Roman" w:hAnsi="Times" w:cs="Times New Roman"/>
          <w:color w:val="111111"/>
          <w:shd w:val="clear" w:color="auto" w:fill="FFFFFF"/>
          <w:lang w:eastAsia="pt-BR"/>
        </w:rPr>
        <w:t>/</w:t>
      </w:r>
      <w:r w:rsidR="00D77C4F" w:rsidRPr="00D77C4F">
        <w:t xml:space="preserve"> </w:t>
      </w:r>
      <w:hyperlink r:id="rId4" w:history="1">
        <w:r w:rsidR="00D77C4F" w:rsidRPr="00863A9B">
          <w:rPr>
            <w:rStyle w:val="Hyperlink"/>
            <w:rFonts w:ascii="Times" w:eastAsia="Times New Roman" w:hAnsi="Times" w:cs="Times New Roman"/>
            <w:shd w:val="clear" w:color="auto" w:fill="FFFFFF"/>
            <w:lang w:eastAsia="pt-BR"/>
          </w:rPr>
          <w:t>tiago.santos1@bol.com.br</w:t>
        </w:r>
      </w:hyperlink>
      <w:r w:rsidR="00D77C4F">
        <w:rPr>
          <w:rFonts w:ascii="Times" w:eastAsia="Times New Roman" w:hAnsi="Times" w:cs="Times New Roman"/>
          <w:color w:val="111111"/>
          <w:shd w:val="clear" w:color="auto" w:fill="FFFFFF"/>
          <w:lang w:eastAsia="pt-BR"/>
        </w:rPr>
        <w:t xml:space="preserve"> </w:t>
      </w:r>
      <w:r w:rsidR="00443C56">
        <w:rPr>
          <w:rFonts w:ascii="Times" w:eastAsia="Times New Roman" w:hAnsi="Times" w:cs="Times New Roman"/>
          <w:color w:val="111111"/>
          <w:shd w:val="clear" w:color="auto" w:fill="FFFFFF"/>
          <w:lang w:eastAsia="pt-BR"/>
        </w:rPr>
        <w:t>/ Graduado em Ciências Contábeis</w:t>
      </w:r>
      <w:r w:rsidR="00443C56" w:rsidRPr="00DE15C1">
        <w:rPr>
          <w:rFonts w:ascii="Times" w:eastAsia="Times New Roman" w:hAnsi="Times" w:cs="Times New Roman"/>
          <w:color w:val="111111"/>
          <w:shd w:val="clear" w:color="auto" w:fill="FFFFFF"/>
          <w:lang w:eastAsia="pt-BR"/>
        </w:rPr>
        <w:t xml:space="preserve"> pela </w:t>
      </w:r>
      <w:r w:rsidR="00443C56" w:rsidRPr="00443C56">
        <w:rPr>
          <w:rFonts w:ascii="Times" w:eastAsia="Times New Roman" w:hAnsi="Times" w:cs="Times New Roman"/>
          <w:color w:val="111111"/>
          <w:shd w:val="clear" w:color="auto" w:fill="FFFFFF"/>
          <w:lang w:eastAsia="pt-BR"/>
        </w:rPr>
        <w:t>Universidade Presbiteriana Mackenzie - UPM</w:t>
      </w:r>
      <w:r w:rsidR="00443C56" w:rsidRPr="00DE15C1">
        <w:rPr>
          <w:rFonts w:ascii="Times" w:eastAsia="Times New Roman" w:hAnsi="Times" w:cs="Times New Roman"/>
          <w:color w:val="111111"/>
          <w:shd w:val="clear" w:color="auto" w:fill="FFFFFF"/>
          <w:lang w:eastAsia="pt-BR"/>
        </w:rPr>
        <w:t>.</w:t>
      </w:r>
    </w:p>
  </w:footnote>
  <w:footnote w:id="5">
    <w:p w14:paraId="2B57367B" w14:textId="0AB7A140" w:rsidR="00B632E6" w:rsidRPr="00443C56" w:rsidRDefault="00B632E6" w:rsidP="00B632E6">
      <w:pPr>
        <w:pStyle w:val="Textodenotaderodap"/>
        <w:rPr>
          <w:rFonts w:ascii="Times" w:eastAsia="Times New Roman" w:hAnsi="Times" w:cs="Times New Roman"/>
          <w:color w:val="111111"/>
          <w:shd w:val="clear" w:color="auto" w:fill="FFFFFF"/>
          <w:lang w:eastAsia="pt-BR"/>
        </w:rPr>
      </w:pPr>
      <w:r>
        <w:rPr>
          <w:rStyle w:val="Refdenotaderodap"/>
        </w:rPr>
        <w:footnoteRef/>
      </w:r>
      <w:r>
        <w:t xml:space="preserve"> </w:t>
      </w:r>
      <w:r w:rsidR="008777F4" w:rsidRPr="008777F4">
        <w:rPr>
          <w:rFonts w:ascii="Times" w:eastAsia="Times New Roman" w:hAnsi="Times" w:cs="Times New Roman"/>
          <w:color w:val="111111"/>
          <w:shd w:val="clear" w:color="auto" w:fill="FFFFFF"/>
          <w:lang w:eastAsia="pt-BR"/>
        </w:rPr>
        <w:t xml:space="preserve">Gabriela Felipe da Silva </w:t>
      </w:r>
      <w:r w:rsidRPr="00DE15C1">
        <w:rPr>
          <w:rFonts w:ascii="Times" w:eastAsia="Times New Roman" w:hAnsi="Times" w:cs="Times New Roman"/>
          <w:color w:val="111111"/>
          <w:shd w:val="clear" w:color="auto" w:fill="FFFFFF"/>
          <w:lang w:eastAsia="pt-BR"/>
        </w:rPr>
        <w:t>/</w:t>
      </w:r>
      <w:r w:rsidR="00D77C4F" w:rsidRPr="00D77C4F">
        <w:t xml:space="preserve"> </w:t>
      </w:r>
      <w:hyperlink r:id="rId5" w:history="1">
        <w:r w:rsidR="00D77C4F" w:rsidRPr="00863A9B">
          <w:rPr>
            <w:rStyle w:val="Hyperlink"/>
            <w:rFonts w:ascii="Times" w:eastAsia="Times New Roman" w:hAnsi="Times" w:cs="Times New Roman"/>
            <w:shd w:val="clear" w:color="auto" w:fill="FFFFFF"/>
            <w:lang w:eastAsia="pt-BR"/>
          </w:rPr>
          <w:t>gabriela.particular@gmail.com</w:t>
        </w:r>
      </w:hyperlink>
      <w:r w:rsidR="00D77C4F">
        <w:rPr>
          <w:rFonts w:ascii="Times" w:eastAsia="Times New Roman" w:hAnsi="Times" w:cs="Times New Roman"/>
          <w:color w:val="111111"/>
          <w:shd w:val="clear" w:color="auto" w:fill="FFFFFF"/>
          <w:lang w:eastAsia="pt-BR"/>
        </w:rPr>
        <w:t xml:space="preserve"> </w:t>
      </w:r>
      <w:r w:rsidRPr="00DE15C1">
        <w:rPr>
          <w:rFonts w:ascii="Times" w:eastAsia="Times New Roman" w:hAnsi="Times" w:cs="Times New Roman"/>
          <w:color w:val="111111"/>
          <w:shd w:val="clear" w:color="auto" w:fill="FFFFFF"/>
          <w:lang w:eastAsia="pt-BR"/>
        </w:rPr>
        <w:t xml:space="preserve">/ </w:t>
      </w:r>
      <w:r w:rsidR="00443C56">
        <w:rPr>
          <w:rFonts w:ascii="Times" w:eastAsia="Times New Roman" w:hAnsi="Times" w:cs="Times New Roman"/>
          <w:color w:val="111111"/>
          <w:shd w:val="clear" w:color="auto" w:fill="FFFFFF"/>
          <w:lang w:eastAsia="pt-BR"/>
        </w:rPr>
        <w:t>Graduada em Ciências Contábeis</w:t>
      </w:r>
      <w:r w:rsidR="00443C56" w:rsidRPr="00DE15C1">
        <w:rPr>
          <w:rFonts w:ascii="Times" w:eastAsia="Times New Roman" w:hAnsi="Times" w:cs="Times New Roman"/>
          <w:color w:val="111111"/>
          <w:shd w:val="clear" w:color="auto" w:fill="FFFFFF"/>
          <w:lang w:eastAsia="pt-BR"/>
        </w:rPr>
        <w:t xml:space="preserve"> pela </w:t>
      </w:r>
      <w:r w:rsidR="00443C56" w:rsidRPr="00443C56">
        <w:rPr>
          <w:rFonts w:ascii="Times" w:eastAsia="Times New Roman" w:hAnsi="Times" w:cs="Times New Roman"/>
          <w:color w:val="111111"/>
          <w:shd w:val="clear" w:color="auto" w:fill="FFFFFF"/>
          <w:lang w:eastAsia="pt-BR"/>
        </w:rPr>
        <w:t>Universidade Presbiteriana Mackenzie - UPM</w:t>
      </w:r>
      <w:r w:rsidR="00443C56" w:rsidRPr="00DE15C1">
        <w:rPr>
          <w:rFonts w:ascii="Times" w:eastAsia="Times New Roman" w:hAnsi="Times" w:cs="Times New Roman"/>
          <w:color w:val="111111"/>
          <w:shd w:val="clear" w:color="auto" w:fill="FFFFFF"/>
          <w:lang w:eastAsia="pt-BR"/>
        </w:rPr>
        <w:t>.</w:t>
      </w:r>
    </w:p>
    <w:p w14:paraId="4BD1D1FE" w14:textId="77777777" w:rsidR="00B632E6" w:rsidRDefault="00B632E6" w:rsidP="00B632E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355990"/>
      <w:docPartObj>
        <w:docPartGallery w:val="Page Numbers (Top of Page)"/>
        <w:docPartUnique/>
      </w:docPartObj>
    </w:sdtPr>
    <w:sdtEndPr/>
    <w:sdtContent>
      <w:p w14:paraId="7FE34459" w14:textId="35AE483B" w:rsidR="00240BB4" w:rsidRDefault="00240BB4">
        <w:pPr>
          <w:pStyle w:val="Cabealho"/>
          <w:jc w:val="right"/>
        </w:pPr>
        <w:r>
          <w:fldChar w:fldCharType="begin"/>
        </w:r>
        <w:r>
          <w:instrText>PAGE   \* MERGEFORMAT</w:instrText>
        </w:r>
        <w:r>
          <w:fldChar w:fldCharType="separate"/>
        </w:r>
        <w:r w:rsidR="00634032">
          <w:rPr>
            <w:noProof/>
          </w:rPr>
          <w:t>17</w:t>
        </w:r>
        <w:r>
          <w:fldChar w:fldCharType="end"/>
        </w:r>
      </w:p>
    </w:sdtContent>
  </w:sdt>
  <w:p w14:paraId="489AA961" w14:textId="77777777" w:rsidR="00240BB4" w:rsidRDefault="00240B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AB1"/>
    <w:multiLevelType w:val="hybridMultilevel"/>
    <w:tmpl w:val="97CC1A24"/>
    <w:lvl w:ilvl="0" w:tplc="3A5EB60E">
      <w:start w:val="1"/>
      <w:numFmt w:val="decimal"/>
      <w:lvlText w:val="%1."/>
      <w:lvlJc w:val="left"/>
      <w:pPr>
        <w:ind w:left="720" w:hanging="360"/>
      </w:pPr>
    </w:lvl>
    <w:lvl w:ilvl="1" w:tplc="B86A6A24">
      <w:start w:val="1"/>
      <w:numFmt w:val="lowerLetter"/>
      <w:lvlText w:val="%2."/>
      <w:lvlJc w:val="left"/>
      <w:pPr>
        <w:ind w:left="1440" w:hanging="360"/>
      </w:pPr>
    </w:lvl>
    <w:lvl w:ilvl="2" w:tplc="451246EA">
      <w:start w:val="1"/>
      <w:numFmt w:val="lowerRoman"/>
      <w:lvlText w:val="%3."/>
      <w:lvlJc w:val="right"/>
      <w:pPr>
        <w:ind w:left="2160" w:hanging="180"/>
      </w:pPr>
    </w:lvl>
    <w:lvl w:ilvl="3" w:tplc="FD66F19E">
      <w:start w:val="1"/>
      <w:numFmt w:val="decimal"/>
      <w:lvlText w:val="%4."/>
      <w:lvlJc w:val="left"/>
      <w:pPr>
        <w:ind w:left="2880" w:hanging="360"/>
      </w:pPr>
    </w:lvl>
    <w:lvl w:ilvl="4" w:tplc="EDFEC15A">
      <w:start w:val="1"/>
      <w:numFmt w:val="lowerLetter"/>
      <w:lvlText w:val="%5."/>
      <w:lvlJc w:val="left"/>
      <w:pPr>
        <w:ind w:left="3600" w:hanging="360"/>
      </w:pPr>
    </w:lvl>
    <w:lvl w:ilvl="5" w:tplc="2F6818CE">
      <w:start w:val="1"/>
      <w:numFmt w:val="lowerRoman"/>
      <w:lvlText w:val="%6."/>
      <w:lvlJc w:val="right"/>
      <w:pPr>
        <w:ind w:left="4320" w:hanging="180"/>
      </w:pPr>
    </w:lvl>
    <w:lvl w:ilvl="6" w:tplc="1FBA733A">
      <w:start w:val="1"/>
      <w:numFmt w:val="decimal"/>
      <w:lvlText w:val="%7."/>
      <w:lvlJc w:val="left"/>
      <w:pPr>
        <w:ind w:left="5040" w:hanging="360"/>
      </w:pPr>
    </w:lvl>
    <w:lvl w:ilvl="7" w:tplc="F2AE962A">
      <w:start w:val="1"/>
      <w:numFmt w:val="lowerLetter"/>
      <w:lvlText w:val="%8."/>
      <w:lvlJc w:val="left"/>
      <w:pPr>
        <w:ind w:left="5760" w:hanging="360"/>
      </w:pPr>
    </w:lvl>
    <w:lvl w:ilvl="8" w:tplc="56849CA4">
      <w:start w:val="1"/>
      <w:numFmt w:val="lowerRoman"/>
      <w:lvlText w:val="%9."/>
      <w:lvlJc w:val="right"/>
      <w:pPr>
        <w:ind w:left="6480" w:hanging="180"/>
      </w:pPr>
    </w:lvl>
  </w:abstractNum>
  <w:abstractNum w:abstractNumId="1" w15:restartNumberingAfterBreak="0">
    <w:nsid w:val="02B875D6"/>
    <w:multiLevelType w:val="hybridMultilevel"/>
    <w:tmpl w:val="DC30B4C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2B92F64"/>
    <w:multiLevelType w:val="multilevel"/>
    <w:tmpl w:val="6DE8CC26"/>
    <w:lvl w:ilvl="0">
      <w:start w:val="1"/>
      <w:numFmt w:val="decimal"/>
      <w:lvlText w:val="%1."/>
      <w:lvlJc w:val="left"/>
      <w:pPr>
        <w:ind w:left="720" w:hanging="72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0639BE"/>
    <w:multiLevelType w:val="hybridMultilevel"/>
    <w:tmpl w:val="A636D2F6"/>
    <w:lvl w:ilvl="0" w:tplc="D22ED5E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4E5B2F"/>
    <w:multiLevelType w:val="hybridMultilevel"/>
    <w:tmpl w:val="CCDC89A4"/>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5" w15:restartNumberingAfterBreak="0">
    <w:nsid w:val="11F64BA5"/>
    <w:multiLevelType w:val="hybridMultilevel"/>
    <w:tmpl w:val="10060A3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B757F0F"/>
    <w:multiLevelType w:val="hybridMultilevel"/>
    <w:tmpl w:val="26B8D1BC"/>
    <w:lvl w:ilvl="0" w:tplc="E3585966">
      <w:start w:val="5"/>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7" w15:restartNumberingAfterBreak="0">
    <w:nsid w:val="3AC54CB5"/>
    <w:multiLevelType w:val="multilevel"/>
    <w:tmpl w:val="F2D4759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F4465BD"/>
    <w:multiLevelType w:val="multilevel"/>
    <w:tmpl w:val="B9EAFEB0"/>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08E3944"/>
    <w:multiLevelType w:val="multilevel"/>
    <w:tmpl w:val="3F48F8E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33D30E3"/>
    <w:multiLevelType w:val="multilevel"/>
    <w:tmpl w:val="644E5F7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715018B"/>
    <w:multiLevelType w:val="hybridMultilevel"/>
    <w:tmpl w:val="A97200DE"/>
    <w:lvl w:ilvl="0" w:tplc="918AD6E6">
      <w:start w:val="1"/>
      <w:numFmt w:val="decimal"/>
      <w:lvlText w:val="%1."/>
      <w:lvlJc w:val="left"/>
      <w:pPr>
        <w:ind w:left="720" w:hanging="360"/>
      </w:pPr>
    </w:lvl>
    <w:lvl w:ilvl="1" w:tplc="B3F2D3F4">
      <w:start w:val="1"/>
      <w:numFmt w:val="lowerLetter"/>
      <w:lvlText w:val="%2."/>
      <w:lvlJc w:val="left"/>
      <w:pPr>
        <w:ind w:left="1440" w:hanging="360"/>
      </w:pPr>
    </w:lvl>
    <w:lvl w:ilvl="2" w:tplc="D648FF10">
      <w:start w:val="1"/>
      <w:numFmt w:val="lowerRoman"/>
      <w:lvlText w:val="%3."/>
      <w:lvlJc w:val="right"/>
      <w:pPr>
        <w:ind w:left="2160" w:hanging="180"/>
      </w:pPr>
    </w:lvl>
    <w:lvl w:ilvl="3" w:tplc="D750C55A">
      <w:start w:val="1"/>
      <w:numFmt w:val="decimal"/>
      <w:lvlText w:val="%4."/>
      <w:lvlJc w:val="left"/>
      <w:pPr>
        <w:ind w:left="2880" w:hanging="360"/>
      </w:pPr>
    </w:lvl>
    <w:lvl w:ilvl="4" w:tplc="8C0294D8">
      <w:start w:val="1"/>
      <w:numFmt w:val="lowerLetter"/>
      <w:lvlText w:val="%5."/>
      <w:lvlJc w:val="left"/>
      <w:pPr>
        <w:ind w:left="3600" w:hanging="360"/>
      </w:pPr>
    </w:lvl>
    <w:lvl w:ilvl="5" w:tplc="A70CF5A2">
      <w:start w:val="1"/>
      <w:numFmt w:val="lowerRoman"/>
      <w:lvlText w:val="%6."/>
      <w:lvlJc w:val="right"/>
      <w:pPr>
        <w:ind w:left="4320" w:hanging="180"/>
      </w:pPr>
    </w:lvl>
    <w:lvl w:ilvl="6" w:tplc="D396BC9A">
      <w:start w:val="1"/>
      <w:numFmt w:val="decimal"/>
      <w:lvlText w:val="%7."/>
      <w:lvlJc w:val="left"/>
      <w:pPr>
        <w:ind w:left="5040" w:hanging="360"/>
      </w:pPr>
    </w:lvl>
    <w:lvl w:ilvl="7" w:tplc="F294A526">
      <w:start w:val="1"/>
      <w:numFmt w:val="lowerLetter"/>
      <w:lvlText w:val="%8."/>
      <w:lvlJc w:val="left"/>
      <w:pPr>
        <w:ind w:left="5760" w:hanging="360"/>
      </w:pPr>
    </w:lvl>
    <w:lvl w:ilvl="8" w:tplc="5290D24C">
      <w:start w:val="1"/>
      <w:numFmt w:val="lowerRoman"/>
      <w:lvlText w:val="%9."/>
      <w:lvlJc w:val="right"/>
      <w:pPr>
        <w:ind w:left="6480" w:hanging="180"/>
      </w:pPr>
    </w:lvl>
  </w:abstractNum>
  <w:abstractNum w:abstractNumId="12" w15:restartNumberingAfterBreak="0">
    <w:nsid w:val="77A3067F"/>
    <w:multiLevelType w:val="multilevel"/>
    <w:tmpl w:val="B3AEC2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1"/>
  </w:num>
  <w:num w:numId="8">
    <w:abstractNumId w:val="6"/>
  </w:num>
  <w:num w:numId="9">
    <w:abstractNumId w:val="4"/>
  </w:num>
  <w:num w:numId="10">
    <w:abstractNumId w:val="12"/>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CEA"/>
    <w:rsid w:val="00027B41"/>
    <w:rsid w:val="00030CEA"/>
    <w:rsid w:val="0003590F"/>
    <w:rsid w:val="00043A56"/>
    <w:rsid w:val="00047280"/>
    <w:rsid w:val="00055A78"/>
    <w:rsid w:val="00061FDE"/>
    <w:rsid w:val="00064E83"/>
    <w:rsid w:val="00070C4D"/>
    <w:rsid w:val="00080328"/>
    <w:rsid w:val="00087A19"/>
    <w:rsid w:val="000B189C"/>
    <w:rsid w:val="000D6A6A"/>
    <w:rsid w:val="000D6EF7"/>
    <w:rsid w:val="001171EF"/>
    <w:rsid w:val="001176B6"/>
    <w:rsid w:val="00123634"/>
    <w:rsid w:val="001476A5"/>
    <w:rsid w:val="00152226"/>
    <w:rsid w:val="00164E0F"/>
    <w:rsid w:val="00171372"/>
    <w:rsid w:val="001846AA"/>
    <w:rsid w:val="001879B4"/>
    <w:rsid w:val="0019042F"/>
    <w:rsid w:val="001B2DB6"/>
    <w:rsid w:val="001B36F6"/>
    <w:rsid w:val="001C242E"/>
    <w:rsid w:val="001E3377"/>
    <w:rsid w:val="001E3A37"/>
    <w:rsid w:val="001F08E0"/>
    <w:rsid w:val="001F2006"/>
    <w:rsid w:val="00223681"/>
    <w:rsid w:val="002245E4"/>
    <w:rsid w:val="002268CF"/>
    <w:rsid w:val="00240BB4"/>
    <w:rsid w:val="002602CA"/>
    <w:rsid w:val="00264E40"/>
    <w:rsid w:val="002803E8"/>
    <w:rsid w:val="0028476F"/>
    <w:rsid w:val="00284CE1"/>
    <w:rsid w:val="002914C9"/>
    <w:rsid w:val="00292998"/>
    <w:rsid w:val="002A7DBF"/>
    <w:rsid w:val="002B1F4D"/>
    <w:rsid w:val="002D7BBA"/>
    <w:rsid w:val="002E6061"/>
    <w:rsid w:val="002F6653"/>
    <w:rsid w:val="00300AF8"/>
    <w:rsid w:val="00331297"/>
    <w:rsid w:val="00340358"/>
    <w:rsid w:val="00347BCF"/>
    <w:rsid w:val="003510FE"/>
    <w:rsid w:val="003517BB"/>
    <w:rsid w:val="00356579"/>
    <w:rsid w:val="00370FA2"/>
    <w:rsid w:val="00373ED3"/>
    <w:rsid w:val="00395C79"/>
    <w:rsid w:val="00396EB6"/>
    <w:rsid w:val="0039747C"/>
    <w:rsid w:val="003A357D"/>
    <w:rsid w:val="003B6234"/>
    <w:rsid w:val="003C01A0"/>
    <w:rsid w:val="003C04EE"/>
    <w:rsid w:val="003C129E"/>
    <w:rsid w:val="003C6461"/>
    <w:rsid w:val="003E1B00"/>
    <w:rsid w:val="003E3FDA"/>
    <w:rsid w:val="003E50EE"/>
    <w:rsid w:val="003F14D2"/>
    <w:rsid w:val="003F5FC5"/>
    <w:rsid w:val="004035A0"/>
    <w:rsid w:val="0041571B"/>
    <w:rsid w:val="00420C8D"/>
    <w:rsid w:val="00423B23"/>
    <w:rsid w:val="00425E6B"/>
    <w:rsid w:val="004308D1"/>
    <w:rsid w:val="00431139"/>
    <w:rsid w:val="004424D7"/>
    <w:rsid w:val="00443C56"/>
    <w:rsid w:val="004476DC"/>
    <w:rsid w:val="00460769"/>
    <w:rsid w:val="00476A35"/>
    <w:rsid w:val="0049166A"/>
    <w:rsid w:val="004A6AB5"/>
    <w:rsid w:val="004C1732"/>
    <w:rsid w:val="004C5071"/>
    <w:rsid w:val="004C52AB"/>
    <w:rsid w:val="004C6B8F"/>
    <w:rsid w:val="004C7626"/>
    <w:rsid w:val="004C7AD6"/>
    <w:rsid w:val="004D0B53"/>
    <w:rsid w:val="004D0EA6"/>
    <w:rsid w:val="004D3397"/>
    <w:rsid w:val="004E4A9B"/>
    <w:rsid w:val="004E595D"/>
    <w:rsid w:val="004E778A"/>
    <w:rsid w:val="004F4D22"/>
    <w:rsid w:val="0050183F"/>
    <w:rsid w:val="00505340"/>
    <w:rsid w:val="00512873"/>
    <w:rsid w:val="0053269B"/>
    <w:rsid w:val="00534C68"/>
    <w:rsid w:val="00534D09"/>
    <w:rsid w:val="00540F8C"/>
    <w:rsid w:val="005535F1"/>
    <w:rsid w:val="00557315"/>
    <w:rsid w:val="0056031C"/>
    <w:rsid w:val="0056359E"/>
    <w:rsid w:val="005656CB"/>
    <w:rsid w:val="00570C4B"/>
    <w:rsid w:val="0057284E"/>
    <w:rsid w:val="005A0430"/>
    <w:rsid w:val="005A7C60"/>
    <w:rsid w:val="005B46FA"/>
    <w:rsid w:val="005B4BE2"/>
    <w:rsid w:val="005E4E1A"/>
    <w:rsid w:val="005F7FAF"/>
    <w:rsid w:val="00604647"/>
    <w:rsid w:val="006169E9"/>
    <w:rsid w:val="00634032"/>
    <w:rsid w:val="0065013D"/>
    <w:rsid w:val="00652640"/>
    <w:rsid w:val="00665590"/>
    <w:rsid w:val="006779AB"/>
    <w:rsid w:val="00684511"/>
    <w:rsid w:val="00692B86"/>
    <w:rsid w:val="00695C34"/>
    <w:rsid w:val="006B2620"/>
    <w:rsid w:val="006C2C47"/>
    <w:rsid w:val="006C2CED"/>
    <w:rsid w:val="006C71E1"/>
    <w:rsid w:val="006D3092"/>
    <w:rsid w:val="006D39F7"/>
    <w:rsid w:val="006D75BB"/>
    <w:rsid w:val="006E54FB"/>
    <w:rsid w:val="006F493C"/>
    <w:rsid w:val="006F65EF"/>
    <w:rsid w:val="00701BF1"/>
    <w:rsid w:val="007024B0"/>
    <w:rsid w:val="0071224A"/>
    <w:rsid w:val="00730FD7"/>
    <w:rsid w:val="007503D8"/>
    <w:rsid w:val="00755D40"/>
    <w:rsid w:val="00760CDC"/>
    <w:rsid w:val="00773516"/>
    <w:rsid w:val="00777C38"/>
    <w:rsid w:val="00781436"/>
    <w:rsid w:val="007827DA"/>
    <w:rsid w:val="007941B4"/>
    <w:rsid w:val="007966A8"/>
    <w:rsid w:val="007A1191"/>
    <w:rsid w:val="007A54C0"/>
    <w:rsid w:val="007A6E8C"/>
    <w:rsid w:val="007B54B5"/>
    <w:rsid w:val="007B607F"/>
    <w:rsid w:val="007F7CF8"/>
    <w:rsid w:val="00800AEC"/>
    <w:rsid w:val="008053CA"/>
    <w:rsid w:val="00812076"/>
    <w:rsid w:val="008178BE"/>
    <w:rsid w:val="00817987"/>
    <w:rsid w:val="0084448F"/>
    <w:rsid w:val="00850C14"/>
    <w:rsid w:val="00861769"/>
    <w:rsid w:val="00867A17"/>
    <w:rsid w:val="0087164D"/>
    <w:rsid w:val="00872877"/>
    <w:rsid w:val="00877608"/>
    <w:rsid w:val="008777F4"/>
    <w:rsid w:val="0089509B"/>
    <w:rsid w:val="008A4479"/>
    <w:rsid w:val="008A4585"/>
    <w:rsid w:val="008B017B"/>
    <w:rsid w:val="008B32B5"/>
    <w:rsid w:val="008B60A3"/>
    <w:rsid w:val="008B68B5"/>
    <w:rsid w:val="008C2169"/>
    <w:rsid w:val="008D60B3"/>
    <w:rsid w:val="008D6D78"/>
    <w:rsid w:val="008E62C2"/>
    <w:rsid w:val="008F071A"/>
    <w:rsid w:val="008F1A40"/>
    <w:rsid w:val="008F44EC"/>
    <w:rsid w:val="00915D26"/>
    <w:rsid w:val="00924811"/>
    <w:rsid w:val="00930061"/>
    <w:rsid w:val="00937EC6"/>
    <w:rsid w:val="00944667"/>
    <w:rsid w:val="00964326"/>
    <w:rsid w:val="00966942"/>
    <w:rsid w:val="00966D1F"/>
    <w:rsid w:val="009A35D1"/>
    <w:rsid w:val="009A6FF0"/>
    <w:rsid w:val="009B4267"/>
    <w:rsid w:val="009C52A2"/>
    <w:rsid w:val="009C74E3"/>
    <w:rsid w:val="009E17B5"/>
    <w:rsid w:val="009E3375"/>
    <w:rsid w:val="009E3CF1"/>
    <w:rsid w:val="009F485F"/>
    <w:rsid w:val="009F79BE"/>
    <w:rsid w:val="00A04111"/>
    <w:rsid w:val="00A073A1"/>
    <w:rsid w:val="00A11E3B"/>
    <w:rsid w:val="00A217B8"/>
    <w:rsid w:val="00A21E3F"/>
    <w:rsid w:val="00A25F11"/>
    <w:rsid w:val="00A30C20"/>
    <w:rsid w:val="00A318C9"/>
    <w:rsid w:val="00A32181"/>
    <w:rsid w:val="00A44122"/>
    <w:rsid w:val="00A51DB0"/>
    <w:rsid w:val="00A53B25"/>
    <w:rsid w:val="00A65041"/>
    <w:rsid w:val="00A77880"/>
    <w:rsid w:val="00A82536"/>
    <w:rsid w:val="00A8660D"/>
    <w:rsid w:val="00A929A9"/>
    <w:rsid w:val="00AB3C04"/>
    <w:rsid w:val="00AC3665"/>
    <w:rsid w:val="00AC3F4E"/>
    <w:rsid w:val="00AE7A01"/>
    <w:rsid w:val="00B212F3"/>
    <w:rsid w:val="00B24968"/>
    <w:rsid w:val="00B43DE0"/>
    <w:rsid w:val="00B61CEF"/>
    <w:rsid w:val="00B632E6"/>
    <w:rsid w:val="00B642B3"/>
    <w:rsid w:val="00B918CC"/>
    <w:rsid w:val="00B946B3"/>
    <w:rsid w:val="00BA47F8"/>
    <w:rsid w:val="00BA6392"/>
    <w:rsid w:val="00BC50E4"/>
    <w:rsid w:val="00BD08AA"/>
    <w:rsid w:val="00BE4711"/>
    <w:rsid w:val="00C10201"/>
    <w:rsid w:val="00C227E9"/>
    <w:rsid w:val="00C36F21"/>
    <w:rsid w:val="00C5009D"/>
    <w:rsid w:val="00C61860"/>
    <w:rsid w:val="00C64D83"/>
    <w:rsid w:val="00C717A4"/>
    <w:rsid w:val="00C9385E"/>
    <w:rsid w:val="00CA519B"/>
    <w:rsid w:val="00CC0671"/>
    <w:rsid w:val="00CC0CB6"/>
    <w:rsid w:val="00CC2D48"/>
    <w:rsid w:val="00CC710C"/>
    <w:rsid w:val="00CC7402"/>
    <w:rsid w:val="00CD0125"/>
    <w:rsid w:val="00CE37BF"/>
    <w:rsid w:val="00CE6CC0"/>
    <w:rsid w:val="00D22B44"/>
    <w:rsid w:val="00D27A6F"/>
    <w:rsid w:val="00D368C5"/>
    <w:rsid w:val="00D50813"/>
    <w:rsid w:val="00D55225"/>
    <w:rsid w:val="00D61D86"/>
    <w:rsid w:val="00D62BBB"/>
    <w:rsid w:val="00D64873"/>
    <w:rsid w:val="00D72A48"/>
    <w:rsid w:val="00D734E7"/>
    <w:rsid w:val="00D77C4F"/>
    <w:rsid w:val="00D8183D"/>
    <w:rsid w:val="00D94BAB"/>
    <w:rsid w:val="00DE15C1"/>
    <w:rsid w:val="00DE7327"/>
    <w:rsid w:val="00E018A0"/>
    <w:rsid w:val="00E352CC"/>
    <w:rsid w:val="00E52107"/>
    <w:rsid w:val="00E52A67"/>
    <w:rsid w:val="00E7227D"/>
    <w:rsid w:val="00E750F3"/>
    <w:rsid w:val="00E806EA"/>
    <w:rsid w:val="00E8755C"/>
    <w:rsid w:val="00E929B3"/>
    <w:rsid w:val="00EB042C"/>
    <w:rsid w:val="00EC1E2E"/>
    <w:rsid w:val="00EC2BE9"/>
    <w:rsid w:val="00EC4298"/>
    <w:rsid w:val="00EC66ED"/>
    <w:rsid w:val="00ED2F2F"/>
    <w:rsid w:val="00EF7E80"/>
    <w:rsid w:val="00F133EE"/>
    <w:rsid w:val="00F255C7"/>
    <w:rsid w:val="00F312ED"/>
    <w:rsid w:val="00F35BDA"/>
    <w:rsid w:val="00F408C8"/>
    <w:rsid w:val="00F419E8"/>
    <w:rsid w:val="00F523D8"/>
    <w:rsid w:val="00F527CA"/>
    <w:rsid w:val="00F61B50"/>
    <w:rsid w:val="00F64D36"/>
    <w:rsid w:val="00F66E6A"/>
    <w:rsid w:val="00F75221"/>
    <w:rsid w:val="00FB16C3"/>
    <w:rsid w:val="00FB62BB"/>
    <w:rsid w:val="00FB6810"/>
    <w:rsid w:val="00FC73F7"/>
    <w:rsid w:val="00FD1EF8"/>
    <w:rsid w:val="00FE284D"/>
    <w:rsid w:val="00FE3C68"/>
    <w:rsid w:val="00FE45C5"/>
    <w:rsid w:val="4EC3C235"/>
    <w:rsid w:val="54F5D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013FA"/>
  <w15:docId w15:val="{495A887A-2DEA-4B1A-9051-76B6912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CEA"/>
    <w:pPr>
      <w:spacing w:after="120"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34D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34D09"/>
    <w:pPr>
      <w:ind w:left="720"/>
      <w:contextualSpacing/>
    </w:pPr>
  </w:style>
  <w:style w:type="paragraph" w:styleId="Pr-formataoHTML">
    <w:name w:val="HTML Preformatted"/>
    <w:basedOn w:val="Normal"/>
    <w:link w:val="Pr-formataoHTMLChar"/>
    <w:uiPriority w:val="99"/>
    <w:semiHidden/>
    <w:unhideWhenUsed/>
    <w:rsid w:val="00C50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5009D"/>
    <w:rPr>
      <w:rFonts w:ascii="Courier New" w:eastAsia="Times New Roman" w:hAnsi="Courier New" w:cs="Courier New"/>
      <w:sz w:val="20"/>
      <w:szCs w:val="20"/>
      <w:lang w:eastAsia="pt-BR"/>
    </w:rPr>
  </w:style>
  <w:style w:type="character" w:styleId="Forte">
    <w:name w:val="Strong"/>
    <w:basedOn w:val="Fontepargpadro"/>
    <w:uiPriority w:val="22"/>
    <w:qFormat/>
    <w:rsid w:val="00604647"/>
    <w:rPr>
      <w:b/>
      <w:bCs/>
    </w:rPr>
  </w:style>
  <w:style w:type="character" w:styleId="Hyperlink">
    <w:name w:val="Hyperlink"/>
    <w:basedOn w:val="Fontepargpadro"/>
    <w:uiPriority w:val="99"/>
    <w:unhideWhenUsed/>
    <w:rsid w:val="00CC2D48"/>
    <w:rPr>
      <w:color w:val="0563C1" w:themeColor="hyperlink"/>
      <w:u w:val="single"/>
    </w:rPr>
  </w:style>
  <w:style w:type="paragraph" w:styleId="Textodecomentrio">
    <w:name w:val="annotation text"/>
    <w:basedOn w:val="Normal"/>
    <w:link w:val="TextodecomentrioChar"/>
    <w:uiPriority w:val="99"/>
    <w:semiHidden/>
    <w:unhideWhenUsed/>
    <w:rsid w:val="00FB681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6810"/>
    <w:rPr>
      <w:rFonts w:ascii="Arial" w:hAnsi="Arial"/>
      <w:sz w:val="20"/>
      <w:szCs w:val="20"/>
    </w:rPr>
  </w:style>
  <w:style w:type="character" w:styleId="Refdecomentrio">
    <w:name w:val="annotation reference"/>
    <w:basedOn w:val="Fontepargpadro"/>
    <w:uiPriority w:val="99"/>
    <w:semiHidden/>
    <w:unhideWhenUsed/>
    <w:rsid w:val="00FB6810"/>
    <w:rPr>
      <w:sz w:val="18"/>
      <w:szCs w:val="18"/>
    </w:rPr>
  </w:style>
  <w:style w:type="paragraph" w:styleId="Textodebalo">
    <w:name w:val="Balloon Text"/>
    <w:basedOn w:val="Normal"/>
    <w:link w:val="TextodebaloChar"/>
    <w:uiPriority w:val="99"/>
    <w:semiHidden/>
    <w:unhideWhenUsed/>
    <w:rsid w:val="00FB68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6810"/>
    <w:rPr>
      <w:rFonts w:ascii="Segoe UI" w:hAnsi="Segoe UI" w:cs="Segoe UI"/>
      <w:sz w:val="18"/>
      <w:szCs w:val="18"/>
    </w:rPr>
  </w:style>
  <w:style w:type="paragraph" w:styleId="Cabealho">
    <w:name w:val="header"/>
    <w:basedOn w:val="Normal"/>
    <w:link w:val="CabealhoChar"/>
    <w:uiPriority w:val="99"/>
    <w:unhideWhenUsed/>
    <w:rsid w:val="008617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769"/>
    <w:rPr>
      <w:rFonts w:ascii="Arial" w:hAnsi="Arial"/>
      <w:sz w:val="24"/>
    </w:rPr>
  </w:style>
  <w:style w:type="paragraph" w:styleId="Rodap">
    <w:name w:val="footer"/>
    <w:basedOn w:val="Normal"/>
    <w:link w:val="RodapChar"/>
    <w:uiPriority w:val="99"/>
    <w:unhideWhenUsed/>
    <w:rsid w:val="00861769"/>
    <w:pPr>
      <w:tabs>
        <w:tab w:val="center" w:pos="4252"/>
        <w:tab w:val="right" w:pos="8504"/>
      </w:tabs>
      <w:spacing w:after="0" w:line="240" w:lineRule="auto"/>
    </w:pPr>
  </w:style>
  <w:style w:type="character" w:customStyle="1" w:styleId="RodapChar">
    <w:name w:val="Rodapé Char"/>
    <w:basedOn w:val="Fontepargpadro"/>
    <w:link w:val="Rodap"/>
    <w:uiPriority w:val="99"/>
    <w:rsid w:val="00861769"/>
    <w:rPr>
      <w:rFonts w:ascii="Arial" w:hAnsi="Arial"/>
      <w:sz w:val="24"/>
    </w:rPr>
  </w:style>
  <w:style w:type="paragraph" w:styleId="NormalWeb">
    <w:name w:val="Normal (Web)"/>
    <w:basedOn w:val="Normal"/>
    <w:uiPriority w:val="99"/>
    <w:unhideWhenUsed/>
    <w:rsid w:val="00760CDC"/>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760CDC"/>
  </w:style>
  <w:style w:type="paragraph" w:styleId="Textodenotaderodap">
    <w:name w:val="footnote text"/>
    <w:basedOn w:val="Normal"/>
    <w:link w:val="TextodenotaderodapChar"/>
    <w:uiPriority w:val="99"/>
    <w:semiHidden/>
    <w:unhideWhenUsed/>
    <w:rsid w:val="001171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71EF"/>
    <w:rPr>
      <w:rFonts w:ascii="Arial" w:hAnsi="Arial"/>
      <w:sz w:val="20"/>
      <w:szCs w:val="20"/>
    </w:rPr>
  </w:style>
  <w:style w:type="character" w:styleId="Refdenotaderodap">
    <w:name w:val="footnote reference"/>
    <w:basedOn w:val="Fontepargpadro"/>
    <w:uiPriority w:val="99"/>
    <w:semiHidden/>
    <w:unhideWhenUsed/>
    <w:rsid w:val="001171EF"/>
    <w:rPr>
      <w:vertAlign w:val="superscript"/>
    </w:rPr>
  </w:style>
  <w:style w:type="paragraph" w:styleId="Textodenotadefim">
    <w:name w:val="endnote text"/>
    <w:basedOn w:val="Normal"/>
    <w:link w:val="TextodenotadefimChar"/>
    <w:uiPriority w:val="99"/>
    <w:semiHidden/>
    <w:unhideWhenUsed/>
    <w:rsid w:val="00D368C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368C5"/>
    <w:rPr>
      <w:rFonts w:ascii="Arial" w:hAnsi="Arial"/>
      <w:sz w:val="20"/>
      <w:szCs w:val="20"/>
    </w:rPr>
  </w:style>
  <w:style w:type="character" w:styleId="Refdenotadefim">
    <w:name w:val="endnote reference"/>
    <w:basedOn w:val="Fontepargpadro"/>
    <w:uiPriority w:val="99"/>
    <w:semiHidden/>
    <w:unhideWhenUsed/>
    <w:rsid w:val="00D368C5"/>
    <w:rPr>
      <w:vertAlign w:val="superscript"/>
    </w:rPr>
  </w:style>
  <w:style w:type="character" w:styleId="HiperlinkVisitado">
    <w:name w:val="FollowedHyperlink"/>
    <w:basedOn w:val="Fontepargpadro"/>
    <w:uiPriority w:val="99"/>
    <w:semiHidden/>
    <w:unhideWhenUsed/>
    <w:rsid w:val="00E7227D"/>
    <w:rPr>
      <w:color w:val="954F72" w:themeColor="followedHyperlink"/>
      <w:u w:val="single"/>
    </w:rPr>
  </w:style>
  <w:style w:type="character" w:styleId="MenoPendente">
    <w:name w:val="Unresolved Mention"/>
    <w:basedOn w:val="Fontepargpadro"/>
    <w:uiPriority w:val="99"/>
    <w:semiHidden/>
    <w:unhideWhenUsed/>
    <w:rsid w:val="00D6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894">
      <w:bodyDiv w:val="1"/>
      <w:marLeft w:val="0"/>
      <w:marRight w:val="0"/>
      <w:marTop w:val="0"/>
      <w:marBottom w:val="0"/>
      <w:divBdr>
        <w:top w:val="none" w:sz="0" w:space="0" w:color="auto"/>
        <w:left w:val="none" w:sz="0" w:space="0" w:color="auto"/>
        <w:bottom w:val="none" w:sz="0" w:space="0" w:color="auto"/>
        <w:right w:val="none" w:sz="0" w:space="0" w:color="auto"/>
      </w:divBdr>
    </w:div>
    <w:div w:id="18745277">
      <w:bodyDiv w:val="1"/>
      <w:marLeft w:val="0"/>
      <w:marRight w:val="0"/>
      <w:marTop w:val="0"/>
      <w:marBottom w:val="0"/>
      <w:divBdr>
        <w:top w:val="none" w:sz="0" w:space="0" w:color="auto"/>
        <w:left w:val="none" w:sz="0" w:space="0" w:color="auto"/>
        <w:bottom w:val="none" w:sz="0" w:space="0" w:color="auto"/>
        <w:right w:val="none" w:sz="0" w:space="0" w:color="auto"/>
      </w:divBdr>
    </w:div>
    <w:div w:id="31005011">
      <w:bodyDiv w:val="1"/>
      <w:marLeft w:val="0"/>
      <w:marRight w:val="0"/>
      <w:marTop w:val="0"/>
      <w:marBottom w:val="0"/>
      <w:divBdr>
        <w:top w:val="none" w:sz="0" w:space="0" w:color="auto"/>
        <w:left w:val="none" w:sz="0" w:space="0" w:color="auto"/>
        <w:bottom w:val="none" w:sz="0" w:space="0" w:color="auto"/>
        <w:right w:val="none" w:sz="0" w:space="0" w:color="auto"/>
      </w:divBdr>
    </w:div>
    <w:div w:id="42407559">
      <w:bodyDiv w:val="1"/>
      <w:marLeft w:val="0"/>
      <w:marRight w:val="0"/>
      <w:marTop w:val="0"/>
      <w:marBottom w:val="0"/>
      <w:divBdr>
        <w:top w:val="none" w:sz="0" w:space="0" w:color="auto"/>
        <w:left w:val="none" w:sz="0" w:space="0" w:color="auto"/>
        <w:bottom w:val="none" w:sz="0" w:space="0" w:color="auto"/>
        <w:right w:val="none" w:sz="0" w:space="0" w:color="auto"/>
      </w:divBdr>
    </w:div>
    <w:div w:id="133836664">
      <w:bodyDiv w:val="1"/>
      <w:marLeft w:val="0"/>
      <w:marRight w:val="0"/>
      <w:marTop w:val="0"/>
      <w:marBottom w:val="0"/>
      <w:divBdr>
        <w:top w:val="none" w:sz="0" w:space="0" w:color="auto"/>
        <w:left w:val="none" w:sz="0" w:space="0" w:color="auto"/>
        <w:bottom w:val="none" w:sz="0" w:space="0" w:color="auto"/>
        <w:right w:val="none" w:sz="0" w:space="0" w:color="auto"/>
      </w:divBdr>
    </w:div>
    <w:div w:id="208149691">
      <w:bodyDiv w:val="1"/>
      <w:marLeft w:val="0"/>
      <w:marRight w:val="0"/>
      <w:marTop w:val="0"/>
      <w:marBottom w:val="0"/>
      <w:divBdr>
        <w:top w:val="none" w:sz="0" w:space="0" w:color="auto"/>
        <w:left w:val="none" w:sz="0" w:space="0" w:color="auto"/>
        <w:bottom w:val="none" w:sz="0" w:space="0" w:color="auto"/>
        <w:right w:val="none" w:sz="0" w:space="0" w:color="auto"/>
      </w:divBdr>
    </w:div>
    <w:div w:id="274333698">
      <w:bodyDiv w:val="1"/>
      <w:marLeft w:val="0"/>
      <w:marRight w:val="0"/>
      <w:marTop w:val="0"/>
      <w:marBottom w:val="0"/>
      <w:divBdr>
        <w:top w:val="none" w:sz="0" w:space="0" w:color="auto"/>
        <w:left w:val="none" w:sz="0" w:space="0" w:color="auto"/>
        <w:bottom w:val="none" w:sz="0" w:space="0" w:color="auto"/>
        <w:right w:val="none" w:sz="0" w:space="0" w:color="auto"/>
      </w:divBdr>
    </w:div>
    <w:div w:id="426535814">
      <w:bodyDiv w:val="1"/>
      <w:marLeft w:val="0"/>
      <w:marRight w:val="0"/>
      <w:marTop w:val="0"/>
      <w:marBottom w:val="0"/>
      <w:divBdr>
        <w:top w:val="none" w:sz="0" w:space="0" w:color="auto"/>
        <w:left w:val="none" w:sz="0" w:space="0" w:color="auto"/>
        <w:bottom w:val="none" w:sz="0" w:space="0" w:color="auto"/>
        <w:right w:val="none" w:sz="0" w:space="0" w:color="auto"/>
      </w:divBdr>
    </w:div>
    <w:div w:id="734814088">
      <w:bodyDiv w:val="1"/>
      <w:marLeft w:val="0"/>
      <w:marRight w:val="0"/>
      <w:marTop w:val="0"/>
      <w:marBottom w:val="0"/>
      <w:divBdr>
        <w:top w:val="none" w:sz="0" w:space="0" w:color="auto"/>
        <w:left w:val="none" w:sz="0" w:space="0" w:color="auto"/>
        <w:bottom w:val="none" w:sz="0" w:space="0" w:color="auto"/>
        <w:right w:val="none" w:sz="0" w:space="0" w:color="auto"/>
      </w:divBdr>
    </w:div>
    <w:div w:id="752168420">
      <w:bodyDiv w:val="1"/>
      <w:marLeft w:val="0"/>
      <w:marRight w:val="0"/>
      <w:marTop w:val="0"/>
      <w:marBottom w:val="0"/>
      <w:divBdr>
        <w:top w:val="none" w:sz="0" w:space="0" w:color="auto"/>
        <w:left w:val="none" w:sz="0" w:space="0" w:color="auto"/>
        <w:bottom w:val="none" w:sz="0" w:space="0" w:color="auto"/>
        <w:right w:val="none" w:sz="0" w:space="0" w:color="auto"/>
      </w:divBdr>
    </w:div>
    <w:div w:id="830875161">
      <w:bodyDiv w:val="1"/>
      <w:marLeft w:val="0"/>
      <w:marRight w:val="0"/>
      <w:marTop w:val="0"/>
      <w:marBottom w:val="0"/>
      <w:divBdr>
        <w:top w:val="none" w:sz="0" w:space="0" w:color="auto"/>
        <w:left w:val="none" w:sz="0" w:space="0" w:color="auto"/>
        <w:bottom w:val="none" w:sz="0" w:space="0" w:color="auto"/>
        <w:right w:val="none" w:sz="0" w:space="0" w:color="auto"/>
      </w:divBdr>
    </w:div>
    <w:div w:id="874543776">
      <w:bodyDiv w:val="1"/>
      <w:marLeft w:val="0"/>
      <w:marRight w:val="0"/>
      <w:marTop w:val="0"/>
      <w:marBottom w:val="0"/>
      <w:divBdr>
        <w:top w:val="none" w:sz="0" w:space="0" w:color="auto"/>
        <w:left w:val="none" w:sz="0" w:space="0" w:color="auto"/>
        <w:bottom w:val="none" w:sz="0" w:space="0" w:color="auto"/>
        <w:right w:val="none" w:sz="0" w:space="0" w:color="auto"/>
      </w:divBdr>
    </w:div>
    <w:div w:id="910390825">
      <w:bodyDiv w:val="1"/>
      <w:marLeft w:val="0"/>
      <w:marRight w:val="0"/>
      <w:marTop w:val="0"/>
      <w:marBottom w:val="0"/>
      <w:divBdr>
        <w:top w:val="none" w:sz="0" w:space="0" w:color="auto"/>
        <w:left w:val="none" w:sz="0" w:space="0" w:color="auto"/>
        <w:bottom w:val="none" w:sz="0" w:space="0" w:color="auto"/>
        <w:right w:val="none" w:sz="0" w:space="0" w:color="auto"/>
      </w:divBdr>
    </w:div>
    <w:div w:id="918951916">
      <w:bodyDiv w:val="1"/>
      <w:marLeft w:val="0"/>
      <w:marRight w:val="0"/>
      <w:marTop w:val="0"/>
      <w:marBottom w:val="0"/>
      <w:divBdr>
        <w:top w:val="none" w:sz="0" w:space="0" w:color="auto"/>
        <w:left w:val="none" w:sz="0" w:space="0" w:color="auto"/>
        <w:bottom w:val="none" w:sz="0" w:space="0" w:color="auto"/>
        <w:right w:val="none" w:sz="0" w:space="0" w:color="auto"/>
      </w:divBdr>
    </w:div>
    <w:div w:id="947857897">
      <w:bodyDiv w:val="1"/>
      <w:marLeft w:val="0"/>
      <w:marRight w:val="0"/>
      <w:marTop w:val="0"/>
      <w:marBottom w:val="0"/>
      <w:divBdr>
        <w:top w:val="none" w:sz="0" w:space="0" w:color="auto"/>
        <w:left w:val="none" w:sz="0" w:space="0" w:color="auto"/>
        <w:bottom w:val="none" w:sz="0" w:space="0" w:color="auto"/>
        <w:right w:val="none" w:sz="0" w:space="0" w:color="auto"/>
      </w:divBdr>
    </w:div>
    <w:div w:id="977606510">
      <w:bodyDiv w:val="1"/>
      <w:marLeft w:val="0"/>
      <w:marRight w:val="0"/>
      <w:marTop w:val="0"/>
      <w:marBottom w:val="0"/>
      <w:divBdr>
        <w:top w:val="none" w:sz="0" w:space="0" w:color="auto"/>
        <w:left w:val="none" w:sz="0" w:space="0" w:color="auto"/>
        <w:bottom w:val="none" w:sz="0" w:space="0" w:color="auto"/>
        <w:right w:val="none" w:sz="0" w:space="0" w:color="auto"/>
      </w:divBdr>
    </w:div>
    <w:div w:id="1156920172">
      <w:bodyDiv w:val="1"/>
      <w:marLeft w:val="0"/>
      <w:marRight w:val="0"/>
      <w:marTop w:val="0"/>
      <w:marBottom w:val="0"/>
      <w:divBdr>
        <w:top w:val="none" w:sz="0" w:space="0" w:color="auto"/>
        <w:left w:val="none" w:sz="0" w:space="0" w:color="auto"/>
        <w:bottom w:val="none" w:sz="0" w:space="0" w:color="auto"/>
        <w:right w:val="none" w:sz="0" w:space="0" w:color="auto"/>
      </w:divBdr>
    </w:div>
    <w:div w:id="1197351438">
      <w:bodyDiv w:val="1"/>
      <w:marLeft w:val="0"/>
      <w:marRight w:val="0"/>
      <w:marTop w:val="0"/>
      <w:marBottom w:val="0"/>
      <w:divBdr>
        <w:top w:val="none" w:sz="0" w:space="0" w:color="auto"/>
        <w:left w:val="none" w:sz="0" w:space="0" w:color="auto"/>
        <w:bottom w:val="none" w:sz="0" w:space="0" w:color="auto"/>
        <w:right w:val="none" w:sz="0" w:space="0" w:color="auto"/>
      </w:divBdr>
    </w:div>
    <w:div w:id="1251504931">
      <w:bodyDiv w:val="1"/>
      <w:marLeft w:val="0"/>
      <w:marRight w:val="0"/>
      <w:marTop w:val="0"/>
      <w:marBottom w:val="0"/>
      <w:divBdr>
        <w:top w:val="none" w:sz="0" w:space="0" w:color="auto"/>
        <w:left w:val="none" w:sz="0" w:space="0" w:color="auto"/>
        <w:bottom w:val="none" w:sz="0" w:space="0" w:color="auto"/>
        <w:right w:val="none" w:sz="0" w:space="0" w:color="auto"/>
      </w:divBdr>
    </w:div>
    <w:div w:id="1508903739">
      <w:bodyDiv w:val="1"/>
      <w:marLeft w:val="0"/>
      <w:marRight w:val="0"/>
      <w:marTop w:val="0"/>
      <w:marBottom w:val="0"/>
      <w:divBdr>
        <w:top w:val="none" w:sz="0" w:space="0" w:color="auto"/>
        <w:left w:val="none" w:sz="0" w:space="0" w:color="auto"/>
        <w:bottom w:val="none" w:sz="0" w:space="0" w:color="auto"/>
        <w:right w:val="none" w:sz="0" w:space="0" w:color="auto"/>
      </w:divBdr>
    </w:div>
    <w:div w:id="1527332865">
      <w:bodyDiv w:val="1"/>
      <w:marLeft w:val="0"/>
      <w:marRight w:val="0"/>
      <w:marTop w:val="0"/>
      <w:marBottom w:val="0"/>
      <w:divBdr>
        <w:top w:val="none" w:sz="0" w:space="0" w:color="auto"/>
        <w:left w:val="none" w:sz="0" w:space="0" w:color="auto"/>
        <w:bottom w:val="none" w:sz="0" w:space="0" w:color="auto"/>
        <w:right w:val="none" w:sz="0" w:space="0" w:color="auto"/>
      </w:divBdr>
    </w:div>
    <w:div w:id="1674722212">
      <w:bodyDiv w:val="1"/>
      <w:marLeft w:val="0"/>
      <w:marRight w:val="0"/>
      <w:marTop w:val="0"/>
      <w:marBottom w:val="0"/>
      <w:divBdr>
        <w:top w:val="none" w:sz="0" w:space="0" w:color="auto"/>
        <w:left w:val="none" w:sz="0" w:space="0" w:color="auto"/>
        <w:bottom w:val="none" w:sz="0" w:space="0" w:color="auto"/>
        <w:right w:val="none" w:sz="0" w:space="0" w:color="auto"/>
      </w:divBdr>
    </w:div>
    <w:div w:id="1841963613">
      <w:bodyDiv w:val="1"/>
      <w:marLeft w:val="0"/>
      <w:marRight w:val="0"/>
      <w:marTop w:val="0"/>
      <w:marBottom w:val="0"/>
      <w:divBdr>
        <w:top w:val="none" w:sz="0" w:space="0" w:color="auto"/>
        <w:left w:val="none" w:sz="0" w:space="0" w:color="auto"/>
        <w:bottom w:val="none" w:sz="0" w:space="0" w:color="auto"/>
        <w:right w:val="none" w:sz="0" w:space="0" w:color="auto"/>
      </w:divBdr>
    </w:div>
    <w:div w:id="1872111275">
      <w:bodyDiv w:val="1"/>
      <w:marLeft w:val="0"/>
      <w:marRight w:val="0"/>
      <w:marTop w:val="0"/>
      <w:marBottom w:val="0"/>
      <w:divBdr>
        <w:top w:val="none" w:sz="0" w:space="0" w:color="auto"/>
        <w:left w:val="none" w:sz="0" w:space="0" w:color="auto"/>
        <w:bottom w:val="none" w:sz="0" w:space="0" w:color="auto"/>
        <w:right w:val="none" w:sz="0" w:space="0" w:color="auto"/>
      </w:divBdr>
    </w:div>
    <w:div w:id="2102527340">
      <w:bodyDiv w:val="1"/>
      <w:marLeft w:val="0"/>
      <w:marRight w:val="0"/>
      <w:marTop w:val="0"/>
      <w:marBottom w:val="0"/>
      <w:divBdr>
        <w:top w:val="none" w:sz="0" w:space="0" w:color="auto"/>
        <w:left w:val="none" w:sz="0" w:space="0" w:color="auto"/>
        <w:bottom w:val="none" w:sz="0" w:space="0" w:color="auto"/>
        <w:right w:val="none" w:sz="0" w:space="0" w:color="auto"/>
      </w:divBdr>
    </w:div>
    <w:div w:id="21206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planalto.gov.br/CCIVIL/LEIS/L6404consol.htm" TargetMode="External"/><Relationship Id="rId3" Type="http://schemas.openxmlformats.org/officeDocument/2006/relationships/styles" Target="styles.xml"/><Relationship Id="rId21" Type="http://schemas.openxmlformats.org/officeDocument/2006/relationships/hyperlink" Target="http://eur-lex.europa.eu/legal-content/PT/TXT/?uri=CELEX%3A32003R1725"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eur-lex.europa.eu/legal-content/PT/TXT/?uri=CELEX%3A32003R1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planalto.gov.br/ccivil_03/_ato2007-2010/2007/Lei/L11638.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heitor_toto77@hotmail.com" TargetMode="External"/><Relationship Id="rId2" Type="http://schemas.openxmlformats.org/officeDocument/2006/relationships/hyperlink" Target="mailto:thamiresarcanjo@hotmail.com" TargetMode="External"/><Relationship Id="rId1" Type="http://schemas.openxmlformats.org/officeDocument/2006/relationships/hyperlink" Target="mailto:murillo.torelli@mackenzie.br" TargetMode="External"/><Relationship Id="rId5" Type="http://schemas.openxmlformats.org/officeDocument/2006/relationships/hyperlink" Target="mailto:gabriela.particular@gmail.com" TargetMode="External"/><Relationship Id="rId4" Type="http://schemas.openxmlformats.org/officeDocument/2006/relationships/hyperlink" Target="mailto:tiago.santos1@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3D54-13B0-7948-8D38-2B09058C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6301</Words>
  <Characters>34029</Characters>
  <Application>Microsoft Office Word</Application>
  <DocSecurity>0</DocSecurity>
  <Lines>283</Lines>
  <Paragraphs>80</Paragraphs>
  <ScaleCrop>false</ScaleCrop>
  <Company>Hewlett-Packard</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Murillo José Torelli Pinto</cp:lastModifiedBy>
  <cp:revision>86</cp:revision>
  <cp:lastPrinted>2017-11-28T23:09:00Z</cp:lastPrinted>
  <dcterms:created xsi:type="dcterms:W3CDTF">2017-11-28T13:19:00Z</dcterms:created>
  <dcterms:modified xsi:type="dcterms:W3CDTF">2018-06-11T12:08:00Z</dcterms:modified>
</cp:coreProperties>
</file>