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6C" w:rsidRDefault="00A34E5E" w:rsidP="0079032A">
      <w:pPr>
        <w:jc w:val="center"/>
        <w:rPr>
          <w:b/>
          <w:bCs/>
          <w:sz w:val="28"/>
          <w:szCs w:val="28"/>
        </w:rPr>
      </w:pPr>
      <w:r>
        <w:rPr>
          <w:b/>
          <w:bCs/>
          <w:sz w:val="28"/>
          <w:szCs w:val="28"/>
        </w:rPr>
        <w:t xml:space="preserve">Narrar </w:t>
      </w:r>
      <w:r w:rsidR="00B857B7" w:rsidRPr="00B857B7">
        <w:rPr>
          <w:b/>
          <w:bCs/>
          <w:sz w:val="28"/>
          <w:szCs w:val="28"/>
        </w:rPr>
        <w:t xml:space="preserve">a vida </w:t>
      </w:r>
      <w:r>
        <w:rPr>
          <w:b/>
          <w:bCs/>
          <w:sz w:val="28"/>
          <w:szCs w:val="28"/>
        </w:rPr>
        <w:t xml:space="preserve">dos pobres: </w:t>
      </w:r>
    </w:p>
    <w:p w:rsidR="00B857B7" w:rsidRPr="00B857B7" w:rsidRDefault="00B970B1" w:rsidP="0079032A">
      <w:pPr>
        <w:jc w:val="center"/>
        <w:rPr>
          <w:b/>
          <w:bCs/>
          <w:sz w:val="28"/>
          <w:szCs w:val="28"/>
        </w:rPr>
      </w:pPr>
      <w:r>
        <w:rPr>
          <w:b/>
          <w:bCs/>
          <w:sz w:val="28"/>
          <w:szCs w:val="28"/>
        </w:rPr>
        <w:t>Literatura Bíblica</w:t>
      </w:r>
      <w:r w:rsidR="00FD1F6C">
        <w:rPr>
          <w:b/>
          <w:bCs/>
          <w:sz w:val="28"/>
          <w:szCs w:val="28"/>
        </w:rPr>
        <w:t xml:space="preserve">, </w:t>
      </w:r>
      <w:r w:rsidR="00E9017A">
        <w:rPr>
          <w:b/>
          <w:bCs/>
          <w:sz w:val="28"/>
          <w:szCs w:val="28"/>
        </w:rPr>
        <w:t>C</w:t>
      </w:r>
      <w:r w:rsidR="00FD1F6C">
        <w:rPr>
          <w:b/>
          <w:bCs/>
          <w:sz w:val="28"/>
          <w:szCs w:val="28"/>
        </w:rPr>
        <w:t>rítica ideológica e</w:t>
      </w:r>
      <w:r w:rsidR="00B857B7" w:rsidRPr="00B857B7">
        <w:rPr>
          <w:b/>
          <w:bCs/>
          <w:sz w:val="28"/>
          <w:szCs w:val="28"/>
        </w:rPr>
        <w:t xml:space="preserve"> </w:t>
      </w:r>
      <w:r w:rsidR="00E9017A">
        <w:rPr>
          <w:b/>
          <w:bCs/>
          <w:sz w:val="28"/>
          <w:szCs w:val="28"/>
        </w:rPr>
        <w:t>C</w:t>
      </w:r>
      <w:bookmarkStart w:id="0" w:name="_GoBack"/>
      <w:bookmarkEnd w:id="0"/>
      <w:r w:rsidR="00B857B7" w:rsidRPr="00B857B7">
        <w:rPr>
          <w:b/>
          <w:bCs/>
          <w:sz w:val="28"/>
          <w:szCs w:val="28"/>
        </w:rPr>
        <w:t>ompromis</w:t>
      </w:r>
      <w:r w:rsidR="00A34E5E">
        <w:rPr>
          <w:b/>
          <w:bCs/>
          <w:sz w:val="28"/>
          <w:szCs w:val="28"/>
        </w:rPr>
        <w:t>s</w:t>
      </w:r>
      <w:r w:rsidR="00B857B7" w:rsidRPr="00B857B7">
        <w:rPr>
          <w:b/>
          <w:bCs/>
          <w:sz w:val="28"/>
          <w:szCs w:val="28"/>
        </w:rPr>
        <w:t>o social</w:t>
      </w:r>
    </w:p>
    <w:p w:rsidR="00F170D0" w:rsidRDefault="00F170D0" w:rsidP="00F170D0">
      <w:pPr>
        <w:jc w:val="center"/>
        <w:rPr>
          <w:rStyle w:val="ts-alignment-element"/>
          <w:rFonts w:cs="Times New Roman"/>
          <w:sz w:val="21"/>
          <w:szCs w:val="21"/>
          <w:lang w:val="en"/>
        </w:rPr>
      </w:pPr>
    </w:p>
    <w:p w:rsidR="00F170D0" w:rsidRDefault="00F170D0" w:rsidP="00F170D0">
      <w:pPr>
        <w:jc w:val="center"/>
        <w:rPr>
          <w:rFonts w:cs="Times New Roman"/>
          <w:szCs w:val="24"/>
          <w:lang w:val="en"/>
        </w:rPr>
      </w:pPr>
      <w:r w:rsidRPr="00F170D0">
        <w:rPr>
          <w:rStyle w:val="ts-alignment-element"/>
          <w:rFonts w:cs="Times New Roman"/>
          <w:szCs w:val="24"/>
          <w:lang w:val="en"/>
        </w:rPr>
        <w:t>Narrate the lives</w:t>
      </w:r>
      <w:r w:rsidRPr="00F170D0">
        <w:rPr>
          <w:rFonts w:cs="Times New Roman"/>
          <w:szCs w:val="24"/>
          <w:lang w:val="en"/>
        </w:rPr>
        <w:t xml:space="preserve"> </w:t>
      </w:r>
      <w:r w:rsidRPr="00F170D0">
        <w:rPr>
          <w:rStyle w:val="ts-alignment-element"/>
          <w:rFonts w:cs="Times New Roman"/>
          <w:szCs w:val="24"/>
          <w:lang w:val="en"/>
        </w:rPr>
        <w:t>of</w:t>
      </w:r>
      <w:r w:rsidRPr="00F170D0">
        <w:rPr>
          <w:rFonts w:cs="Times New Roman"/>
          <w:szCs w:val="24"/>
          <w:lang w:val="en"/>
        </w:rPr>
        <w:t xml:space="preserve"> </w:t>
      </w:r>
      <w:r w:rsidRPr="00F170D0">
        <w:rPr>
          <w:rStyle w:val="ts-alignment-element"/>
          <w:rFonts w:cs="Times New Roman"/>
          <w:szCs w:val="24"/>
          <w:lang w:val="en"/>
        </w:rPr>
        <w:t>the</w:t>
      </w:r>
      <w:r w:rsidRPr="00F170D0">
        <w:rPr>
          <w:rFonts w:cs="Times New Roman"/>
          <w:szCs w:val="24"/>
          <w:lang w:val="en"/>
        </w:rPr>
        <w:t xml:space="preserve"> </w:t>
      </w:r>
      <w:r w:rsidRPr="00F170D0">
        <w:rPr>
          <w:rStyle w:val="ts-alignment-element"/>
          <w:rFonts w:cs="Times New Roman"/>
          <w:szCs w:val="24"/>
          <w:lang w:val="en"/>
        </w:rPr>
        <w:t>poor:</w:t>
      </w:r>
      <w:r w:rsidRPr="00F170D0">
        <w:rPr>
          <w:rFonts w:cs="Times New Roman"/>
          <w:szCs w:val="24"/>
          <w:lang w:val="en"/>
        </w:rPr>
        <w:t xml:space="preserve"> </w:t>
      </w:r>
    </w:p>
    <w:p w:rsidR="00F170D0" w:rsidRPr="00F170D0" w:rsidRDefault="00F170D0" w:rsidP="00F170D0">
      <w:pPr>
        <w:jc w:val="center"/>
        <w:rPr>
          <w:rFonts w:cs="Times New Roman"/>
          <w:szCs w:val="24"/>
          <w:lang w:val="en-US"/>
        </w:rPr>
      </w:pPr>
      <w:r w:rsidRPr="00F170D0">
        <w:rPr>
          <w:rStyle w:val="ts-alignment-element"/>
          <w:rFonts w:cs="Times New Roman"/>
          <w:szCs w:val="24"/>
          <w:lang w:val="en"/>
        </w:rPr>
        <w:t>Biblical</w:t>
      </w:r>
      <w:r w:rsidRPr="00F170D0">
        <w:rPr>
          <w:rFonts w:cs="Times New Roman"/>
          <w:szCs w:val="24"/>
          <w:lang w:val="en"/>
        </w:rPr>
        <w:t xml:space="preserve"> </w:t>
      </w:r>
      <w:r w:rsidRPr="00F170D0">
        <w:rPr>
          <w:rStyle w:val="ts-alignment-element"/>
          <w:rFonts w:cs="Times New Roman"/>
          <w:szCs w:val="24"/>
          <w:lang w:val="en"/>
        </w:rPr>
        <w:t>Literature,</w:t>
      </w:r>
      <w:r w:rsidRPr="00F170D0">
        <w:rPr>
          <w:rFonts w:cs="Times New Roman"/>
          <w:szCs w:val="24"/>
          <w:lang w:val="en"/>
        </w:rPr>
        <w:t xml:space="preserve"> </w:t>
      </w:r>
      <w:r w:rsidRPr="00F170D0">
        <w:rPr>
          <w:rStyle w:val="ts-alignment-element"/>
          <w:rFonts w:cs="Times New Roman"/>
          <w:szCs w:val="24"/>
          <w:lang w:val="en"/>
        </w:rPr>
        <w:t>Ideological</w:t>
      </w:r>
      <w:r w:rsidRPr="00F170D0">
        <w:rPr>
          <w:rFonts w:cs="Times New Roman"/>
          <w:szCs w:val="24"/>
          <w:lang w:val="en"/>
        </w:rPr>
        <w:t xml:space="preserve"> </w:t>
      </w:r>
      <w:r w:rsidRPr="00F170D0">
        <w:rPr>
          <w:rStyle w:val="ts-alignment-element"/>
          <w:rFonts w:cs="Times New Roman"/>
          <w:szCs w:val="24"/>
          <w:lang w:val="en"/>
        </w:rPr>
        <w:t>Criticism</w:t>
      </w:r>
      <w:r w:rsidRPr="00F170D0">
        <w:rPr>
          <w:rFonts w:cs="Times New Roman"/>
          <w:szCs w:val="24"/>
          <w:lang w:val="en"/>
        </w:rPr>
        <w:t xml:space="preserve"> </w:t>
      </w:r>
      <w:r w:rsidR="00C868B6">
        <w:rPr>
          <w:rStyle w:val="ts-alignment-element"/>
          <w:rFonts w:cs="Times New Roman"/>
          <w:szCs w:val="24"/>
          <w:lang w:val="en"/>
        </w:rPr>
        <w:t>a</w:t>
      </w:r>
      <w:r w:rsidRPr="00F170D0">
        <w:rPr>
          <w:rStyle w:val="ts-alignment-element"/>
          <w:rFonts w:cs="Times New Roman"/>
          <w:szCs w:val="24"/>
          <w:lang w:val="en"/>
        </w:rPr>
        <w:t>nd</w:t>
      </w:r>
      <w:r w:rsidRPr="00F170D0">
        <w:rPr>
          <w:rFonts w:cs="Times New Roman"/>
          <w:szCs w:val="24"/>
          <w:lang w:val="en"/>
        </w:rPr>
        <w:t xml:space="preserve"> </w:t>
      </w:r>
      <w:r w:rsidRPr="00F170D0">
        <w:rPr>
          <w:rStyle w:val="ts-alignment-element"/>
          <w:rFonts w:cs="Times New Roman"/>
          <w:szCs w:val="24"/>
          <w:lang w:val="en"/>
        </w:rPr>
        <w:t>Social</w:t>
      </w:r>
      <w:r w:rsidRPr="00F170D0">
        <w:rPr>
          <w:rFonts w:cs="Times New Roman"/>
          <w:szCs w:val="24"/>
          <w:lang w:val="en"/>
        </w:rPr>
        <w:t xml:space="preserve"> </w:t>
      </w:r>
      <w:r w:rsidRPr="00F170D0">
        <w:rPr>
          <w:rStyle w:val="ts-alignment-element"/>
          <w:rFonts w:cs="Times New Roman"/>
          <w:szCs w:val="24"/>
          <w:lang w:val="en"/>
        </w:rPr>
        <w:t>Commitment</w:t>
      </w:r>
    </w:p>
    <w:p w:rsidR="00F170D0" w:rsidRPr="00F170D0" w:rsidRDefault="00F170D0" w:rsidP="00F170D0">
      <w:pPr>
        <w:jc w:val="center"/>
        <w:rPr>
          <w:lang w:val="en-US"/>
        </w:rPr>
      </w:pPr>
    </w:p>
    <w:p w:rsidR="00F170D0" w:rsidRPr="00F170D0" w:rsidRDefault="00F170D0" w:rsidP="007213EF">
      <w:pPr>
        <w:jc w:val="right"/>
        <w:rPr>
          <w:lang w:val="en-US"/>
        </w:rPr>
      </w:pPr>
    </w:p>
    <w:p w:rsidR="007213EF" w:rsidRPr="007213EF" w:rsidRDefault="007213EF" w:rsidP="007213EF">
      <w:pPr>
        <w:jc w:val="right"/>
        <w:rPr>
          <w:lang w:val="es-CL"/>
        </w:rPr>
      </w:pPr>
      <w:r w:rsidRPr="007213EF">
        <w:rPr>
          <w:lang w:val="es-CL"/>
        </w:rPr>
        <w:t xml:space="preserve">Antonio </w:t>
      </w:r>
      <w:proofErr w:type="spellStart"/>
      <w:r w:rsidRPr="007213EF">
        <w:rPr>
          <w:lang w:val="es-CL"/>
        </w:rPr>
        <w:t>Manzatto</w:t>
      </w:r>
      <w:proofErr w:type="spellEnd"/>
      <w:r w:rsidR="00F170D0">
        <w:rPr>
          <w:rStyle w:val="Refdenotaderodap"/>
          <w:lang w:val="es-CL"/>
        </w:rPr>
        <w:footnoteReference w:id="1"/>
      </w:r>
      <w:r>
        <w:rPr>
          <w:rStyle w:val="Refdenotaderodap"/>
        </w:rPr>
        <w:footnoteReference w:id="2"/>
      </w:r>
    </w:p>
    <w:p w:rsidR="007213EF" w:rsidRPr="007213EF" w:rsidRDefault="007213EF" w:rsidP="007213EF">
      <w:pPr>
        <w:jc w:val="right"/>
        <w:rPr>
          <w:lang w:val="es-CL"/>
        </w:rPr>
      </w:pPr>
      <w:r w:rsidRPr="007213EF">
        <w:rPr>
          <w:lang w:val="es-CL"/>
        </w:rPr>
        <w:t>Alex Villas Boas</w:t>
      </w:r>
      <w:r>
        <w:rPr>
          <w:rStyle w:val="Refdenotaderodap"/>
        </w:rPr>
        <w:footnoteReference w:id="3"/>
      </w:r>
    </w:p>
    <w:p w:rsidR="009926C5" w:rsidRPr="007213EF" w:rsidRDefault="009926C5" w:rsidP="0079032A">
      <w:pPr>
        <w:jc w:val="both"/>
        <w:rPr>
          <w:b/>
          <w:lang w:val="es-CL"/>
        </w:rPr>
      </w:pPr>
      <w:r w:rsidRPr="007213EF">
        <w:rPr>
          <w:b/>
          <w:lang w:val="es-CL"/>
        </w:rPr>
        <w:t>Resumo</w:t>
      </w:r>
    </w:p>
    <w:p w:rsidR="009926C5" w:rsidRDefault="009926C5" w:rsidP="0079032A">
      <w:pPr>
        <w:jc w:val="both"/>
      </w:pPr>
      <w:r>
        <w:t>Se a história oficial guarda os relatos de vitórias dos grandes da terra, as narrativas que preservam a memória dos pobres é não apenas uma alternativa para a compreensão do mundo, mas a própria afirmação de suas vidas. Se não estão presentes na história oficial, nem por isso deixam de circular entre os pequenos. Assim também com o texto bíblico que narra todo o processo da presença de Deus ao lado dos pequenos da terra. Tais narrativas aparecem em vários gêneros literários, e não estão ausentes de textos legislativos que registram sua experiência de vida e afirmam sua maneira de ver o mundo. Assim o coração da Torá e o centro do evangelho de Jesus se referem ao Deus que se revela aos pequenos e se faz presente ao seu lado como misericórdia, inclusive na experiência de formação social</w:t>
      </w:r>
      <w:r w:rsidR="00B630AF">
        <w:t xml:space="preserve"> ou desenho de uma nova sociedade.</w:t>
      </w:r>
      <w:r w:rsidR="00E97885">
        <w:t xml:space="preserve"> Para tanto, se pretende distinguir o teor social das narrativas bíblicas dos “</w:t>
      </w:r>
      <w:proofErr w:type="spellStart"/>
      <w:r w:rsidR="00E97885">
        <w:t>ideologemas</w:t>
      </w:r>
      <w:proofErr w:type="spellEnd"/>
      <w:r w:rsidR="00E97885">
        <w:t xml:space="preserve">”, como prática discursiva tributário de reducionismo ideológico, de acordo como o inconsciente político de </w:t>
      </w:r>
      <w:proofErr w:type="spellStart"/>
      <w:r w:rsidR="00E97885">
        <w:t>Fredric</w:t>
      </w:r>
      <w:proofErr w:type="spellEnd"/>
      <w:r w:rsidR="00E97885">
        <w:t xml:space="preserve"> Jameson e a concepção de ideologia como sistema de crença em Paul Ricoeur. </w:t>
      </w:r>
    </w:p>
    <w:p w:rsidR="004041D4" w:rsidRDefault="004041D4" w:rsidP="0079032A">
      <w:pPr>
        <w:jc w:val="both"/>
      </w:pPr>
    </w:p>
    <w:p w:rsidR="004041D4" w:rsidRDefault="004041D4" w:rsidP="0079032A">
      <w:pPr>
        <w:jc w:val="both"/>
      </w:pPr>
      <w:r w:rsidRPr="004041D4">
        <w:rPr>
          <w:b/>
        </w:rPr>
        <w:t>Palavras chave</w:t>
      </w:r>
      <w:r>
        <w:t>: Narrativas</w:t>
      </w:r>
      <w:r w:rsidR="00F170D0">
        <w:t xml:space="preserve">, Literatura Bíblica, Compromisso Social, </w:t>
      </w:r>
      <w:proofErr w:type="spellStart"/>
      <w:r w:rsidR="00F170D0">
        <w:t>Fredric</w:t>
      </w:r>
      <w:proofErr w:type="spellEnd"/>
      <w:r w:rsidR="00F170D0">
        <w:t xml:space="preserve"> Jameson, Paul Ricoeur.</w:t>
      </w:r>
    </w:p>
    <w:p w:rsidR="00B630AF" w:rsidRDefault="00B630AF" w:rsidP="0079032A">
      <w:pPr>
        <w:jc w:val="both"/>
      </w:pPr>
    </w:p>
    <w:p w:rsidR="00B630AF" w:rsidRPr="006500DF" w:rsidRDefault="00B630AF" w:rsidP="0079032A">
      <w:pPr>
        <w:jc w:val="both"/>
        <w:rPr>
          <w:b/>
          <w:lang w:val="en-US"/>
        </w:rPr>
      </w:pPr>
      <w:r w:rsidRPr="006500DF">
        <w:rPr>
          <w:b/>
          <w:lang w:val="en-US"/>
        </w:rPr>
        <w:t>Abstract</w:t>
      </w:r>
    </w:p>
    <w:p w:rsidR="00B630AF" w:rsidRPr="00E97885" w:rsidRDefault="004041D4" w:rsidP="0079032A">
      <w:pPr>
        <w:jc w:val="both"/>
        <w:rPr>
          <w:rFonts w:cs="Times New Roman"/>
          <w:bCs/>
          <w:color w:val="000000"/>
          <w:szCs w:val="24"/>
          <w:shd w:val="clear" w:color="auto" w:fill="FFFFFF"/>
          <w:lang w:val="en"/>
        </w:rPr>
      </w:pPr>
      <w:r w:rsidRPr="006500DF">
        <w:rPr>
          <w:rFonts w:cs="Times New Roman"/>
          <w:bCs/>
          <w:color w:val="000000"/>
          <w:szCs w:val="24"/>
          <w:shd w:val="clear" w:color="auto" w:fill="FFFFFF"/>
          <w:lang w:val="en-US"/>
        </w:rPr>
        <w:t xml:space="preserve">If the official history accounts for the victories of the landlords, then, the narratives which preserves the memory of the poor, is not only an alternative for understanding the world, but a proper affirmation of their life. If they are not present in the official history, nor do they stop to circulates among the little ones. Likewise, the biblical text </w:t>
      </w:r>
      <w:proofErr w:type="gramStart"/>
      <w:r w:rsidRPr="006500DF">
        <w:rPr>
          <w:rFonts w:cs="Times New Roman"/>
          <w:bCs/>
          <w:color w:val="000000"/>
          <w:szCs w:val="24"/>
          <w:shd w:val="clear" w:color="auto" w:fill="FFFFFF"/>
          <w:lang w:val="en-US"/>
        </w:rPr>
        <w:t>narrate</w:t>
      </w:r>
      <w:proofErr w:type="gramEnd"/>
      <w:r w:rsidRPr="006500DF">
        <w:rPr>
          <w:rFonts w:cs="Times New Roman"/>
          <w:bCs/>
          <w:color w:val="000000"/>
          <w:szCs w:val="24"/>
          <w:shd w:val="clear" w:color="auto" w:fill="FFFFFF"/>
          <w:lang w:val="en-US"/>
        </w:rPr>
        <w:t xml:space="preserve"> the whole process of the presence of God next to the little of land. These narratives </w:t>
      </w:r>
      <w:proofErr w:type="gramStart"/>
      <w:r w:rsidRPr="006500DF">
        <w:rPr>
          <w:rFonts w:cs="Times New Roman"/>
          <w:bCs/>
          <w:color w:val="000000"/>
          <w:szCs w:val="24"/>
          <w:shd w:val="clear" w:color="auto" w:fill="FFFFFF"/>
          <w:lang w:val="en-US"/>
        </w:rPr>
        <w:t>appears</w:t>
      </w:r>
      <w:proofErr w:type="gramEnd"/>
      <w:r w:rsidRPr="006500DF">
        <w:rPr>
          <w:rFonts w:cs="Times New Roman"/>
          <w:bCs/>
          <w:color w:val="000000"/>
          <w:szCs w:val="24"/>
          <w:shd w:val="clear" w:color="auto" w:fill="FFFFFF"/>
          <w:lang w:val="en-US"/>
        </w:rPr>
        <w:t xml:space="preserve"> in several literary genres, and they are not absent in the legislative texts, that registered their life experience and affirmed their way of seeing the world. Therefore, the heart of Torah and the center of Gospel of Jesus refer to God who reveal himself to the little ones. He </w:t>
      </w:r>
      <w:proofErr w:type="gramStart"/>
      <w:r w:rsidRPr="006500DF">
        <w:rPr>
          <w:rFonts w:cs="Times New Roman"/>
          <w:bCs/>
          <w:color w:val="000000"/>
          <w:szCs w:val="24"/>
          <w:shd w:val="clear" w:color="auto" w:fill="FFFFFF"/>
          <w:lang w:val="en-US"/>
        </w:rPr>
        <w:t>make</w:t>
      </w:r>
      <w:proofErr w:type="gramEnd"/>
      <w:r w:rsidRPr="006500DF">
        <w:rPr>
          <w:rFonts w:cs="Times New Roman"/>
          <w:bCs/>
          <w:color w:val="000000"/>
          <w:szCs w:val="24"/>
          <w:shd w:val="clear" w:color="auto" w:fill="FFFFFF"/>
          <w:lang w:val="en-US"/>
        </w:rPr>
        <w:t xml:space="preserve"> present in their side like mercy, including in the experience of social formation or design of the new society. </w:t>
      </w:r>
      <w:r w:rsidR="00E97885" w:rsidRPr="00E97885">
        <w:rPr>
          <w:rFonts w:cs="Times New Roman"/>
          <w:bCs/>
          <w:color w:val="000000"/>
          <w:szCs w:val="24"/>
          <w:shd w:val="clear" w:color="auto" w:fill="FFFFFF"/>
          <w:lang w:val="en-US"/>
        </w:rPr>
        <w:t xml:space="preserve">To this end, it is intended to distinguish the social content of the biblical narratives of </w:t>
      </w:r>
      <w:r w:rsidR="00E97885">
        <w:rPr>
          <w:rFonts w:cs="Times New Roman"/>
          <w:bCs/>
          <w:color w:val="000000"/>
          <w:szCs w:val="24"/>
          <w:shd w:val="clear" w:color="auto" w:fill="FFFFFF"/>
          <w:lang w:val="en-US"/>
        </w:rPr>
        <w:t>“</w:t>
      </w:r>
      <w:proofErr w:type="spellStart"/>
      <w:r w:rsidR="00E97885" w:rsidRPr="00E97885">
        <w:rPr>
          <w:rFonts w:cs="Times New Roman"/>
          <w:bCs/>
          <w:color w:val="000000"/>
          <w:szCs w:val="24"/>
          <w:shd w:val="clear" w:color="auto" w:fill="FFFFFF"/>
          <w:lang w:val="en-US"/>
        </w:rPr>
        <w:t>ideologems</w:t>
      </w:r>
      <w:proofErr w:type="spellEnd"/>
      <w:r w:rsidR="00E97885">
        <w:rPr>
          <w:rFonts w:cs="Times New Roman"/>
          <w:bCs/>
          <w:color w:val="000000"/>
          <w:szCs w:val="24"/>
          <w:shd w:val="clear" w:color="auto" w:fill="FFFFFF"/>
          <w:lang w:val="en-US"/>
        </w:rPr>
        <w:t>”</w:t>
      </w:r>
      <w:r w:rsidR="00E97885" w:rsidRPr="00E97885">
        <w:rPr>
          <w:rFonts w:cs="Times New Roman"/>
          <w:bCs/>
          <w:color w:val="000000"/>
          <w:szCs w:val="24"/>
          <w:shd w:val="clear" w:color="auto" w:fill="FFFFFF"/>
          <w:lang w:val="en-US"/>
        </w:rPr>
        <w:t>, such as ideological reductionism, according to the political unconscious of Fredric Jameson and the conception of ideology as a system of belief in Paul Ricoeur.</w:t>
      </w:r>
    </w:p>
    <w:p w:rsidR="004041D4" w:rsidRPr="006500DF" w:rsidRDefault="004041D4" w:rsidP="0079032A">
      <w:pPr>
        <w:jc w:val="both"/>
        <w:rPr>
          <w:rFonts w:cs="Times New Roman"/>
          <w:bCs/>
          <w:color w:val="000000"/>
          <w:szCs w:val="24"/>
          <w:shd w:val="clear" w:color="auto" w:fill="FFFFFF"/>
          <w:lang w:val="en-US"/>
        </w:rPr>
      </w:pPr>
    </w:p>
    <w:p w:rsidR="004041D4" w:rsidRPr="00B970B1" w:rsidRDefault="004041D4" w:rsidP="0079032A">
      <w:pPr>
        <w:pStyle w:val="Pr-formataoHTML"/>
        <w:shd w:val="clear" w:color="auto" w:fill="FFFFFF"/>
        <w:jc w:val="both"/>
        <w:rPr>
          <w:rFonts w:ascii="Times New Roman" w:hAnsi="Times New Roman" w:cs="Times New Roman"/>
          <w:color w:val="212121"/>
          <w:sz w:val="24"/>
          <w:szCs w:val="24"/>
          <w:lang w:val="fr-FR"/>
        </w:rPr>
      </w:pPr>
      <w:proofErr w:type="gramStart"/>
      <w:r w:rsidRPr="00B970B1">
        <w:rPr>
          <w:rFonts w:ascii="Times New Roman" w:hAnsi="Times New Roman" w:cs="Times New Roman"/>
          <w:b/>
          <w:bCs/>
          <w:color w:val="000000"/>
          <w:sz w:val="24"/>
          <w:szCs w:val="24"/>
          <w:shd w:val="clear" w:color="auto" w:fill="FFFFFF"/>
          <w:lang w:val="fr-FR"/>
        </w:rPr>
        <w:t>Keywords</w:t>
      </w:r>
      <w:r w:rsidRPr="00B970B1">
        <w:rPr>
          <w:rFonts w:ascii="Times New Roman" w:hAnsi="Times New Roman" w:cs="Times New Roman"/>
          <w:bCs/>
          <w:color w:val="000000"/>
          <w:sz w:val="24"/>
          <w:szCs w:val="24"/>
          <w:shd w:val="clear" w:color="auto" w:fill="FFFFFF"/>
          <w:lang w:val="fr-FR"/>
        </w:rPr>
        <w:t>:</w:t>
      </w:r>
      <w:proofErr w:type="gramEnd"/>
      <w:r w:rsidRPr="00B970B1">
        <w:rPr>
          <w:rFonts w:ascii="Times New Roman" w:hAnsi="Times New Roman" w:cs="Times New Roman"/>
          <w:bCs/>
          <w:color w:val="000000"/>
          <w:sz w:val="24"/>
          <w:szCs w:val="24"/>
          <w:shd w:val="clear" w:color="auto" w:fill="FFFFFF"/>
          <w:lang w:val="fr-FR"/>
        </w:rPr>
        <w:t xml:space="preserve"> </w:t>
      </w:r>
      <w:r w:rsidR="00F170D0" w:rsidRPr="00F170D0">
        <w:rPr>
          <w:rFonts w:ascii="Times New Roman" w:hAnsi="Times New Roman" w:cs="Times New Roman"/>
          <w:bCs/>
          <w:color w:val="000000"/>
          <w:sz w:val="24"/>
          <w:szCs w:val="24"/>
          <w:shd w:val="clear" w:color="auto" w:fill="FFFFFF"/>
          <w:lang w:val="fr-FR"/>
        </w:rPr>
        <w:t xml:space="preserve">Narratives, </w:t>
      </w:r>
      <w:proofErr w:type="spellStart"/>
      <w:r w:rsidR="00F170D0" w:rsidRPr="00F170D0">
        <w:rPr>
          <w:rFonts w:ascii="Times New Roman" w:hAnsi="Times New Roman" w:cs="Times New Roman"/>
          <w:bCs/>
          <w:color w:val="000000"/>
          <w:sz w:val="24"/>
          <w:szCs w:val="24"/>
          <w:shd w:val="clear" w:color="auto" w:fill="FFFFFF"/>
          <w:lang w:val="fr-FR"/>
        </w:rPr>
        <w:t>Biblical</w:t>
      </w:r>
      <w:proofErr w:type="spellEnd"/>
      <w:r w:rsidR="00F170D0" w:rsidRPr="00F170D0">
        <w:rPr>
          <w:rFonts w:ascii="Times New Roman" w:hAnsi="Times New Roman" w:cs="Times New Roman"/>
          <w:bCs/>
          <w:color w:val="000000"/>
          <w:sz w:val="24"/>
          <w:szCs w:val="24"/>
          <w:shd w:val="clear" w:color="auto" w:fill="FFFFFF"/>
          <w:lang w:val="fr-FR"/>
        </w:rPr>
        <w:t xml:space="preserve"> </w:t>
      </w:r>
      <w:proofErr w:type="spellStart"/>
      <w:r w:rsidR="00F170D0" w:rsidRPr="00F170D0">
        <w:rPr>
          <w:rFonts w:ascii="Times New Roman" w:hAnsi="Times New Roman" w:cs="Times New Roman"/>
          <w:bCs/>
          <w:color w:val="000000"/>
          <w:sz w:val="24"/>
          <w:szCs w:val="24"/>
          <w:shd w:val="clear" w:color="auto" w:fill="FFFFFF"/>
          <w:lang w:val="fr-FR"/>
        </w:rPr>
        <w:t>literature</w:t>
      </w:r>
      <w:proofErr w:type="spellEnd"/>
      <w:r w:rsidR="00F170D0" w:rsidRPr="00F170D0">
        <w:rPr>
          <w:rFonts w:ascii="Times New Roman" w:hAnsi="Times New Roman" w:cs="Times New Roman"/>
          <w:bCs/>
          <w:color w:val="000000"/>
          <w:sz w:val="24"/>
          <w:szCs w:val="24"/>
          <w:shd w:val="clear" w:color="auto" w:fill="FFFFFF"/>
          <w:lang w:val="fr-FR"/>
        </w:rPr>
        <w:t xml:space="preserve">, Social </w:t>
      </w:r>
      <w:proofErr w:type="spellStart"/>
      <w:r w:rsidR="00F170D0" w:rsidRPr="00F170D0">
        <w:rPr>
          <w:rFonts w:ascii="Times New Roman" w:hAnsi="Times New Roman" w:cs="Times New Roman"/>
          <w:bCs/>
          <w:color w:val="000000"/>
          <w:sz w:val="24"/>
          <w:szCs w:val="24"/>
          <w:shd w:val="clear" w:color="auto" w:fill="FFFFFF"/>
          <w:lang w:val="fr-FR"/>
        </w:rPr>
        <w:t>commitment</w:t>
      </w:r>
      <w:proofErr w:type="spellEnd"/>
      <w:r w:rsidR="00F170D0" w:rsidRPr="00F170D0">
        <w:rPr>
          <w:rFonts w:ascii="Times New Roman" w:hAnsi="Times New Roman" w:cs="Times New Roman"/>
          <w:bCs/>
          <w:color w:val="000000"/>
          <w:sz w:val="24"/>
          <w:szCs w:val="24"/>
          <w:shd w:val="clear" w:color="auto" w:fill="FFFFFF"/>
          <w:lang w:val="fr-FR"/>
        </w:rPr>
        <w:t xml:space="preserve">, </w:t>
      </w:r>
      <w:proofErr w:type="spellStart"/>
      <w:r w:rsidR="00F170D0" w:rsidRPr="00F170D0">
        <w:rPr>
          <w:rFonts w:ascii="Times New Roman" w:hAnsi="Times New Roman" w:cs="Times New Roman"/>
          <w:bCs/>
          <w:color w:val="000000"/>
          <w:sz w:val="24"/>
          <w:szCs w:val="24"/>
          <w:shd w:val="clear" w:color="auto" w:fill="FFFFFF"/>
          <w:lang w:val="fr-FR"/>
        </w:rPr>
        <w:t>Fredric</w:t>
      </w:r>
      <w:proofErr w:type="spellEnd"/>
      <w:r w:rsidR="00F170D0" w:rsidRPr="00F170D0">
        <w:rPr>
          <w:rFonts w:ascii="Times New Roman" w:hAnsi="Times New Roman" w:cs="Times New Roman"/>
          <w:bCs/>
          <w:color w:val="000000"/>
          <w:sz w:val="24"/>
          <w:szCs w:val="24"/>
          <w:shd w:val="clear" w:color="auto" w:fill="FFFFFF"/>
          <w:lang w:val="fr-FR"/>
        </w:rPr>
        <w:t xml:space="preserve"> Jameson, Paul </w:t>
      </w:r>
      <w:r w:rsidR="00F170D0">
        <w:rPr>
          <w:rFonts w:ascii="Times New Roman" w:hAnsi="Times New Roman" w:cs="Times New Roman"/>
          <w:bCs/>
          <w:color w:val="000000"/>
          <w:sz w:val="24"/>
          <w:szCs w:val="24"/>
          <w:shd w:val="clear" w:color="auto" w:fill="FFFFFF"/>
          <w:lang w:val="fr-FR"/>
        </w:rPr>
        <w:t>R</w:t>
      </w:r>
      <w:r w:rsidR="00F170D0" w:rsidRPr="00F170D0">
        <w:rPr>
          <w:rFonts w:ascii="Times New Roman" w:hAnsi="Times New Roman" w:cs="Times New Roman"/>
          <w:bCs/>
          <w:color w:val="000000"/>
          <w:sz w:val="24"/>
          <w:szCs w:val="24"/>
          <w:shd w:val="clear" w:color="auto" w:fill="FFFFFF"/>
          <w:lang w:val="fr-FR"/>
        </w:rPr>
        <w:t>icoeur</w:t>
      </w:r>
      <w:r w:rsidR="00F170D0">
        <w:rPr>
          <w:rFonts w:ascii="Times New Roman" w:hAnsi="Times New Roman" w:cs="Times New Roman"/>
          <w:bCs/>
          <w:color w:val="000000"/>
          <w:sz w:val="24"/>
          <w:szCs w:val="24"/>
          <w:shd w:val="clear" w:color="auto" w:fill="FFFFFF"/>
          <w:lang w:val="fr-FR"/>
        </w:rPr>
        <w:t>.</w:t>
      </w:r>
    </w:p>
    <w:p w:rsidR="004041D4" w:rsidRPr="00B970B1" w:rsidRDefault="004041D4" w:rsidP="0079032A">
      <w:pPr>
        <w:jc w:val="both"/>
        <w:rPr>
          <w:rFonts w:cs="Times New Roman"/>
          <w:szCs w:val="24"/>
          <w:lang w:val="fr-FR"/>
        </w:rPr>
      </w:pPr>
    </w:p>
    <w:p w:rsidR="009926C5" w:rsidRDefault="009926C5" w:rsidP="0079032A">
      <w:pPr>
        <w:jc w:val="both"/>
        <w:rPr>
          <w:lang w:val="fr-FR"/>
        </w:rPr>
      </w:pPr>
    </w:p>
    <w:p w:rsidR="00F170D0" w:rsidRDefault="00F170D0" w:rsidP="0079032A">
      <w:pPr>
        <w:jc w:val="both"/>
        <w:rPr>
          <w:lang w:val="fr-FR"/>
        </w:rPr>
      </w:pPr>
    </w:p>
    <w:p w:rsidR="00F170D0" w:rsidRDefault="00F170D0" w:rsidP="0079032A">
      <w:pPr>
        <w:jc w:val="both"/>
        <w:rPr>
          <w:lang w:val="fr-FR"/>
        </w:rPr>
      </w:pPr>
    </w:p>
    <w:p w:rsidR="00F170D0" w:rsidRDefault="00F170D0" w:rsidP="0079032A">
      <w:pPr>
        <w:jc w:val="both"/>
        <w:rPr>
          <w:lang w:val="fr-FR"/>
        </w:rPr>
      </w:pPr>
    </w:p>
    <w:p w:rsidR="00F170D0" w:rsidRPr="00B970B1" w:rsidRDefault="00F170D0" w:rsidP="0079032A">
      <w:pPr>
        <w:jc w:val="both"/>
        <w:rPr>
          <w:lang w:val="fr-FR"/>
        </w:rPr>
      </w:pPr>
    </w:p>
    <w:p w:rsidR="003640FC" w:rsidRPr="00B970B1" w:rsidRDefault="003640FC" w:rsidP="0079032A">
      <w:pPr>
        <w:spacing w:after="60"/>
        <w:jc w:val="both"/>
        <w:rPr>
          <w:b/>
          <w:lang w:val="es-CL"/>
        </w:rPr>
      </w:pPr>
      <w:proofErr w:type="spellStart"/>
      <w:r w:rsidRPr="00B970B1">
        <w:rPr>
          <w:b/>
          <w:lang w:val="es-CL"/>
        </w:rPr>
        <w:t>Introdução</w:t>
      </w:r>
      <w:proofErr w:type="spellEnd"/>
    </w:p>
    <w:p w:rsidR="00B970B1" w:rsidRDefault="00B970B1" w:rsidP="0079032A">
      <w:pPr>
        <w:spacing w:after="60"/>
        <w:ind w:firstLine="708"/>
        <w:jc w:val="both"/>
        <w:rPr>
          <w:lang w:val="es-CL"/>
        </w:rPr>
      </w:pPr>
    </w:p>
    <w:p w:rsidR="009E4AF4" w:rsidRDefault="009E4AF4" w:rsidP="009E4AF4">
      <w:pPr>
        <w:spacing w:before="120" w:after="120" w:line="360" w:lineRule="auto"/>
        <w:ind w:firstLine="709"/>
        <w:jc w:val="both"/>
      </w:pPr>
      <w:r w:rsidRPr="00B970B1">
        <w:rPr>
          <w:lang w:val="es-CL"/>
        </w:rPr>
        <w:t xml:space="preserve">“La vida no es la que uno vivió, sino lo que recuerda para contarla y como contarla” (MARQUEZ, 2002). </w:t>
      </w:r>
      <w:r>
        <w:t xml:space="preserve">A frase de Gabriel Garcia </w:t>
      </w:r>
      <w:proofErr w:type="spellStart"/>
      <w:r>
        <w:t>Marquez</w:t>
      </w:r>
      <w:proofErr w:type="spellEnd"/>
      <w:r>
        <w:t xml:space="preserve"> em seu livro autobiográfico ressalta a importância da narração e da memória. Lembrar-se para contar, lembrar-se porque conta. Narrar é uma forma de colocar a memória em claro para que outros a vejam, mas é também faze-la perpetuar-se e, assim, não ser esquecido aquilo que se conta. O esquecimento pode provocar a volta de injustiças.</w:t>
      </w:r>
      <w:r>
        <w:t xml:space="preserve"> Deste modo as narrativas bíblicas que se consolidam em uma literatura, a saber as Escrituras Hebraicas e Cristãs em torno de uma comunidade leitora, é primeiramente uma narrativa da história do Povo de Deus, que se faz memória, ou ainda, a memória de uma presença que se faz na história desse povo. </w:t>
      </w:r>
    </w:p>
    <w:p w:rsidR="00B970B1" w:rsidRDefault="00B970B1" w:rsidP="009E4AF4">
      <w:pPr>
        <w:spacing w:before="120" w:after="120" w:line="360" w:lineRule="auto"/>
        <w:ind w:firstLine="709"/>
        <w:jc w:val="both"/>
      </w:pPr>
      <w:r>
        <w:t xml:space="preserve">Dizer que Deus se revela e age na história é fazer referência a um dado fundamental da fé cristã. Para nós, porém, a leitura desta revelação se faz através de narrativas. Não temos acesso ao evento histórico em que Deus se revela, apenas a narrativas que nos contam a história. Falamos, então, da Revelação de Deus nas histórias que nos narram sua ação a partir do ponto de vista das pessoas de fé. Evidentemente estas histórias fazem uma interpretação do evento e, na sequência, são reinterpretadas para que se possa dizer uma palavra de significado sobre o evento. </w:t>
      </w:r>
      <w:r w:rsidR="009E4AF4">
        <w:t xml:space="preserve">Aí reside </w:t>
      </w:r>
      <w:r>
        <w:t>a importância de se fazer referência às narrativas em boas interpretações destas histórias que nos dão a tônica do que devemos conhecer de Deus.</w:t>
      </w:r>
    </w:p>
    <w:p w:rsidR="004E66E1" w:rsidRDefault="009E4AF4" w:rsidP="009E4AF4">
      <w:pPr>
        <w:spacing w:before="120" w:after="120" w:line="360" w:lineRule="auto"/>
        <w:ind w:firstLine="709"/>
        <w:jc w:val="both"/>
      </w:pPr>
      <w:r>
        <w:t>Entretanto, o</w:t>
      </w:r>
      <w:r w:rsidR="004E66E1">
        <w:t>s livros oficias de história sempre narram os fatos a partir do olhar dos vencedores</w:t>
      </w:r>
      <w:r w:rsidR="00A34E5E">
        <w:t>, já que a história oficial é por eles contada</w:t>
      </w:r>
      <w:r w:rsidR="004E66E1">
        <w:t>. A memória dos vencidos é como que subversiva</w:t>
      </w:r>
      <w:r w:rsidR="00A34E5E">
        <w:t xml:space="preserve"> porque</w:t>
      </w:r>
      <w:r w:rsidR="004E66E1">
        <w:t xml:space="preserve"> lembra que quem venceu, o fez de maneira </w:t>
      </w:r>
      <w:r w:rsidR="00A34E5E">
        <w:t xml:space="preserve">nem sempre </w:t>
      </w:r>
      <w:r w:rsidR="004E66E1">
        <w:t>apropriada</w:t>
      </w:r>
      <w:r w:rsidR="00A34E5E">
        <w:t xml:space="preserve"> pois</w:t>
      </w:r>
      <w:r w:rsidR="004E66E1">
        <w:t xml:space="preserve"> o jogo da história nem sempre é limpo, ou não é limpo para todos. </w:t>
      </w:r>
      <w:r w:rsidR="00A34E5E">
        <w:t>A me</w:t>
      </w:r>
      <w:r w:rsidR="004E66E1">
        <w:t xml:space="preserve">mória dos vencidos é </w:t>
      </w:r>
      <w:r w:rsidR="00A34E5E">
        <w:t>por isso</w:t>
      </w:r>
      <w:r w:rsidR="004E66E1">
        <w:t xml:space="preserve"> combatida, se </w:t>
      </w:r>
      <w:r w:rsidR="00A34E5E">
        <w:t>busca</w:t>
      </w:r>
      <w:r w:rsidR="004E66E1">
        <w:t xml:space="preserve"> destruí-la exatamente por seu potencial subversivo, talvez até revolucionário.</w:t>
      </w:r>
      <w:r w:rsidR="001F7472">
        <w:t xml:space="preserve"> </w:t>
      </w:r>
      <w:r w:rsidR="004E66E1">
        <w:t>As utopias his</w:t>
      </w:r>
      <w:r w:rsidR="00A34E5E">
        <w:t>tóricas</w:t>
      </w:r>
      <w:r w:rsidR="004E66E1">
        <w:t xml:space="preserve"> ou suas ideologias, vivas ainda hoje, procuram dizer que não se trata de histórias de vencidos ou vencedores</w:t>
      </w:r>
      <w:r w:rsidR="00A34E5E">
        <w:t>,</w:t>
      </w:r>
      <w:r w:rsidR="004E66E1">
        <w:t xml:space="preserve"> </w:t>
      </w:r>
      <w:r w:rsidR="00A34E5E">
        <w:t>pois</w:t>
      </w:r>
      <w:r w:rsidR="004E66E1">
        <w:t xml:space="preserve"> a afirmação de que há vencidos </w:t>
      </w:r>
      <w:r w:rsidR="00A34E5E">
        <w:t>e</w:t>
      </w:r>
      <w:r w:rsidR="004E66E1">
        <w:t xml:space="preserve"> vencedores indica existência de conflito, e </w:t>
      </w:r>
      <w:r w:rsidR="00A34E5E">
        <w:t>isso nem sempre existiu</w:t>
      </w:r>
      <w:r w:rsidR="004E66E1">
        <w:t xml:space="preserve">. Dizem que </w:t>
      </w:r>
      <w:r w:rsidR="00A34E5E">
        <w:t xml:space="preserve">na história </w:t>
      </w:r>
      <w:r w:rsidR="004E66E1">
        <w:t xml:space="preserve">se </w:t>
      </w:r>
      <w:r w:rsidR="00A34E5E">
        <w:t xml:space="preserve">realizam </w:t>
      </w:r>
      <w:r w:rsidR="004E66E1">
        <w:t xml:space="preserve">encontros ou relações que se desenvolveram em várias direções. </w:t>
      </w:r>
      <w:r w:rsidR="00A34E5E">
        <w:t>M</w:t>
      </w:r>
      <w:r w:rsidR="004E66E1">
        <w:t xml:space="preserve">ais uma vez </w:t>
      </w:r>
      <w:r w:rsidR="004E66E1">
        <w:lastRenderedPageBreak/>
        <w:t>se escamotei</w:t>
      </w:r>
      <w:r w:rsidR="00A34E5E">
        <w:t>a o ponto de vista dos vencidos, indicando que s</w:t>
      </w:r>
      <w:r w:rsidR="004E66E1">
        <w:t>er vencido é perder o direito à história, às histórias.</w:t>
      </w:r>
    </w:p>
    <w:p w:rsidR="008C63A0" w:rsidRPr="00AA1763" w:rsidRDefault="008C63A0" w:rsidP="008C63A0">
      <w:pPr>
        <w:spacing w:before="120" w:after="120" w:line="360" w:lineRule="auto"/>
        <w:ind w:firstLine="708"/>
        <w:jc w:val="both"/>
        <w:rPr>
          <w:rFonts w:cs="Times New Roman"/>
          <w:szCs w:val="24"/>
        </w:rPr>
      </w:pPr>
      <w:r w:rsidRPr="00AA1763">
        <w:rPr>
          <w:rFonts w:cs="Times New Roman"/>
          <w:szCs w:val="24"/>
        </w:rPr>
        <w:t xml:space="preserve">A ideologia </w:t>
      </w:r>
      <w:r>
        <w:rPr>
          <w:rFonts w:cs="Times New Roman"/>
          <w:szCs w:val="24"/>
        </w:rPr>
        <w:t>em</w:t>
      </w:r>
      <w:r w:rsidRPr="00AA1763">
        <w:rPr>
          <w:rFonts w:cs="Times New Roman"/>
          <w:szCs w:val="24"/>
        </w:rPr>
        <w:t xml:space="preserve"> geral diz respeito a um modo operacional pelo qual a consciência acredita em algo, indicando que tal anuência é condicionada por fatores externos à própria consciência de ordem histórica, social, cultural, psicológica </w:t>
      </w:r>
      <w:r>
        <w:rPr>
          <w:rFonts w:cs="Times New Roman"/>
          <w:szCs w:val="24"/>
        </w:rPr>
        <w:t>compondo assim</w:t>
      </w:r>
      <w:r w:rsidRPr="00AA1763">
        <w:rPr>
          <w:rFonts w:cs="Times New Roman"/>
          <w:szCs w:val="24"/>
        </w:rPr>
        <w:t xml:space="preserve"> o imaginário pessoal determinando aquilo que se pensa. Ao mesmo em que é um aspecto externo se instala como interpretação imediata da experiência vivida</w:t>
      </w:r>
      <w:r>
        <w:rPr>
          <w:rFonts w:cs="Times New Roman"/>
          <w:szCs w:val="24"/>
        </w:rPr>
        <w:t xml:space="preserve">, uma interface que configura o olhar para com o vivido, e a sensibilidade para com os fatos e sua reminiscência, os afetos.  </w:t>
      </w:r>
      <w:r w:rsidRPr="00AA1763">
        <w:rPr>
          <w:rFonts w:cs="Times New Roman"/>
          <w:szCs w:val="24"/>
        </w:rPr>
        <w:t xml:space="preserve"> </w:t>
      </w:r>
    </w:p>
    <w:p w:rsidR="008C63A0" w:rsidRDefault="008C63A0" w:rsidP="008C63A0">
      <w:pPr>
        <w:spacing w:before="120" w:after="120" w:line="360" w:lineRule="auto"/>
        <w:jc w:val="both"/>
        <w:rPr>
          <w:rFonts w:cs="Times New Roman"/>
          <w:szCs w:val="24"/>
        </w:rPr>
      </w:pPr>
      <w:r>
        <w:rPr>
          <w:rFonts w:cs="Times New Roman"/>
          <w:szCs w:val="24"/>
        </w:rPr>
        <w:tab/>
        <w:t xml:space="preserve">Assim, a ideologia pode ser entendida com os fatores que atuam de forma inconsciente no modo de pensar da pessoa, e consequentemente sentir a vida. Dada a condição de serem fatores fora do alcance imediato da pessoa, a ideologia é vista como aquilo que produz tanto uma relação inautêntica para com as coisas, quanto o que propicia a relação com as próprias bases daquilo que acredita. Dito de outro modo, pode-se entender como fatores ideológicos aquilo que promove uma aceitação incontestável para com </w:t>
      </w:r>
      <w:r w:rsidRPr="008D0C31">
        <w:rPr>
          <w:rFonts w:cs="Times New Roman"/>
          <w:i/>
          <w:szCs w:val="24"/>
        </w:rPr>
        <w:t>aquilo</w:t>
      </w:r>
      <w:r>
        <w:rPr>
          <w:rFonts w:cs="Times New Roman"/>
          <w:szCs w:val="24"/>
        </w:rPr>
        <w:t xml:space="preserve"> que se acredita, sem que tenha passado pelo crivo da consciência de </w:t>
      </w:r>
      <w:r w:rsidRPr="008D0C31">
        <w:rPr>
          <w:rFonts w:cs="Times New Roman"/>
          <w:i/>
          <w:szCs w:val="24"/>
        </w:rPr>
        <w:t>quem</w:t>
      </w:r>
      <w:r>
        <w:rPr>
          <w:rFonts w:cs="Times New Roman"/>
          <w:szCs w:val="24"/>
        </w:rPr>
        <w:t xml:space="preserve"> acredita, o que configura a ideologia como um modo próprio de crença, ou ainda, um sistema de crença que estrutura o ato de acreditar em algo e pensar a partir desta crença.</w:t>
      </w:r>
    </w:p>
    <w:p w:rsidR="008C63A0" w:rsidRPr="00FD1F6C" w:rsidRDefault="008C63A0" w:rsidP="008C63A0">
      <w:pPr>
        <w:spacing w:before="120" w:after="120" w:line="360" w:lineRule="auto"/>
        <w:jc w:val="both"/>
        <w:rPr>
          <w:rFonts w:cs="Times New Roman"/>
          <w:szCs w:val="24"/>
        </w:rPr>
      </w:pPr>
      <w:r>
        <w:rPr>
          <w:rFonts w:cs="Times New Roman"/>
          <w:szCs w:val="24"/>
        </w:rPr>
        <w:tab/>
        <w:t xml:space="preserve">Em tempos de pós-verdade, há uma guerra ideológica que </w:t>
      </w:r>
      <w:r w:rsidR="00DB1FCF">
        <w:rPr>
          <w:rFonts w:cs="Times New Roman"/>
          <w:szCs w:val="24"/>
        </w:rPr>
        <w:t xml:space="preserve">utiliza </w:t>
      </w:r>
      <w:r>
        <w:rPr>
          <w:rFonts w:cs="Times New Roman"/>
          <w:szCs w:val="24"/>
        </w:rPr>
        <w:t xml:space="preserve">estratégias de desqualificação de pessoas e discursos </w:t>
      </w:r>
      <w:r w:rsidR="00DB1FCF">
        <w:rPr>
          <w:rFonts w:cs="Times New Roman"/>
          <w:szCs w:val="24"/>
        </w:rPr>
        <w:t>a respeito do compromisso social sob a égide de um “</w:t>
      </w:r>
      <w:proofErr w:type="spellStart"/>
      <w:r w:rsidR="00DB1FCF">
        <w:rPr>
          <w:rFonts w:cs="Times New Roman"/>
          <w:szCs w:val="24"/>
        </w:rPr>
        <w:t>pancomunismo</w:t>
      </w:r>
      <w:proofErr w:type="spellEnd"/>
      <w:r w:rsidR="00DB1FCF">
        <w:rPr>
          <w:rFonts w:cs="Times New Roman"/>
          <w:szCs w:val="24"/>
        </w:rPr>
        <w:t xml:space="preserve">” do discurso social. Há que se melhor explicitar o fenômeno ideológico, o compromisso social e a relação destes com a fé cristã. </w:t>
      </w:r>
    </w:p>
    <w:p w:rsidR="00DB1FCF" w:rsidRDefault="00DB1FCF" w:rsidP="00DB1FCF">
      <w:pPr>
        <w:spacing w:before="120" w:after="120" w:line="360" w:lineRule="auto"/>
        <w:jc w:val="both"/>
        <w:rPr>
          <w:rFonts w:cs="Times New Roman"/>
          <w:szCs w:val="24"/>
        </w:rPr>
      </w:pPr>
      <w:r>
        <w:rPr>
          <w:rFonts w:cs="Times New Roman"/>
          <w:szCs w:val="24"/>
        </w:rPr>
        <w:tab/>
      </w:r>
      <w:r>
        <w:rPr>
          <w:rFonts w:cs="Times New Roman"/>
          <w:szCs w:val="24"/>
        </w:rPr>
        <w:t>Nesse sentido, o</w:t>
      </w:r>
      <w:r>
        <w:rPr>
          <w:rFonts w:cs="Times New Roman"/>
          <w:szCs w:val="24"/>
        </w:rPr>
        <w:t xml:space="preserve"> ato de acreditar </w:t>
      </w:r>
      <w:r w:rsidRPr="00BE0B26">
        <w:rPr>
          <w:rFonts w:cs="Times New Roman"/>
          <w:i/>
          <w:szCs w:val="24"/>
        </w:rPr>
        <w:t>a priori</w:t>
      </w:r>
      <w:r>
        <w:rPr>
          <w:rFonts w:cs="Times New Roman"/>
          <w:szCs w:val="24"/>
        </w:rPr>
        <w:t xml:space="preserve"> </w:t>
      </w:r>
      <w:r>
        <w:rPr>
          <w:rFonts w:cs="Times New Roman"/>
          <w:szCs w:val="24"/>
        </w:rPr>
        <w:t xml:space="preserve">em uma narrativa, independente de qual seja, é </w:t>
      </w:r>
      <w:r>
        <w:rPr>
          <w:rFonts w:cs="Times New Roman"/>
          <w:szCs w:val="24"/>
        </w:rPr>
        <w:t>visto como uma fé ingênua, ou seja, que sequer cogita as razões de credibilidade do que se acredita. Os chamados “mestres da suspeita”, assim ficaram conhecidos por estruturarem seu pensamento como uma desconfiança das razões de credibilidade da modernidade, ou seja, do sentido da modernidade. A fé ingênua na Revolução Industrial tinha origem na Teodiceia moderna, enquanto forma de teologia que substituía as causas históricas da produção miséria a partir do enriquecimento sistemático de alguns, por causas divinas (VILLAS BOAS, 2016, p.</w:t>
      </w:r>
      <w:r w:rsidR="00AC67E2" w:rsidRPr="00AC67E2">
        <w:rPr>
          <w:rFonts w:cs="Times New Roman"/>
          <w:szCs w:val="24"/>
        </w:rPr>
        <w:t>56-96</w:t>
      </w:r>
      <w:r w:rsidRPr="00AC67E2">
        <w:rPr>
          <w:rFonts w:cs="Times New Roman"/>
          <w:szCs w:val="24"/>
        </w:rPr>
        <w:t>)</w:t>
      </w:r>
      <w:r>
        <w:rPr>
          <w:rFonts w:cs="Times New Roman"/>
          <w:szCs w:val="24"/>
        </w:rPr>
        <w:t>.</w:t>
      </w:r>
      <w:r>
        <w:rPr>
          <w:rFonts w:cs="Times New Roman"/>
          <w:szCs w:val="24"/>
        </w:rPr>
        <w:t xml:space="preserve"> </w:t>
      </w:r>
    </w:p>
    <w:p w:rsidR="00DB1FCF" w:rsidRPr="008B0A1F" w:rsidRDefault="00DB1FCF" w:rsidP="00DB1FCF">
      <w:pPr>
        <w:spacing w:before="120" w:after="120" w:line="360" w:lineRule="auto"/>
        <w:jc w:val="both"/>
        <w:rPr>
          <w:rFonts w:cs="Times New Roman"/>
          <w:szCs w:val="24"/>
        </w:rPr>
      </w:pPr>
      <w:r>
        <w:rPr>
          <w:rFonts w:cs="Times New Roman"/>
          <w:szCs w:val="24"/>
        </w:rPr>
        <w:tab/>
        <w:t xml:space="preserve">A questão ideológica aqui, será vista </w:t>
      </w:r>
      <w:r>
        <w:rPr>
          <w:rFonts w:cs="Times New Roman"/>
          <w:szCs w:val="24"/>
        </w:rPr>
        <w:t>como questão de linguagem que se pretende abordá-la como um sistema de crença, ou seja, como uma forma de linguagem que estrutura um modo de pensar, sentir e agir.</w:t>
      </w:r>
    </w:p>
    <w:p w:rsidR="00DB1FCF" w:rsidRDefault="00DB1FCF" w:rsidP="00DB1FCF">
      <w:pPr>
        <w:spacing w:before="120" w:after="120" w:line="360" w:lineRule="auto"/>
        <w:jc w:val="both"/>
        <w:rPr>
          <w:rFonts w:cs="Times New Roman"/>
          <w:b/>
          <w:szCs w:val="24"/>
        </w:rPr>
      </w:pPr>
      <w:bookmarkStart w:id="1" w:name="_Hlk532551356"/>
      <w:r w:rsidRPr="00AA1763">
        <w:rPr>
          <w:rFonts w:cs="Times New Roman"/>
          <w:b/>
          <w:szCs w:val="24"/>
        </w:rPr>
        <w:lastRenderedPageBreak/>
        <w:t xml:space="preserve">1. </w:t>
      </w:r>
      <w:r>
        <w:rPr>
          <w:rFonts w:cs="Times New Roman"/>
          <w:b/>
          <w:szCs w:val="24"/>
        </w:rPr>
        <w:t xml:space="preserve">O inconsciente político de </w:t>
      </w:r>
      <w:proofErr w:type="spellStart"/>
      <w:r>
        <w:rPr>
          <w:rFonts w:cs="Times New Roman"/>
          <w:b/>
          <w:szCs w:val="24"/>
        </w:rPr>
        <w:t>Fredric</w:t>
      </w:r>
      <w:proofErr w:type="spellEnd"/>
      <w:r>
        <w:rPr>
          <w:rFonts w:cs="Times New Roman"/>
          <w:b/>
          <w:szCs w:val="24"/>
        </w:rPr>
        <w:t xml:space="preserve"> Jameson</w:t>
      </w:r>
    </w:p>
    <w:p w:rsidR="00DB1FCF" w:rsidRDefault="00DB1FCF" w:rsidP="00DB1FCF">
      <w:pPr>
        <w:spacing w:before="120" w:after="120" w:line="360" w:lineRule="auto"/>
        <w:ind w:firstLine="708"/>
        <w:jc w:val="both"/>
        <w:rPr>
          <w:rFonts w:eastAsia="Times New Roman" w:cs="Calibri"/>
          <w:szCs w:val="24"/>
          <w:lang w:eastAsia="ar-SA"/>
        </w:rPr>
      </w:pPr>
      <w:proofErr w:type="spellStart"/>
      <w:r w:rsidRPr="0009477F">
        <w:rPr>
          <w:rFonts w:cs="Times New Roman"/>
          <w:szCs w:val="24"/>
        </w:rPr>
        <w:t>Fredric</w:t>
      </w:r>
      <w:proofErr w:type="spellEnd"/>
      <w:r>
        <w:rPr>
          <w:rFonts w:cs="Times New Roman"/>
          <w:b/>
          <w:szCs w:val="24"/>
        </w:rPr>
        <w:t xml:space="preserve"> </w:t>
      </w:r>
      <w:r w:rsidRPr="0009477F">
        <w:rPr>
          <w:rFonts w:eastAsia="Times New Roman" w:cs="Calibri"/>
          <w:szCs w:val="24"/>
          <w:lang w:eastAsia="ar-SA"/>
        </w:rPr>
        <w:t xml:space="preserve">Jameson segue a hermenêutica da suspeita vendo fundamentalmente a base da inautenticidade da verdade na própria linguagem, assumindo a contribuição de Nietzsche, e que, portanto, por ser linguagem está vinculada a tradição psicanalítica do inconsciente, como expressão das psicodinâmicas que interferem no modo de ser, de modo a esconder de si próprio a próprias intenções narcísicas. De modo que tanto quanto mais se negam tais intensões, </w:t>
      </w:r>
      <w:r w:rsidR="00AC67E2" w:rsidRPr="0009477F">
        <w:rPr>
          <w:rFonts w:eastAsia="Times New Roman" w:cs="Calibri"/>
          <w:szCs w:val="24"/>
          <w:lang w:eastAsia="ar-SA"/>
        </w:rPr>
        <w:t>mas</w:t>
      </w:r>
      <w:r w:rsidRPr="0009477F">
        <w:rPr>
          <w:rFonts w:eastAsia="Times New Roman" w:cs="Calibri"/>
          <w:szCs w:val="24"/>
          <w:lang w:eastAsia="ar-SA"/>
        </w:rPr>
        <w:t xml:space="preserve"> elas têm livre acesso na interferência das ações pessoais.</w:t>
      </w:r>
      <w:r>
        <w:rPr>
          <w:rFonts w:eastAsia="Times New Roman" w:cs="Calibri"/>
          <w:szCs w:val="24"/>
          <w:lang w:eastAsia="ar-SA"/>
        </w:rPr>
        <w:t xml:space="preserve"> </w:t>
      </w:r>
      <w:r w:rsidRPr="0009477F">
        <w:rPr>
          <w:rFonts w:eastAsia="Times New Roman" w:cs="Calibri"/>
          <w:szCs w:val="24"/>
          <w:lang w:eastAsia="ar-SA"/>
        </w:rPr>
        <w:t xml:space="preserve">Deste modo o pensar ideologicamente se instala na consciência não somente como visão de mundo, mas dada a relação intrínseca das </w:t>
      </w:r>
      <w:r w:rsidR="00AC67E2" w:rsidRPr="0009477F">
        <w:rPr>
          <w:rFonts w:eastAsia="Times New Roman" w:cs="Calibri"/>
          <w:szCs w:val="24"/>
          <w:lang w:eastAsia="ar-SA"/>
        </w:rPr>
        <w:t>intuições</w:t>
      </w:r>
      <w:r w:rsidRPr="0009477F">
        <w:rPr>
          <w:rFonts w:eastAsia="Times New Roman" w:cs="Calibri"/>
          <w:szCs w:val="24"/>
          <w:lang w:eastAsia="ar-SA"/>
        </w:rPr>
        <w:t xml:space="preserve"> isoladas dos mestres da suspeita (Marx, Freud e Nietzsche), também como interpretação do sentimento de estar vivo [</w:t>
      </w:r>
      <w:proofErr w:type="spellStart"/>
      <w:r w:rsidRPr="0009477F">
        <w:rPr>
          <w:rFonts w:eastAsia="Times New Roman" w:cs="Calibri"/>
          <w:i/>
          <w:szCs w:val="24"/>
          <w:lang w:eastAsia="ar-SA"/>
        </w:rPr>
        <w:t>pathos</w:t>
      </w:r>
      <w:proofErr w:type="spellEnd"/>
      <w:r w:rsidRPr="0009477F">
        <w:rPr>
          <w:rFonts w:eastAsia="Times New Roman" w:cs="Calibri"/>
          <w:szCs w:val="24"/>
          <w:lang w:eastAsia="ar-SA"/>
        </w:rPr>
        <w:t>] e atuante no mundo [</w:t>
      </w:r>
      <w:proofErr w:type="spellStart"/>
      <w:r w:rsidRPr="0009477F">
        <w:rPr>
          <w:rFonts w:eastAsia="Times New Roman" w:cs="Calibri"/>
          <w:i/>
          <w:szCs w:val="24"/>
          <w:lang w:eastAsia="ar-SA"/>
        </w:rPr>
        <w:t>diké</w:t>
      </w:r>
      <w:proofErr w:type="spellEnd"/>
      <w:r w:rsidRPr="0009477F">
        <w:rPr>
          <w:rFonts w:eastAsia="Times New Roman" w:cs="Calibri"/>
          <w:szCs w:val="24"/>
          <w:lang w:eastAsia="ar-SA"/>
        </w:rPr>
        <w:t>], relação intrínseca entre linguagem e práxis.</w:t>
      </w:r>
    </w:p>
    <w:p w:rsidR="00DB1FCF" w:rsidRPr="0009477F" w:rsidRDefault="00DB1FCF" w:rsidP="00DB1FCF">
      <w:pPr>
        <w:widowControl w:val="0"/>
        <w:suppressAutoHyphens/>
        <w:spacing w:before="120" w:after="120" w:line="360" w:lineRule="auto"/>
        <w:ind w:firstLine="708"/>
        <w:jc w:val="both"/>
        <w:rPr>
          <w:rFonts w:eastAsia="Times New Roman" w:cs="Calibri"/>
          <w:szCs w:val="24"/>
          <w:lang w:eastAsia="ar-SA"/>
        </w:rPr>
      </w:pPr>
      <w:r w:rsidRPr="0009477F">
        <w:rPr>
          <w:rFonts w:eastAsia="Times New Roman" w:cs="Calibri"/>
          <w:szCs w:val="24"/>
          <w:lang w:eastAsia="ar-SA"/>
        </w:rPr>
        <w:t xml:space="preserve">Jameson ao tratar especificamente da ideologia tendo sua raiz na linguagem, fala deste inconsciente político, portanto, como uma sensibilidade que se instala no modo de ser pessoal, social, e consequentemente político. Tal qual a dinâmica do ato falho, se manifesta o ato contraditório da política que se faz visível no fenômeno particularmente humano da linguagem, modo por excelência do âmbito político. Deste modo o político é por excelência o lugar do conflito e do antagonismo, sinais típicos de manifestação do </w:t>
      </w:r>
      <w:r w:rsidR="00AC67E2" w:rsidRPr="0009477F">
        <w:rPr>
          <w:rFonts w:eastAsia="Times New Roman" w:cs="Calibri"/>
          <w:szCs w:val="24"/>
          <w:lang w:eastAsia="ar-SA"/>
        </w:rPr>
        <w:t>inconsciente</w:t>
      </w:r>
      <w:r w:rsidRPr="0009477F">
        <w:rPr>
          <w:rFonts w:eastAsia="Times New Roman" w:cs="Calibri"/>
          <w:szCs w:val="24"/>
          <w:lang w:eastAsia="ar-SA"/>
        </w:rPr>
        <w:t xml:space="preserve">. De modo especial o crítico literário norte-americano crítica a estética realista por se pretender esclarecer algo que é próprio da complexidade da dinâmica do profundo. Os elementos complexos e dinâmicos dessa profundidade </w:t>
      </w:r>
      <w:r w:rsidR="00AC67E2" w:rsidRPr="0009477F">
        <w:rPr>
          <w:rFonts w:eastAsia="Times New Roman" w:cs="Calibri"/>
          <w:szCs w:val="24"/>
          <w:lang w:eastAsia="ar-SA"/>
        </w:rPr>
        <w:t>inconsciente</w:t>
      </w:r>
      <w:r w:rsidRPr="0009477F">
        <w:rPr>
          <w:rFonts w:eastAsia="Times New Roman" w:cs="Calibri"/>
          <w:szCs w:val="24"/>
          <w:lang w:eastAsia="ar-SA"/>
        </w:rPr>
        <w:t xml:space="preserve"> do político são apresentados como movimentos de que se interpenetram em três círculos concêntricos, a saber o nível político, social e histórico desse dinamismo. </w:t>
      </w:r>
    </w:p>
    <w:p w:rsidR="00DB1FCF" w:rsidRPr="0009477F" w:rsidRDefault="00DB1FCF" w:rsidP="00DB1FCF">
      <w:pPr>
        <w:widowControl w:val="0"/>
        <w:suppressAutoHyphens/>
        <w:spacing w:before="120" w:after="120" w:line="360" w:lineRule="auto"/>
        <w:ind w:firstLine="708"/>
        <w:jc w:val="both"/>
        <w:rPr>
          <w:rFonts w:eastAsia="Times New Roman" w:cs="Calibri"/>
          <w:szCs w:val="24"/>
          <w:lang w:eastAsia="ar-SA"/>
        </w:rPr>
      </w:pPr>
      <w:r w:rsidRPr="0009477F">
        <w:rPr>
          <w:rFonts w:eastAsia="Times New Roman" w:cs="Calibri"/>
          <w:szCs w:val="24"/>
          <w:lang w:eastAsia="ar-SA"/>
        </w:rPr>
        <w:t>O primeiro nível do é o âmbito do</w:t>
      </w:r>
      <w:r w:rsidRPr="0009477F">
        <w:rPr>
          <w:rFonts w:eastAsia="Times New Roman" w:cs="Calibri"/>
          <w:b/>
          <w:szCs w:val="24"/>
          <w:lang w:eastAsia="ar-SA"/>
        </w:rPr>
        <w:t xml:space="preserve"> político</w:t>
      </w:r>
      <w:r w:rsidRPr="0009477F">
        <w:rPr>
          <w:rFonts w:eastAsia="Times New Roman" w:cs="Calibri"/>
          <w:szCs w:val="24"/>
          <w:lang w:eastAsia="ar-SA"/>
        </w:rPr>
        <w:t xml:space="preserve">, e se dá por excelência no uso da palavra, e portanto, no primeiro nível de linguagem, mais precisamente a linguagem política do primeiro nível é a crônica dos fatos, como “narrativa do político” que se pretende como “ato simbólico”, e assim sendo, mobiliza a sensibilidade. O segundo nível é o âmbito </w:t>
      </w:r>
      <w:r w:rsidRPr="0009477F">
        <w:rPr>
          <w:rFonts w:eastAsia="Times New Roman" w:cs="Calibri"/>
          <w:b/>
          <w:szCs w:val="24"/>
          <w:lang w:eastAsia="ar-SA"/>
        </w:rPr>
        <w:t>social</w:t>
      </w:r>
      <w:r w:rsidRPr="0009477F">
        <w:rPr>
          <w:rFonts w:eastAsia="Times New Roman" w:cs="Calibri"/>
          <w:szCs w:val="24"/>
          <w:lang w:eastAsia="ar-SA"/>
        </w:rPr>
        <w:t>, que se configura como linguagem de conflito, onde se chocam o que Jameson chama de “</w:t>
      </w:r>
      <w:proofErr w:type="spellStart"/>
      <w:r w:rsidRPr="0009477F">
        <w:rPr>
          <w:rFonts w:eastAsia="Times New Roman" w:cs="Calibri"/>
          <w:szCs w:val="24"/>
          <w:lang w:eastAsia="ar-SA"/>
        </w:rPr>
        <w:t>ideologemas</w:t>
      </w:r>
      <w:proofErr w:type="spellEnd"/>
      <w:r w:rsidRPr="0009477F">
        <w:rPr>
          <w:rFonts w:eastAsia="Times New Roman" w:cs="Calibri"/>
          <w:szCs w:val="24"/>
          <w:lang w:eastAsia="ar-SA"/>
        </w:rPr>
        <w:t>”, ou seja, maneiras de se pensar o mundo que se instalam na visão de mundo dos indivíduos como discursos prontos que são reproduzidos. O âmbito social polariza o conflito, que inaugura uma guerra insolúvel de “</w:t>
      </w:r>
      <w:proofErr w:type="spellStart"/>
      <w:r w:rsidRPr="0009477F">
        <w:rPr>
          <w:rFonts w:eastAsia="Times New Roman" w:cs="Calibri"/>
          <w:szCs w:val="24"/>
          <w:lang w:eastAsia="ar-SA"/>
        </w:rPr>
        <w:t>ideologemas</w:t>
      </w:r>
      <w:proofErr w:type="spellEnd"/>
      <w:r w:rsidRPr="0009477F">
        <w:rPr>
          <w:rFonts w:eastAsia="Times New Roman" w:cs="Calibri"/>
          <w:szCs w:val="24"/>
          <w:lang w:eastAsia="ar-SA"/>
        </w:rPr>
        <w:t xml:space="preserve">”, promovendo uma </w:t>
      </w:r>
      <w:proofErr w:type="spellStart"/>
      <w:r w:rsidRPr="0009477F">
        <w:rPr>
          <w:rFonts w:eastAsia="Times New Roman" w:cs="Calibri"/>
          <w:szCs w:val="24"/>
          <w:lang w:eastAsia="ar-SA"/>
        </w:rPr>
        <w:t>transvalorização</w:t>
      </w:r>
      <w:proofErr w:type="spellEnd"/>
      <w:r w:rsidRPr="0009477F">
        <w:rPr>
          <w:rFonts w:eastAsia="Times New Roman" w:cs="Calibri"/>
          <w:szCs w:val="24"/>
          <w:lang w:eastAsia="ar-SA"/>
        </w:rPr>
        <w:t xml:space="preserve">, e não uma negação do que existe. Dito de outro modo, o que uma facção social considera ruim, a outra </w:t>
      </w:r>
      <w:proofErr w:type="spellStart"/>
      <w:r w:rsidRPr="0009477F">
        <w:rPr>
          <w:rFonts w:eastAsia="Times New Roman" w:cs="Calibri"/>
          <w:szCs w:val="24"/>
          <w:lang w:eastAsia="ar-SA"/>
        </w:rPr>
        <w:t>transvaloriza</w:t>
      </w:r>
      <w:proofErr w:type="spellEnd"/>
      <w:r w:rsidRPr="0009477F">
        <w:rPr>
          <w:rFonts w:eastAsia="Times New Roman" w:cs="Calibri"/>
          <w:szCs w:val="24"/>
          <w:lang w:eastAsia="ar-SA"/>
        </w:rPr>
        <w:t xml:space="preserve"> e considera bom, porém ambos participam de um código semiótico comum, a saber os valores, que se instala no antagonismo social, </w:t>
      </w:r>
      <w:r w:rsidRPr="0009477F">
        <w:rPr>
          <w:rFonts w:eastAsia="Times New Roman" w:cs="Calibri"/>
          <w:szCs w:val="24"/>
          <w:lang w:eastAsia="ar-SA"/>
        </w:rPr>
        <w:lastRenderedPageBreak/>
        <w:t xml:space="preserve">categoria típica do social. O terceiro nível é o âmbito </w:t>
      </w:r>
      <w:r w:rsidRPr="0009477F">
        <w:rPr>
          <w:rFonts w:eastAsia="Times New Roman" w:cs="Calibri"/>
          <w:b/>
          <w:szCs w:val="24"/>
          <w:lang w:eastAsia="ar-SA"/>
        </w:rPr>
        <w:t>histórico</w:t>
      </w:r>
      <w:r w:rsidRPr="0009477F">
        <w:rPr>
          <w:rFonts w:eastAsia="Times New Roman" w:cs="Calibri"/>
          <w:szCs w:val="24"/>
          <w:lang w:eastAsia="ar-SA"/>
        </w:rPr>
        <w:t xml:space="preserve">, que Jameson vincula com a </w:t>
      </w:r>
      <w:r w:rsidR="00AC67E2" w:rsidRPr="0009477F">
        <w:rPr>
          <w:rFonts w:eastAsia="Times New Roman" w:cs="Calibri"/>
          <w:szCs w:val="24"/>
          <w:lang w:eastAsia="ar-SA"/>
        </w:rPr>
        <w:t>história</w:t>
      </w:r>
      <w:r w:rsidRPr="0009477F">
        <w:rPr>
          <w:rFonts w:eastAsia="Times New Roman" w:cs="Calibri"/>
          <w:szCs w:val="24"/>
          <w:lang w:eastAsia="ar-SA"/>
        </w:rPr>
        <w:t xml:space="preserve"> da sucessão dos modos de produção, que operam como uma espécie de onda que se choca com a outra antes da ressaca, produzindo assim um efeito de percepção sincrônico, dando a impressão que nenhum outro modo de produção é possível, além daquele que se vive naquele momento da história. Dado esse efeito de percepção sincrônica incorre-se no risco de ver o conflito social como algo natural, como algo que não tem solução incorrendo em um conformismo. Nesse sentido, para Jameson a “História sob a forma textual” é “inacessível”, </w:t>
      </w:r>
      <w:proofErr w:type="gramStart"/>
      <w:r w:rsidRPr="0009477F">
        <w:rPr>
          <w:rFonts w:eastAsia="Times New Roman" w:cs="Calibri"/>
          <w:szCs w:val="24"/>
          <w:lang w:eastAsia="ar-SA"/>
        </w:rPr>
        <w:t>e</w:t>
      </w:r>
      <w:proofErr w:type="gramEnd"/>
      <w:r w:rsidRPr="0009477F">
        <w:rPr>
          <w:rFonts w:eastAsia="Times New Roman" w:cs="Calibri"/>
          <w:szCs w:val="24"/>
          <w:lang w:eastAsia="ar-SA"/>
        </w:rPr>
        <w:t xml:space="preserve"> portanto, “só pode </w:t>
      </w:r>
      <w:proofErr w:type="spellStart"/>
      <w:r w:rsidRPr="0009477F">
        <w:rPr>
          <w:rFonts w:eastAsia="Times New Roman" w:cs="Calibri"/>
          <w:szCs w:val="24"/>
          <w:lang w:eastAsia="ar-SA"/>
        </w:rPr>
        <w:t>se</w:t>
      </w:r>
      <w:proofErr w:type="spellEnd"/>
      <w:r w:rsidRPr="0009477F">
        <w:rPr>
          <w:rFonts w:eastAsia="Times New Roman" w:cs="Calibri"/>
          <w:szCs w:val="24"/>
          <w:lang w:eastAsia="ar-SA"/>
        </w:rPr>
        <w:t xml:space="preserve"> abordada por meio de uma (</w:t>
      </w:r>
      <w:proofErr w:type="spellStart"/>
      <w:r w:rsidRPr="0009477F">
        <w:rPr>
          <w:rFonts w:eastAsia="Times New Roman" w:cs="Calibri"/>
          <w:szCs w:val="24"/>
          <w:lang w:eastAsia="ar-SA"/>
        </w:rPr>
        <w:t>re</w:t>
      </w:r>
      <w:proofErr w:type="spellEnd"/>
      <w:r w:rsidRPr="0009477F">
        <w:rPr>
          <w:rFonts w:eastAsia="Times New Roman" w:cs="Calibri"/>
          <w:szCs w:val="24"/>
          <w:lang w:eastAsia="ar-SA"/>
        </w:rPr>
        <w:t>)textualização anterior”. Por isso a História “não é um texto”, mas o lugar no tempo em que se manifesta a “necessidade” do momento histórico, que Jameson se refere como a expressão d’ “o que dói”, daquilo que “fere” e que “impõe limites inexoráveis ao indivíduo e à práxis coletiva” (JAMESON, 1992</w:t>
      </w:r>
      <w:r w:rsidR="003D51B0">
        <w:rPr>
          <w:rFonts w:eastAsia="Times New Roman" w:cs="Calibri"/>
          <w:szCs w:val="24"/>
          <w:lang w:eastAsia="ar-SA"/>
        </w:rPr>
        <w:t xml:space="preserve">, p. </w:t>
      </w:r>
      <w:r w:rsidRPr="0009477F">
        <w:rPr>
          <w:rFonts w:eastAsia="Times New Roman" w:cs="Calibri"/>
          <w:szCs w:val="24"/>
          <w:lang w:eastAsia="ar-SA"/>
        </w:rPr>
        <w:t xml:space="preserve"> 32: 75-92). </w:t>
      </w:r>
    </w:p>
    <w:p w:rsidR="00DB1FCF" w:rsidRPr="0009477F" w:rsidRDefault="00DB1FCF" w:rsidP="00DB1FCF">
      <w:pPr>
        <w:widowControl w:val="0"/>
        <w:suppressAutoHyphens/>
        <w:spacing w:before="120" w:after="120" w:line="360" w:lineRule="auto"/>
        <w:ind w:firstLine="708"/>
        <w:jc w:val="both"/>
        <w:rPr>
          <w:rFonts w:eastAsia="Times New Roman" w:cs="Calibri"/>
          <w:szCs w:val="24"/>
          <w:lang w:eastAsia="ar-SA"/>
        </w:rPr>
      </w:pPr>
      <w:r w:rsidRPr="0009477F">
        <w:rPr>
          <w:rFonts w:eastAsia="Times New Roman" w:cs="Calibri"/>
          <w:szCs w:val="24"/>
          <w:lang w:eastAsia="ar-SA"/>
        </w:rPr>
        <w:t xml:space="preserve">Nessa perspectiva a História pede uma outra hermenêutica em que narrativa é um ato socialmente simbólico, mas que precisa ser lida a partir do conflito como sintoma da necessidade de um povo, que não pode ser silenciado, sendo antes, necessário redefinir a questão da ideologia como linguagem do inconsciente político, do desejo e sua representação, e a história como necessidade negada e a produção cultural dentro da </w:t>
      </w:r>
      <w:proofErr w:type="spellStart"/>
      <w:r w:rsidRPr="0009477F">
        <w:rPr>
          <w:rFonts w:eastAsia="Times New Roman" w:cs="Calibri"/>
          <w:szCs w:val="24"/>
          <w:lang w:eastAsia="ar-SA"/>
        </w:rPr>
        <w:t>referencialidade</w:t>
      </w:r>
      <w:proofErr w:type="spellEnd"/>
      <w:r w:rsidRPr="0009477F">
        <w:rPr>
          <w:rFonts w:eastAsia="Times New Roman" w:cs="Calibri"/>
          <w:szCs w:val="24"/>
          <w:lang w:eastAsia="ar-SA"/>
        </w:rPr>
        <w:t xml:space="preserve"> oferecida para ler a história. Tal hermenêutica deve perguntar qual é a estrutura narrativa que um ato simbólico do indivíduo expressa e qual contradição pretende ser resolvida nesse ato simbólico? Sem deixar de enfrentar o conflito deve procurar a “dialética” do fenômeno da “</w:t>
      </w:r>
      <w:proofErr w:type="spellStart"/>
      <w:r w:rsidRPr="0009477F">
        <w:rPr>
          <w:rFonts w:eastAsia="Times New Roman" w:cs="Calibri"/>
          <w:szCs w:val="24"/>
          <w:lang w:eastAsia="ar-SA"/>
        </w:rPr>
        <w:t>heteroglosia</w:t>
      </w:r>
      <w:proofErr w:type="spellEnd"/>
      <w:r w:rsidRPr="0009477F">
        <w:rPr>
          <w:rFonts w:eastAsia="Times New Roman" w:cs="Calibri"/>
          <w:szCs w:val="24"/>
          <w:lang w:eastAsia="ar-SA"/>
        </w:rPr>
        <w:t xml:space="preserve">” dos </w:t>
      </w:r>
      <w:proofErr w:type="spellStart"/>
      <w:r w:rsidRPr="0009477F">
        <w:rPr>
          <w:rFonts w:eastAsia="Times New Roman" w:cs="Calibri"/>
          <w:szCs w:val="24"/>
          <w:lang w:eastAsia="ar-SA"/>
        </w:rPr>
        <w:t>ideologemas</w:t>
      </w:r>
      <w:proofErr w:type="spellEnd"/>
      <w:r w:rsidRPr="0009477F">
        <w:rPr>
          <w:rFonts w:eastAsia="Times New Roman" w:cs="Calibri"/>
          <w:szCs w:val="24"/>
          <w:lang w:eastAsia="ar-SA"/>
        </w:rPr>
        <w:t xml:space="preserve"> procurando a contraposição dos modos de produção, a partir dos respectivos sintomas como “caminho” para a “transcendência do ‘ético’ em direção ao político e ao coletivo” (JAMESON, 1992</w:t>
      </w:r>
      <w:r w:rsidR="003D51B0">
        <w:rPr>
          <w:rFonts w:eastAsia="Times New Roman" w:cs="Calibri"/>
          <w:szCs w:val="24"/>
          <w:lang w:eastAsia="ar-SA"/>
        </w:rPr>
        <w:t xml:space="preserve">, p. </w:t>
      </w:r>
      <w:r w:rsidRPr="0009477F">
        <w:rPr>
          <w:rFonts w:eastAsia="Times New Roman" w:cs="Calibri"/>
          <w:szCs w:val="24"/>
          <w:lang w:eastAsia="ar-SA"/>
        </w:rPr>
        <w:t xml:space="preserve"> 36-37). </w:t>
      </w:r>
    </w:p>
    <w:p w:rsidR="00DB1FCF" w:rsidRPr="0009477F" w:rsidRDefault="00DB1FCF" w:rsidP="00DB1FCF">
      <w:pPr>
        <w:widowControl w:val="0"/>
        <w:suppressAutoHyphens/>
        <w:spacing w:before="120" w:after="120" w:line="360" w:lineRule="auto"/>
        <w:ind w:firstLine="708"/>
        <w:jc w:val="both"/>
        <w:rPr>
          <w:rFonts w:eastAsia="Times New Roman" w:cs="Calibri"/>
          <w:szCs w:val="24"/>
          <w:lang w:eastAsia="ar-SA"/>
        </w:rPr>
      </w:pPr>
      <w:r w:rsidRPr="0009477F">
        <w:rPr>
          <w:rFonts w:eastAsia="Times New Roman" w:cs="Calibri"/>
          <w:szCs w:val="24"/>
          <w:lang w:eastAsia="ar-SA"/>
        </w:rPr>
        <w:t>Para o teorista político, sua crítica literária evolui para o estudo da cultura como elemento fundamental para a compreensão do funcionamento do capitalismo na contemporaneidade, pois a cultura sempre expressa o modo de produção, e este produz sempre uma ferida, ou seja, uma necessidade social, como chave da leitura da história, e fonte de Utopia, como finalidade existencial, ou ainda, “um mundo em que sentido e vida aparecem outra vez como indivisíveis, no qual homem e mundo são unos”, não como “pensamento abstrato” de “filósofos utópicos”, mas como narrativa concreta, que se constitui na base para toda atividade utópica” (JAMESON, 1971</w:t>
      </w:r>
      <w:r w:rsidR="003D51B0">
        <w:rPr>
          <w:rFonts w:eastAsia="Times New Roman" w:cs="Calibri"/>
          <w:szCs w:val="24"/>
          <w:lang w:eastAsia="ar-SA"/>
        </w:rPr>
        <w:t xml:space="preserve">, p. </w:t>
      </w:r>
      <w:r w:rsidRPr="0009477F">
        <w:rPr>
          <w:rFonts w:eastAsia="Times New Roman" w:cs="Calibri"/>
          <w:szCs w:val="24"/>
          <w:lang w:eastAsia="ar-SA"/>
        </w:rPr>
        <w:t xml:space="preserve"> 375) no qual permite imaginar o ético no desafio concreto.</w:t>
      </w:r>
    </w:p>
    <w:p w:rsidR="00DB1FCF" w:rsidRDefault="00DB1FCF" w:rsidP="00DB1FCF">
      <w:pPr>
        <w:widowControl w:val="0"/>
        <w:suppressAutoHyphens/>
        <w:spacing w:before="120" w:after="120" w:line="360" w:lineRule="auto"/>
        <w:ind w:firstLine="708"/>
        <w:jc w:val="both"/>
        <w:rPr>
          <w:rFonts w:eastAsia="Times New Roman" w:cs="Calibri"/>
          <w:szCs w:val="24"/>
          <w:lang w:eastAsia="ar-SA"/>
        </w:rPr>
      </w:pPr>
      <w:r w:rsidRPr="0009477F">
        <w:rPr>
          <w:rFonts w:eastAsia="Times New Roman" w:cs="Calibri"/>
          <w:szCs w:val="24"/>
          <w:lang w:eastAsia="ar-SA"/>
        </w:rPr>
        <w:lastRenderedPageBreak/>
        <w:t xml:space="preserve">A modernidade, contudo, não raro elaborou um imaginário totalitário que produziu, na expressão de Habermas, uma </w:t>
      </w:r>
      <w:r w:rsidRPr="0009477F">
        <w:rPr>
          <w:rFonts w:eastAsia="Times New Roman" w:cs="Calibri"/>
          <w:i/>
          <w:szCs w:val="24"/>
          <w:lang w:eastAsia="ar-SA"/>
        </w:rPr>
        <w:t>lógica de excomunhão</w:t>
      </w:r>
      <w:r w:rsidRPr="0009477F">
        <w:rPr>
          <w:rFonts w:eastAsia="Times New Roman" w:cs="Calibri"/>
          <w:szCs w:val="24"/>
          <w:lang w:eastAsia="ar-SA"/>
        </w:rPr>
        <w:t xml:space="preserve"> na qual a exclusão de outrem fora vista como solução que ocorre primeiramente </w:t>
      </w:r>
      <w:r w:rsidRPr="0009477F">
        <w:rPr>
          <w:rFonts w:eastAsia="Times New Roman" w:cs="Calibri"/>
          <w:i/>
          <w:szCs w:val="24"/>
          <w:lang w:eastAsia="ar-SA"/>
        </w:rPr>
        <w:t>na</w:t>
      </w:r>
      <w:r w:rsidRPr="0009477F">
        <w:rPr>
          <w:rFonts w:eastAsia="Times New Roman" w:cs="Calibri"/>
          <w:szCs w:val="24"/>
          <w:lang w:eastAsia="ar-SA"/>
        </w:rPr>
        <w:t xml:space="preserve"> e </w:t>
      </w:r>
      <w:r w:rsidRPr="0009477F">
        <w:rPr>
          <w:rFonts w:eastAsia="Times New Roman" w:cs="Calibri"/>
          <w:i/>
          <w:szCs w:val="24"/>
          <w:lang w:eastAsia="ar-SA"/>
        </w:rPr>
        <w:t>pela</w:t>
      </w:r>
      <w:r w:rsidRPr="0009477F">
        <w:rPr>
          <w:rFonts w:eastAsia="Times New Roman" w:cs="Calibri"/>
          <w:szCs w:val="24"/>
          <w:lang w:eastAsia="ar-SA"/>
        </w:rPr>
        <w:t xml:space="preserve"> linguagem (1981). Por meio da linguagem não somente produziu um raciocínio, mas uma subjetividade de eleitos que se retroalimenta na adoção de uma linguagem, e sendo assim, uma insensibilidade ao outro, e consequentemente uma distopia da transformação social, uma vez que a solução para o conflito nessa perspectiva é vista com eliminação daquele que, para usar uma expressão </w:t>
      </w:r>
      <w:proofErr w:type="spellStart"/>
      <w:r w:rsidRPr="0009477F">
        <w:rPr>
          <w:rFonts w:eastAsia="Times New Roman" w:cs="Calibri"/>
          <w:szCs w:val="24"/>
          <w:lang w:eastAsia="ar-SA"/>
        </w:rPr>
        <w:t>jamesoniana</w:t>
      </w:r>
      <w:proofErr w:type="spellEnd"/>
      <w:r w:rsidRPr="0009477F">
        <w:rPr>
          <w:rFonts w:eastAsia="Times New Roman" w:cs="Calibri"/>
          <w:szCs w:val="24"/>
          <w:lang w:eastAsia="ar-SA"/>
        </w:rPr>
        <w:t xml:space="preserve">, reclama coletivamente da dor social.  </w:t>
      </w:r>
    </w:p>
    <w:bookmarkEnd w:id="1"/>
    <w:p w:rsidR="00DB1FCF" w:rsidRDefault="00DB1FCF" w:rsidP="00DB1FCF">
      <w:pPr>
        <w:spacing w:before="120" w:after="120" w:line="360" w:lineRule="auto"/>
        <w:jc w:val="both"/>
        <w:rPr>
          <w:rFonts w:cs="Times New Roman"/>
          <w:b/>
          <w:szCs w:val="24"/>
        </w:rPr>
      </w:pPr>
      <w:r w:rsidRPr="00AA1763">
        <w:rPr>
          <w:rFonts w:cs="Times New Roman"/>
          <w:b/>
          <w:szCs w:val="24"/>
        </w:rPr>
        <w:t xml:space="preserve">2. </w:t>
      </w:r>
      <w:r>
        <w:rPr>
          <w:rFonts w:cs="Times New Roman"/>
          <w:b/>
          <w:szCs w:val="24"/>
        </w:rPr>
        <w:t>A ideologia como sistema de crenças em Paul Ricoeur</w:t>
      </w:r>
    </w:p>
    <w:p w:rsidR="00DB1FCF" w:rsidRPr="009A1DD3" w:rsidRDefault="00DB1FCF" w:rsidP="00DB1FCF">
      <w:pPr>
        <w:spacing w:before="120" w:after="120" w:line="360" w:lineRule="auto"/>
        <w:jc w:val="both"/>
        <w:rPr>
          <w:rFonts w:cs="Times New Roman"/>
          <w:szCs w:val="24"/>
        </w:rPr>
      </w:pPr>
      <w:r>
        <w:rPr>
          <w:rFonts w:cs="Times New Roman"/>
          <w:szCs w:val="24"/>
        </w:rPr>
        <w:tab/>
        <w:t>Para Paul Ricoeur é necessário “cruzar Marx” no que toca a questão das ideologias, ou seja, assimilar sua contribuição, mas superar alguns pontos cegos, ampliando a análise da função social da ideologia, de modo a descrever primeiro sua função geral, e depois sua função de dominação social e de inversão de percepção, está propriamente dita, é a leitura de Marx</w:t>
      </w:r>
      <w:r w:rsidR="003D51B0">
        <w:rPr>
          <w:rFonts w:cs="Times New Roman"/>
          <w:szCs w:val="24"/>
        </w:rPr>
        <w:t xml:space="preserve"> </w:t>
      </w:r>
      <w:r w:rsidR="003D51B0">
        <w:rPr>
          <w:rFonts w:cs="Times New Roman"/>
          <w:szCs w:val="24"/>
        </w:rPr>
        <w:t>(RICOEUR, 2011, p.  77-86)</w:t>
      </w:r>
      <w:r>
        <w:rPr>
          <w:rFonts w:cs="Times New Roman"/>
          <w:szCs w:val="24"/>
        </w:rPr>
        <w:t>.</w:t>
      </w:r>
    </w:p>
    <w:p w:rsidR="00DB1FCF" w:rsidRDefault="00DB1FCF" w:rsidP="00DB1FCF">
      <w:pPr>
        <w:spacing w:before="120" w:after="120" w:line="360" w:lineRule="auto"/>
        <w:ind w:firstLine="360"/>
        <w:jc w:val="both"/>
        <w:rPr>
          <w:rFonts w:cs="Times New Roman"/>
          <w:szCs w:val="24"/>
        </w:rPr>
      </w:pPr>
      <w:r>
        <w:rPr>
          <w:rFonts w:cs="Times New Roman"/>
          <w:szCs w:val="24"/>
        </w:rPr>
        <w:t xml:space="preserve">Para o filósofo francês a </w:t>
      </w:r>
      <w:r>
        <w:rPr>
          <w:rFonts w:cs="Times New Roman"/>
          <w:i/>
          <w:szCs w:val="24"/>
        </w:rPr>
        <w:t>f</w:t>
      </w:r>
      <w:r w:rsidRPr="0001373A">
        <w:rPr>
          <w:rFonts w:cs="Times New Roman"/>
          <w:i/>
          <w:szCs w:val="24"/>
        </w:rPr>
        <w:t>unção geral</w:t>
      </w:r>
      <w:r>
        <w:rPr>
          <w:rFonts w:cs="Times New Roman"/>
          <w:i/>
          <w:szCs w:val="24"/>
        </w:rPr>
        <w:t xml:space="preserve"> </w:t>
      </w:r>
      <w:r>
        <w:rPr>
          <w:rFonts w:cs="Times New Roman"/>
          <w:szCs w:val="24"/>
        </w:rPr>
        <w:t xml:space="preserve">da ideologia é provocar unidade social, ou seja, há uma função positiva de ser </w:t>
      </w:r>
      <w:r w:rsidRPr="00CD6566">
        <w:rPr>
          <w:rFonts w:cs="Times New Roman"/>
          <w:i/>
          <w:szCs w:val="24"/>
        </w:rPr>
        <w:t>integradora</w:t>
      </w:r>
      <w:r>
        <w:rPr>
          <w:rFonts w:cs="Times New Roman"/>
          <w:szCs w:val="24"/>
        </w:rPr>
        <w:t xml:space="preserve"> de grupos sociais na medida em que ela promove um </w:t>
      </w:r>
      <w:r w:rsidRPr="00CD6566">
        <w:rPr>
          <w:rFonts w:cs="Times New Roman"/>
          <w:i/>
          <w:szCs w:val="24"/>
        </w:rPr>
        <w:t>sistema de crenças</w:t>
      </w:r>
      <w:r>
        <w:rPr>
          <w:rFonts w:cs="Times New Roman"/>
          <w:szCs w:val="24"/>
        </w:rPr>
        <w:t xml:space="preserve">, como por exemplo a crença em valores que permitem integrar grupos distintos, como o valor de fazer o bem, ser justo, procurar a paz, pois na medida em que pessoas, mesmo de grupos distintos acreditam em tais valores, ocorre em alguma medida uma unidade social a respeito da questão. Tal função possui cinco traços principais enquanto função social geral. </w:t>
      </w:r>
    </w:p>
    <w:p w:rsidR="00DB1FCF" w:rsidRDefault="00DB1FCF" w:rsidP="00DB1FCF">
      <w:pPr>
        <w:spacing w:before="120" w:after="120" w:line="360" w:lineRule="auto"/>
        <w:ind w:firstLine="360"/>
        <w:jc w:val="both"/>
        <w:rPr>
          <w:rFonts w:cs="Times New Roman"/>
          <w:szCs w:val="24"/>
        </w:rPr>
      </w:pPr>
      <w:r>
        <w:rPr>
          <w:rFonts w:cs="Times New Roman"/>
          <w:szCs w:val="24"/>
        </w:rPr>
        <w:t xml:space="preserve">O </w:t>
      </w:r>
      <w:r>
        <w:rPr>
          <w:rFonts w:cs="Times New Roman"/>
          <w:i/>
          <w:szCs w:val="24"/>
        </w:rPr>
        <w:t>primeiro</w:t>
      </w:r>
      <w:r>
        <w:rPr>
          <w:rFonts w:cs="Times New Roman"/>
          <w:szCs w:val="24"/>
        </w:rPr>
        <w:t xml:space="preserve"> traço é o da </w:t>
      </w:r>
      <w:r w:rsidRPr="00AA1763">
        <w:rPr>
          <w:rFonts w:cs="Times New Roman"/>
          <w:i/>
          <w:szCs w:val="24"/>
        </w:rPr>
        <w:t>representação</w:t>
      </w:r>
      <w:r>
        <w:rPr>
          <w:rFonts w:cs="Times New Roman"/>
          <w:szCs w:val="24"/>
        </w:rPr>
        <w:t xml:space="preserve"> como necessidade de</w:t>
      </w:r>
      <w:r w:rsidRPr="00AA1763">
        <w:rPr>
          <w:rFonts w:cs="Times New Roman"/>
          <w:szCs w:val="24"/>
        </w:rPr>
        <w:t xml:space="preserve"> grup</w:t>
      </w:r>
      <w:r>
        <w:rPr>
          <w:rFonts w:cs="Times New Roman"/>
          <w:szCs w:val="24"/>
        </w:rPr>
        <w:t xml:space="preserve">o de ter uma imagem de si mesmo, enquanto sistema de significações que permite que o comportamento humano seja significante para os agentes individuais do grupo, ou mais precisamente, quando o comportamento de um é orientado em função do comportamento de outro. O significado do comportamento social é representado por uma pessoa que passa a ser significante para o grupo, e desta para outros que retroalimentam tais signos, como uma dinâmica teatral de representar personagens significativos encarnados pelo grupo, promovendo um consenso significativo, ou seja, um </w:t>
      </w:r>
      <w:r>
        <w:rPr>
          <w:rFonts w:cs="Times New Roman"/>
          <w:i/>
          <w:szCs w:val="24"/>
        </w:rPr>
        <w:t>credo</w:t>
      </w:r>
      <w:r>
        <w:rPr>
          <w:rFonts w:cs="Times New Roman"/>
          <w:szCs w:val="24"/>
        </w:rPr>
        <w:t xml:space="preserve">. </w:t>
      </w:r>
    </w:p>
    <w:p w:rsidR="00DB1FCF" w:rsidRDefault="00DB1FCF" w:rsidP="00DB1FCF">
      <w:pPr>
        <w:spacing w:before="120" w:after="120" w:line="360" w:lineRule="auto"/>
        <w:ind w:firstLine="360"/>
        <w:jc w:val="both"/>
        <w:rPr>
          <w:rFonts w:cs="Times New Roman"/>
          <w:szCs w:val="24"/>
        </w:rPr>
      </w:pPr>
      <w:r>
        <w:rPr>
          <w:rFonts w:cs="Times New Roman"/>
          <w:szCs w:val="24"/>
        </w:rPr>
        <w:t xml:space="preserve">O </w:t>
      </w:r>
      <w:r>
        <w:rPr>
          <w:rFonts w:cs="Times New Roman"/>
          <w:i/>
          <w:szCs w:val="24"/>
        </w:rPr>
        <w:t xml:space="preserve">segundo </w:t>
      </w:r>
      <w:r>
        <w:rPr>
          <w:rFonts w:cs="Times New Roman"/>
          <w:szCs w:val="24"/>
        </w:rPr>
        <w:t xml:space="preserve">diz respeito ao </w:t>
      </w:r>
      <w:r w:rsidRPr="00AA1763">
        <w:rPr>
          <w:rFonts w:cs="Times New Roman"/>
          <w:i/>
          <w:szCs w:val="24"/>
        </w:rPr>
        <w:t xml:space="preserve">dinamismo </w:t>
      </w:r>
      <w:r>
        <w:rPr>
          <w:rFonts w:cs="Times New Roman"/>
          <w:szCs w:val="24"/>
        </w:rPr>
        <w:t xml:space="preserve">promovido pela ideologia ou ainda pode ser entendida como </w:t>
      </w:r>
      <w:r w:rsidRPr="00A51346">
        <w:rPr>
          <w:rFonts w:cs="Times New Roman"/>
          <w:i/>
          <w:szCs w:val="24"/>
        </w:rPr>
        <w:t>teoria da motivação social</w:t>
      </w:r>
      <w:r>
        <w:rPr>
          <w:rFonts w:cs="Times New Roman"/>
          <w:szCs w:val="24"/>
        </w:rPr>
        <w:t xml:space="preserve"> na medida em que confere um caráter de justificativa, ou seja, imprime um nota carac</w:t>
      </w:r>
      <w:r w:rsidRPr="00AA1763">
        <w:rPr>
          <w:rFonts w:cs="Times New Roman"/>
          <w:szCs w:val="24"/>
        </w:rPr>
        <w:t>ter</w:t>
      </w:r>
      <w:r>
        <w:rPr>
          <w:rFonts w:cs="Times New Roman"/>
          <w:szCs w:val="24"/>
        </w:rPr>
        <w:t xml:space="preserve">ística </w:t>
      </w:r>
      <w:r w:rsidRPr="00AA1763">
        <w:rPr>
          <w:rFonts w:cs="Times New Roman"/>
          <w:szCs w:val="24"/>
        </w:rPr>
        <w:t xml:space="preserve">de </w:t>
      </w:r>
      <w:r>
        <w:rPr>
          <w:rFonts w:cs="Times New Roman"/>
          <w:szCs w:val="24"/>
        </w:rPr>
        <w:t xml:space="preserve">que tal visão de mundo é justa, e </w:t>
      </w:r>
      <w:r>
        <w:rPr>
          <w:rFonts w:cs="Times New Roman"/>
          <w:szCs w:val="24"/>
        </w:rPr>
        <w:lastRenderedPageBreak/>
        <w:t>com isso e para além disso, ainda imprime um caráter de projeto, de</w:t>
      </w:r>
      <w:r w:rsidRPr="00AA1763">
        <w:rPr>
          <w:rFonts w:cs="Times New Roman"/>
          <w:szCs w:val="24"/>
        </w:rPr>
        <w:t xml:space="preserve"> empreendimento</w:t>
      </w:r>
      <w:r>
        <w:rPr>
          <w:rFonts w:cs="Times New Roman"/>
          <w:szCs w:val="24"/>
        </w:rPr>
        <w:t xml:space="preserve"> de que tal credo promovido resultará em uma transformação social, no qual o credo transformado em projeto indica a necessidade, por ser justa, da instituição de uma nova práxis social.</w:t>
      </w:r>
    </w:p>
    <w:p w:rsidR="00DB1FCF" w:rsidRDefault="00DB1FCF" w:rsidP="00DB1FCF">
      <w:pPr>
        <w:spacing w:before="120" w:after="120" w:line="360" w:lineRule="auto"/>
        <w:ind w:firstLine="360"/>
        <w:jc w:val="both"/>
        <w:rPr>
          <w:rFonts w:cs="Times New Roman"/>
          <w:szCs w:val="24"/>
        </w:rPr>
      </w:pPr>
      <w:r>
        <w:rPr>
          <w:rFonts w:cs="Times New Roman"/>
          <w:szCs w:val="24"/>
        </w:rPr>
        <w:t xml:space="preserve">O </w:t>
      </w:r>
      <w:r>
        <w:rPr>
          <w:rFonts w:cs="Times New Roman"/>
          <w:i/>
          <w:szCs w:val="24"/>
        </w:rPr>
        <w:t>terceiro</w:t>
      </w:r>
      <w:r>
        <w:rPr>
          <w:rFonts w:cs="Times New Roman"/>
          <w:szCs w:val="24"/>
        </w:rPr>
        <w:t xml:space="preserve"> traço é responsável pela preservação do dinamismo ideológico e tem a ver com a sua capacidade de </w:t>
      </w:r>
      <w:r w:rsidRPr="00A269B0">
        <w:rPr>
          <w:rFonts w:cs="Times New Roman"/>
          <w:i/>
          <w:szCs w:val="24"/>
        </w:rPr>
        <w:t>simplificar</w:t>
      </w:r>
      <w:r>
        <w:rPr>
          <w:rFonts w:cs="Times New Roman"/>
          <w:szCs w:val="24"/>
        </w:rPr>
        <w:t xml:space="preserve"> e </w:t>
      </w:r>
      <w:r w:rsidRPr="00A269B0">
        <w:rPr>
          <w:rFonts w:cs="Times New Roman"/>
          <w:i/>
          <w:szCs w:val="24"/>
        </w:rPr>
        <w:t>esquematiza</w:t>
      </w:r>
      <w:r>
        <w:rPr>
          <w:rFonts w:cs="Times New Roman"/>
          <w:i/>
          <w:szCs w:val="24"/>
        </w:rPr>
        <w:t xml:space="preserve">r </w:t>
      </w:r>
      <w:r>
        <w:rPr>
          <w:rFonts w:cs="Times New Roman"/>
          <w:szCs w:val="24"/>
        </w:rPr>
        <w:t xml:space="preserve">um sistema de crenças, ou ainda pode ser visto como a capacidade de </w:t>
      </w:r>
      <w:r w:rsidRPr="00AA1763">
        <w:rPr>
          <w:rFonts w:cs="Times New Roman"/>
          <w:szCs w:val="24"/>
        </w:rPr>
        <w:t xml:space="preserve">mutação de um </w:t>
      </w:r>
      <w:r w:rsidRPr="00AA1763">
        <w:rPr>
          <w:rFonts w:cs="Times New Roman"/>
          <w:i/>
          <w:szCs w:val="24"/>
        </w:rPr>
        <w:t>sistema de pensamento</w:t>
      </w:r>
      <w:r w:rsidRPr="00AA1763">
        <w:rPr>
          <w:rFonts w:cs="Times New Roman"/>
          <w:szCs w:val="24"/>
        </w:rPr>
        <w:t xml:space="preserve"> para um </w:t>
      </w:r>
      <w:r w:rsidRPr="00AA1763">
        <w:rPr>
          <w:rFonts w:cs="Times New Roman"/>
          <w:i/>
          <w:szCs w:val="24"/>
        </w:rPr>
        <w:t>sistema de crenças</w:t>
      </w:r>
      <w:r>
        <w:rPr>
          <w:rFonts w:cs="Times New Roman"/>
          <w:szCs w:val="24"/>
        </w:rPr>
        <w:t xml:space="preserve">, promovendo uma idealização da imagem que um grupo possui de si mesmo. </w:t>
      </w:r>
      <w:r w:rsidRPr="00AA1763">
        <w:rPr>
          <w:rFonts w:cs="Times New Roman"/>
          <w:szCs w:val="24"/>
        </w:rPr>
        <w:t xml:space="preserve"> </w:t>
      </w:r>
    </w:p>
    <w:p w:rsidR="00DB1FCF" w:rsidRDefault="00DB1FCF" w:rsidP="00DB1FCF">
      <w:pPr>
        <w:spacing w:before="120" w:after="120" w:line="360" w:lineRule="auto"/>
        <w:ind w:firstLine="360"/>
        <w:jc w:val="both"/>
        <w:rPr>
          <w:rFonts w:cs="Times New Roman"/>
          <w:szCs w:val="24"/>
        </w:rPr>
      </w:pPr>
      <w:r>
        <w:rPr>
          <w:rFonts w:cs="Times New Roman"/>
          <w:szCs w:val="24"/>
        </w:rPr>
        <w:t xml:space="preserve">O </w:t>
      </w:r>
      <w:r>
        <w:rPr>
          <w:rFonts w:cs="Times New Roman"/>
          <w:i/>
          <w:szCs w:val="24"/>
        </w:rPr>
        <w:t>quarto</w:t>
      </w:r>
      <w:r>
        <w:rPr>
          <w:rFonts w:cs="Times New Roman"/>
          <w:szCs w:val="24"/>
        </w:rPr>
        <w:t xml:space="preserve"> traço é chamado por Ricoeur de</w:t>
      </w:r>
      <w:r w:rsidRPr="00AA1763">
        <w:rPr>
          <w:rFonts w:cs="Times New Roman"/>
          <w:b/>
          <w:szCs w:val="24"/>
        </w:rPr>
        <w:t xml:space="preserve"> </w:t>
      </w:r>
      <w:proofErr w:type="spellStart"/>
      <w:r>
        <w:rPr>
          <w:rFonts w:cs="Times New Roman"/>
          <w:i/>
          <w:szCs w:val="24"/>
        </w:rPr>
        <w:t>dóxico</w:t>
      </w:r>
      <w:proofErr w:type="spellEnd"/>
      <w:r>
        <w:rPr>
          <w:rFonts w:cs="Times New Roman"/>
          <w:szCs w:val="24"/>
        </w:rPr>
        <w:t>, pois</w:t>
      </w:r>
      <w:r w:rsidRPr="00AA1763">
        <w:rPr>
          <w:rFonts w:cs="Times New Roman"/>
          <w:szCs w:val="24"/>
        </w:rPr>
        <w:t xml:space="preserve"> transforma ideias em opiniões que funcionam como </w:t>
      </w:r>
      <w:r w:rsidRPr="00A269B0">
        <w:rPr>
          <w:rFonts w:cs="Times New Roman"/>
          <w:i/>
          <w:szCs w:val="24"/>
        </w:rPr>
        <w:t>máximas</w:t>
      </w:r>
      <w:r>
        <w:rPr>
          <w:rFonts w:cs="Times New Roman"/>
          <w:szCs w:val="24"/>
        </w:rPr>
        <w:t xml:space="preserve"> em forma de </w:t>
      </w:r>
      <w:r w:rsidRPr="00A269B0">
        <w:rPr>
          <w:rFonts w:cs="Times New Roman"/>
          <w:i/>
          <w:szCs w:val="24"/>
        </w:rPr>
        <w:t>slogans</w:t>
      </w:r>
      <w:r>
        <w:rPr>
          <w:rFonts w:cs="Times New Roman"/>
          <w:szCs w:val="24"/>
        </w:rPr>
        <w:t xml:space="preserve">, fórmulas lapidares, frases de efeito, e atualmente poderia se incorporar os “memes”. Este traço </w:t>
      </w:r>
      <w:proofErr w:type="spellStart"/>
      <w:r>
        <w:rPr>
          <w:rFonts w:cs="Times New Roman"/>
          <w:szCs w:val="24"/>
        </w:rPr>
        <w:t>dóxico</w:t>
      </w:r>
      <w:proofErr w:type="spellEnd"/>
      <w:r>
        <w:rPr>
          <w:rFonts w:cs="Times New Roman"/>
          <w:szCs w:val="24"/>
        </w:rPr>
        <w:t xml:space="preserve"> aproxima a ideologia ou o sistema de crenças a uma função retórica e onde opera a eficácia social das ideias. Enquanto função retórica se assemelha aos “</w:t>
      </w:r>
      <w:proofErr w:type="spellStart"/>
      <w:r w:rsidRPr="00AA1763">
        <w:rPr>
          <w:rFonts w:cs="Times New Roman"/>
          <w:szCs w:val="24"/>
        </w:rPr>
        <w:t>ideologemas</w:t>
      </w:r>
      <w:proofErr w:type="spellEnd"/>
      <w:r>
        <w:rPr>
          <w:rFonts w:cs="Times New Roman"/>
          <w:szCs w:val="24"/>
        </w:rPr>
        <w:t>” de Jameson.</w:t>
      </w:r>
    </w:p>
    <w:p w:rsidR="00DB1FCF" w:rsidRDefault="00DB1FCF" w:rsidP="00DB1FCF">
      <w:pPr>
        <w:spacing w:before="120" w:after="120" w:line="360" w:lineRule="auto"/>
        <w:ind w:firstLine="360"/>
        <w:jc w:val="both"/>
        <w:rPr>
          <w:rFonts w:cs="Times New Roman"/>
          <w:szCs w:val="24"/>
        </w:rPr>
      </w:pPr>
      <w:r>
        <w:rPr>
          <w:rFonts w:cs="Times New Roman"/>
          <w:szCs w:val="24"/>
        </w:rPr>
        <w:t xml:space="preserve">Por fim, o </w:t>
      </w:r>
      <w:r w:rsidRPr="00A269B0">
        <w:rPr>
          <w:rFonts w:cs="Times New Roman"/>
          <w:i/>
          <w:szCs w:val="24"/>
        </w:rPr>
        <w:t>quinto</w:t>
      </w:r>
      <w:r>
        <w:rPr>
          <w:rFonts w:cs="Times New Roman"/>
          <w:szCs w:val="24"/>
        </w:rPr>
        <w:t xml:space="preserve"> traço promove uma</w:t>
      </w:r>
      <w:r w:rsidRPr="00AA1763">
        <w:rPr>
          <w:rFonts w:cs="Times New Roman"/>
          <w:b/>
          <w:szCs w:val="24"/>
        </w:rPr>
        <w:t xml:space="preserve"> </w:t>
      </w:r>
      <w:r w:rsidRPr="00AA1763">
        <w:rPr>
          <w:rFonts w:cs="Times New Roman"/>
          <w:i/>
          <w:szCs w:val="24"/>
        </w:rPr>
        <w:t>tipificação</w:t>
      </w:r>
      <w:r>
        <w:rPr>
          <w:rFonts w:cs="Times New Roman"/>
          <w:szCs w:val="24"/>
        </w:rPr>
        <w:t>, que Ricoeur</w:t>
      </w:r>
      <w:r w:rsidRPr="00AA1763">
        <w:rPr>
          <w:rFonts w:cs="Times New Roman"/>
          <w:i/>
          <w:szCs w:val="24"/>
        </w:rPr>
        <w:t xml:space="preserve"> </w:t>
      </w:r>
      <w:r>
        <w:rPr>
          <w:rFonts w:cs="Times New Roman"/>
          <w:szCs w:val="24"/>
        </w:rPr>
        <w:t xml:space="preserve"> também chama de </w:t>
      </w:r>
      <w:r w:rsidRPr="00B5046F">
        <w:rPr>
          <w:rFonts w:cs="Times New Roman"/>
          <w:i/>
          <w:szCs w:val="24"/>
        </w:rPr>
        <w:t>temporal</w:t>
      </w:r>
      <w:r>
        <w:rPr>
          <w:rFonts w:cs="Times New Roman"/>
          <w:szCs w:val="24"/>
        </w:rPr>
        <w:t>, em que o novo só pode ser recebido a partir do típico, ocorrendo uma</w:t>
      </w:r>
      <w:r w:rsidRPr="00AA1763">
        <w:rPr>
          <w:rFonts w:cs="Times New Roman"/>
          <w:szCs w:val="24"/>
        </w:rPr>
        <w:t xml:space="preserve"> sedimentação da experiência social</w:t>
      </w:r>
      <w:r>
        <w:rPr>
          <w:rFonts w:cs="Times New Roman"/>
          <w:szCs w:val="24"/>
        </w:rPr>
        <w:t xml:space="preserve">, âmbito em que surge a identificação mais forte de um indivíduo a um grupo, que passa a ler a sociedade com a consciência do grupo, de modo que é a partir da ideologia que se pensa, mesmo quando se pretende pensar sobre ela. Dito de outro modo a consciência se dá dentro de um código cultural. Também aqui se incorre no risco de </w:t>
      </w:r>
      <w:r w:rsidRPr="00AA1763">
        <w:rPr>
          <w:rFonts w:cs="Times New Roman"/>
          <w:szCs w:val="24"/>
        </w:rPr>
        <w:t>reforça</w:t>
      </w:r>
      <w:r>
        <w:rPr>
          <w:rFonts w:cs="Times New Roman"/>
          <w:szCs w:val="24"/>
        </w:rPr>
        <w:t>r</w:t>
      </w:r>
      <w:r w:rsidRPr="00AA1763">
        <w:rPr>
          <w:rFonts w:cs="Times New Roman"/>
          <w:szCs w:val="24"/>
        </w:rPr>
        <w:t xml:space="preserve"> o caráter</w:t>
      </w:r>
      <w:r>
        <w:rPr>
          <w:rFonts w:cs="Times New Roman"/>
          <w:szCs w:val="24"/>
        </w:rPr>
        <w:t xml:space="preserve"> irracional e não transparente</w:t>
      </w:r>
      <w:r w:rsidRPr="00AA1763">
        <w:rPr>
          <w:rFonts w:cs="Times New Roman"/>
          <w:szCs w:val="24"/>
        </w:rPr>
        <w:t xml:space="preserve"> </w:t>
      </w:r>
      <w:r>
        <w:rPr>
          <w:rFonts w:cs="Times New Roman"/>
          <w:szCs w:val="24"/>
        </w:rPr>
        <w:t xml:space="preserve">do sistema de crença que passa a racionalizar a partir dos pressupostos </w:t>
      </w:r>
      <w:proofErr w:type="spellStart"/>
      <w:r>
        <w:rPr>
          <w:rFonts w:cs="Times New Roman"/>
          <w:szCs w:val="24"/>
        </w:rPr>
        <w:t>doxológicos</w:t>
      </w:r>
      <w:proofErr w:type="spellEnd"/>
      <w:r>
        <w:rPr>
          <w:rFonts w:cs="Times New Roman"/>
          <w:szCs w:val="24"/>
        </w:rPr>
        <w:t xml:space="preserve">, chegando a </w:t>
      </w:r>
      <w:r w:rsidRPr="00AA1763">
        <w:rPr>
          <w:rFonts w:cs="Times New Roman"/>
          <w:szCs w:val="24"/>
        </w:rPr>
        <w:t>promove</w:t>
      </w:r>
      <w:r>
        <w:rPr>
          <w:rFonts w:cs="Times New Roman"/>
          <w:szCs w:val="24"/>
        </w:rPr>
        <w:t>r</w:t>
      </w:r>
      <w:r w:rsidRPr="00AA1763">
        <w:rPr>
          <w:rFonts w:cs="Times New Roman"/>
          <w:szCs w:val="24"/>
        </w:rPr>
        <w:t xml:space="preserve"> a dissimulação </w:t>
      </w:r>
      <w:r>
        <w:rPr>
          <w:rFonts w:cs="Times New Roman"/>
          <w:szCs w:val="24"/>
        </w:rPr>
        <w:t xml:space="preserve">em relação a crítica e outras visões, como </w:t>
      </w:r>
      <w:r w:rsidRPr="00AA1763">
        <w:rPr>
          <w:rFonts w:cs="Times New Roman"/>
          <w:szCs w:val="24"/>
        </w:rPr>
        <w:t xml:space="preserve">atitude de </w:t>
      </w:r>
      <w:r>
        <w:rPr>
          <w:rFonts w:cs="Times New Roman"/>
          <w:szCs w:val="24"/>
        </w:rPr>
        <w:t>defesa do sistema de crenças, incorrendo em um dogmatismo ideológico</w:t>
      </w:r>
      <w:r w:rsidRPr="00AA1763">
        <w:rPr>
          <w:rFonts w:cs="Times New Roman"/>
          <w:szCs w:val="24"/>
        </w:rPr>
        <w:t>.</w:t>
      </w:r>
    </w:p>
    <w:p w:rsidR="00DB1FCF" w:rsidRPr="00AA1763" w:rsidRDefault="00DB1FCF" w:rsidP="00DB1FCF">
      <w:pPr>
        <w:spacing w:before="120" w:after="120" w:line="360" w:lineRule="auto"/>
        <w:ind w:firstLine="360"/>
        <w:jc w:val="both"/>
        <w:rPr>
          <w:rFonts w:cs="Times New Roman"/>
          <w:szCs w:val="24"/>
        </w:rPr>
      </w:pPr>
      <w:r>
        <w:rPr>
          <w:rFonts w:cs="Times New Roman"/>
          <w:szCs w:val="24"/>
        </w:rPr>
        <w:t xml:space="preserve">E nesse aspecto que emerge a </w:t>
      </w:r>
      <w:r w:rsidRPr="006B01FA">
        <w:rPr>
          <w:rFonts w:cs="Times New Roman"/>
          <w:i/>
          <w:szCs w:val="24"/>
        </w:rPr>
        <w:t>função de dominação</w:t>
      </w:r>
      <w:r>
        <w:rPr>
          <w:rFonts w:cs="Times New Roman"/>
          <w:b/>
          <w:szCs w:val="24"/>
        </w:rPr>
        <w:t>,</w:t>
      </w:r>
      <w:r w:rsidRPr="00AA1763">
        <w:rPr>
          <w:rFonts w:cs="Times New Roman"/>
          <w:b/>
          <w:szCs w:val="24"/>
        </w:rPr>
        <w:t xml:space="preserve"> </w:t>
      </w:r>
      <w:r w:rsidRPr="001E5E17">
        <w:rPr>
          <w:rFonts w:cs="Times New Roman"/>
          <w:szCs w:val="24"/>
        </w:rPr>
        <w:t>enquanto</w:t>
      </w:r>
      <w:r>
        <w:rPr>
          <w:rFonts w:cs="Times New Roman"/>
          <w:b/>
          <w:szCs w:val="24"/>
        </w:rPr>
        <w:t xml:space="preserve"> </w:t>
      </w:r>
      <w:r>
        <w:rPr>
          <w:rFonts w:cs="Times New Roman"/>
          <w:szCs w:val="24"/>
        </w:rPr>
        <w:t xml:space="preserve">segunda função da </w:t>
      </w:r>
      <w:proofErr w:type="spellStart"/>
      <w:r>
        <w:rPr>
          <w:rFonts w:cs="Times New Roman"/>
          <w:szCs w:val="24"/>
        </w:rPr>
        <w:t>d</w:t>
      </w:r>
      <w:r w:rsidRPr="00AA1763">
        <w:rPr>
          <w:rFonts w:cs="Times New Roman"/>
          <w:szCs w:val="24"/>
        </w:rPr>
        <w:t>a</w:t>
      </w:r>
      <w:proofErr w:type="spellEnd"/>
      <w:r w:rsidRPr="00AA1763">
        <w:rPr>
          <w:rFonts w:cs="Times New Roman"/>
          <w:szCs w:val="24"/>
        </w:rPr>
        <w:t xml:space="preserve"> ideologia está diretamente relacionada com o poder e a autoridade, como gestão do poder </w:t>
      </w:r>
      <w:r>
        <w:rPr>
          <w:rFonts w:cs="Times New Roman"/>
          <w:szCs w:val="24"/>
        </w:rPr>
        <w:t xml:space="preserve">promovendo uma certa </w:t>
      </w:r>
      <w:r w:rsidRPr="00AA1763">
        <w:rPr>
          <w:rFonts w:cs="Times New Roman"/>
          <w:szCs w:val="24"/>
        </w:rPr>
        <w:t>fé na autoridade</w:t>
      </w:r>
      <w:r>
        <w:rPr>
          <w:rFonts w:cs="Times New Roman"/>
          <w:szCs w:val="24"/>
        </w:rPr>
        <w:t xml:space="preserve"> e </w:t>
      </w:r>
      <w:r w:rsidRPr="00AA1763">
        <w:rPr>
          <w:rFonts w:cs="Times New Roman"/>
          <w:szCs w:val="24"/>
        </w:rPr>
        <w:t>se acentua a dissimulação que passa para o primeiro plano</w:t>
      </w:r>
      <w:r>
        <w:rPr>
          <w:rFonts w:cs="Times New Roman"/>
          <w:szCs w:val="24"/>
        </w:rPr>
        <w:t>, como uma forma de se esquivar de críticas. Tal função se acentua no Ocidente nos períodos eleitorais, de modo que quanto maior a fé em um candidato e/ou partido, maior a chance de ocupar o espaço de poder, sendo, historicamente, a manutenção desse sistema de crença a condição para permanência no poder. A função de dominação é praticamente o uso deliberado de um sistema de crença para promover e/ou manter o poder.</w:t>
      </w:r>
    </w:p>
    <w:p w:rsidR="00DB1FCF" w:rsidRPr="00AA1763" w:rsidRDefault="00DB1FCF" w:rsidP="00DB1FCF">
      <w:pPr>
        <w:spacing w:before="120" w:after="120" w:line="360" w:lineRule="auto"/>
        <w:ind w:firstLine="360"/>
        <w:jc w:val="both"/>
        <w:rPr>
          <w:rFonts w:cs="Times New Roman"/>
          <w:szCs w:val="24"/>
        </w:rPr>
      </w:pPr>
      <w:r w:rsidRPr="001E5E17">
        <w:rPr>
          <w:rFonts w:cs="Times New Roman"/>
          <w:szCs w:val="24"/>
        </w:rPr>
        <w:t xml:space="preserve">Por fim, </w:t>
      </w:r>
      <w:r>
        <w:rPr>
          <w:rFonts w:cs="Times New Roman"/>
          <w:szCs w:val="24"/>
        </w:rPr>
        <w:t xml:space="preserve">a </w:t>
      </w:r>
      <w:r w:rsidRPr="001E5E17">
        <w:rPr>
          <w:rFonts w:cs="Times New Roman"/>
          <w:i/>
          <w:szCs w:val="24"/>
        </w:rPr>
        <w:t>função de</w:t>
      </w:r>
      <w:r w:rsidRPr="001E5E17">
        <w:rPr>
          <w:rFonts w:cs="Times New Roman"/>
          <w:b/>
          <w:i/>
          <w:szCs w:val="24"/>
        </w:rPr>
        <w:t xml:space="preserve"> </w:t>
      </w:r>
      <w:r w:rsidRPr="001E5E17">
        <w:rPr>
          <w:rFonts w:cs="Times New Roman"/>
          <w:i/>
          <w:szCs w:val="24"/>
        </w:rPr>
        <w:t>inversão</w:t>
      </w:r>
      <w:r>
        <w:rPr>
          <w:rFonts w:cs="Times New Roman"/>
          <w:b/>
          <w:szCs w:val="24"/>
        </w:rPr>
        <w:t xml:space="preserve"> </w:t>
      </w:r>
      <w:r>
        <w:rPr>
          <w:rFonts w:cs="Times New Roman"/>
          <w:szCs w:val="24"/>
        </w:rPr>
        <w:t>que diz respeito</w:t>
      </w:r>
      <w:r w:rsidRPr="00AA1763">
        <w:rPr>
          <w:rFonts w:cs="Times New Roman"/>
          <w:b/>
          <w:szCs w:val="24"/>
        </w:rPr>
        <w:t xml:space="preserve"> </w:t>
      </w:r>
      <w:r w:rsidRPr="00AA1763">
        <w:rPr>
          <w:rFonts w:cs="Times New Roman"/>
          <w:szCs w:val="24"/>
        </w:rPr>
        <w:t xml:space="preserve">propriamente a análise </w:t>
      </w:r>
      <w:r>
        <w:rPr>
          <w:rFonts w:cs="Times New Roman"/>
          <w:szCs w:val="24"/>
        </w:rPr>
        <w:t xml:space="preserve">sobre a ideologia </w:t>
      </w:r>
      <w:r w:rsidRPr="00AA1763">
        <w:rPr>
          <w:rFonts w:cs="Times New Roman"/>
          <w:szCs w:val="24"/>
        </w:rPr>
        <w:t xml:space="preserve">de </w:t>
      </w:r>
      <w:r>
        <w:rPr>
          <w:rFonts w:cs="Times New Roman"/>
          <w:szCs w:val="24"/>
        </w:rPr>
        <w:t xml:space="preserve">Karl </w:t>
      </w:r>
      <w:r w:rsidRPr="00AA1763">
        <w:rPr>
          <w:rFonts w:cs="Times New Roman"/>
          <w:szCs w:val="24"/>
        </w:rPr>
        <w:t>Marx</w:t>
      </w:r>
      <w:r>
        <w:rPr>
          <w:rFonts w:cs="Times New Roman"/>
          <w:szCs w:val="24"/>
        </w:rPr>
        <w:t xml:space="preserve"> trata da </w:t>
      </w:r>
      <w:r w:rsidRPr="00AA1763">
        <w:rPr>
          <w:rFonts w:cs="Times New Roman"/>
          <w:szCs w:val="24"/>
        </w:rPr>
        <w:t xml:space="preserve">substituição da percepção do processo da vida real por uma vida </w:t>
      </w:r>
      <w:r w:rsidRPr="00AA1763">
        <w:rPr>
          <w:rFonts w:cs="Times New Roman"/>
          <w:szCs w:val="24"/>
        </w:rPr>
        <w:lastRenderedPageBreak/>
        <w:t>imaginária</w:t>
      </w:r>
      <w:r>
        <w:rPr>
          <w:rFonts w:cs="Times New Roman"/>
          <w:szCs w:val="24"/>
        </w:rPr>
        <w:t>, promovido por um sistema de crença no qual a f</w:t>
      </w:r>
      <w:r w:rsidRPr="00AA1763">
        <w:rPr>
          <w:rFonts w:cs="Times New Roman"/>
          <w:szCs w:val="24"/>
        </w:rPr>
        <w:t xml:space="preserve">é </w:t>
      </w:r>
      <w:r>
        <w:rPr>
          <w:rFonts w:cs="Times New Roman"/>
          <w:szCs w:val="24"/>
        </w:rPr>
        <w:t>resulta na produção de ingenuidade, ou ainda uma crença sem consciência crítica</w:t>
      </w:r>
      <w:r w:rsidRPr="00AA1763">
        <w:rPr>
          <w:rFonts w:cs="Times New Roman"/>
          <w:szCs w:val="24"/>
        </w:rPr>
        <w:t>.</w:t>
      </w:r>
      <w:r>
        <w:rPr>
          <w:rFonts w:cs="Times New Roman"/>
          <w:szCs w:val="24"/>
        </w:rPr>
        <w:t xml:space="preserve"> Para Marx quem promove essa inversão é a religião, ao apregoar que a realidade social é vontade de Deus. Mais precisamente Pierre Bourdieu</w:t>
      </w:r>
      <w:r w:rsidRPr="00AA1763">
        <w:rPr>
          <w:rFonts w:cs="Times New Roman"/>
          <w:szCs w:val="24"/>
        </w:rPr>
        <w:t xml:space="preserve"> </w:t>
      </w:r>
      <w:r>
        <w:rPr>
          <w:rFonts w:cs="Times New Roman"/>
          <w:szCs w:val="24"/>
        </w:rPr>
        <w:t xml:space="preserve">nomeou tal inversão como </w:t>
      </w:r>
      <w:proofErr w:type="spellStart"/>
      <w:r>
        <w:rPr>
          <w:rFonts w:cs="Times New Roman"/>
          <w:szCs w:val="24"/>
        </w:rPr>
        <w:t>sociodiceia</w:t>
      </w:r>
      <w:proofErr w:type="spellEnd"/>
      <w:r>
        <w:rPr>
          <w:rFonts w:cs="Times New Roman"/>
          <w:szCs w:val="24"/>
        </w:rPr>
        <w:t xml:space="preserve">, ao nomear as teodiceias como forma de mentalidade religiosa que justifica a condição social pela </w:t>
      </w:r>
      <w:r w:rsidRPr="00AA1763">
        <w:rPr>
          <w:rFonts w:cs="Times New Roman"/>
          <w:szCs w:val="24"/>
        </w:rPr>
        <w:t xml:space="preserve">substituição das causas </w:t>
      </w:r>
      <w:r>
        <w:rPr>
          <w:rFonts w:cs="Times New Roman"/>
          <w:szCs w:val="24"/>
        </w:rPr>
        <w:t xml:space="preserve">históricas pelas causas divinas (BOURDIEU, </w:t>
      </w:r>
      <w:r w:rsidRPr="00890D8F">
        <w:rPr>
          <w:rFonts w:eastAsia="Times New Roman" w:cs="Calibri"/>
          <w:szCs w:val="24"/>
          <w:lang w:eastAsia="ar-SA"/>
        </w:rPr>
        <w:t>1998: 58-59)</w:t>
      </w:r>
      <w:r w:rsidRPr="00AA1763">
        <w:rPr>
          <w:rFonts w:cs="Times New Roman"/>
          <w:szCs w:val="24"/>
        </w:rPr>
        <w:t xml:space="preserve">. </w:t>
      </w:r>
    </w:p>
    <w:p w:rsidR="00DB1FCF" w:rsidRDefault="00DB1FCF" w:rsidP="00DB1FCF">
      <w:pPr>
        <w:spacing w:before="120" w:after="120" w:line="360" w:lineRule="auto"/>
        <w:ind w:firstLine="360"/>
        <w:jc w:val="both"/>
        <w:rPr>
          <w:rFonts w:cs="Times New Roman"/>
          <w:szCs w:val="24"/>
        </w:rPr>
      </w:pPr>
      <w:r>
        <w:rPr>
          <w:rFonts w:cs="Times New Roman"/>
          <w:szCs w:val="24"/>
        </w:rPr>
        <w:t>A p</w:t>
      </w:r>
      <w:r w:rsidRPr="00AA1763">
        <w:rPr>
          <w:rFonts w:cs="Times New Roman"/>
          <w:szCs w:val="24"/>
        </w:rPr>
        <w:t>olarização desses dois aspectos</w:t>
      </w:r>
      <w:r>
        <w:rPr>
          <w:rFonts w:cs="Times New Roman"/>
          <w:szCs w:val="24"/>
        </w:rPr>
        <w:t xml:space="preserve"> ideológicos, dominação e inversão, geram contudo um paradoxo social, ao fazer</w:t>
      </w:r>
      <w:r w:rsidRPr="00AA1763">
        <w:rPr>
          <w:rFonts w:cs="Times New Roman"/>
          <w:szCs w:val="24"/>
        </w:rPr>
        <w:t xml:space="preserve"> com que a ideologia como sistema que</w:t>
      </w:r>
      <w:r>
        <w:rPr>
          <w:rFonts w:cs="Times New Roman"/>
          <w:szCs w:val="24"/>
        </w:rPr>
        <w:t xml:space="preserve"> promove uma integração social, enquanto crença na própria sociedade, também</w:t>
      </w:r>
      <w:r w:rsidRPr="00AA1763">
        <w:rPr>
          <w:rFonts w:cs="Times New Roman"/>
          <w:szCs w:val="24"/>
        </w:rPr>
        <w:t xml:space="preserve"> se torne um </w:t>
      </w:r>
      <w:r w:rsidRPr="005F4E68">
        <w:rPr>
          <w:rFonts w:cs="Times New Roman"/>
          <w:szCs w:val="24"/>
        </w:rPr>
        <w:t>fator de contradição</w:t>
      </w:r>
      <w:r w:rsidRPr="00AA1763">
        <w:rPr>
          <w:rFonts w:cs="Times New Roman"/>
          <w:szCs w:val="24"/>
        </w:rPr>
        <w:t xml:space="preserve"> porque divide a sociedade, sendo o fenômeno mais drástico a </w:t>
      </w:r>
      <w:r w:rsidRPr="005F4E68">
        <w:rPr>
          <w:rFonts w:cs="Times New Roman"/>
          <w:szCs w:val="24"/>
        </w:rPr>
        <w:t>violência</w:t>
      </w:r>
      <w:r>
        <w:rPr>
          <w:rFonts w:cs="Times New Roman"/>
          <w:szCs w:val="24"/>
        </w:rPr>
        <w:t xml:space="preserve">, coincidindo com o que </w:t>
      </w:r>
      <w:r w:rsidRPr="00AA1763">
        <w:rPr>
          <w:rFonts w:cs="Times New Roman"/>
          <w:szCs w:val="24"/>
        </w:rPr>
        <w:t xml:space="preserve">Habermas </w:t>
      </w:r>
      <w:r>
        <w:rPr>
          <w:rFonts w:cs="Times New Roman"/>
          <w:szCs w:val="24"/>
        </w:rPr>
        <w:t>chamou de</w:t>
      </w:r>
      <w:r w:rsidRPr="00AA1763">
        <w:rPr>
          <w:rFonts w:cs="Times New Roman"/>
          <w:szCs w:val="24"/>
        </w:rPr>
        <w:t xml:space="preserve"> </w:t>
      </w:r>
      <w:r w:rsidRPr="005F4E68">
        <w:rPr>
          <w:rFonts w:cs="Times New Roman"/>
          <w:szCs w:val="24"/>
        </w:rPr>
        <w:t>lógica de excomunhão</w:t>
      </w:r>
      <w:r>
        <w:rPr>
          <w:rFonts w:cs="Times New Roman"/>
          <w:szCs w:val="24"/>
        </w:rPr>
        <w:t>, em que a solução para os conflitos reais é deslocada para a culpabilidade de um grupo como responsável pelo problemas da sociedade.</w:t>
      </w:r>
    </w:p>
    <w:p w:rsidR="00DB1FCF" w:rsidRDefault="00B614C1" w:rsidP="00DB1FCF">
      <w:pPr>
        <w:spacing w:before="120" w:after="120" w:line="360" w:lineRule="auto"/>
        <w:jc w:val="both"/>
        <w:rPr>
          <w:rFonts w:cs="Times New Roman"/>
          <w:b/>
          <w:szCs w:val="24"/>
        </w:rPr>
      </w:pPr>
      <w:r w:rsidRPr="00B614C1">
        <w:rPr>
          <w:rFonts w:cs="Times New Roman"/>
          <w:b/>
          <w:szCs w:val="24"/>
        </w:rPr>
        <w:t>3.</w:t>
      </w:r>
      <w:r>
        <w:rPr>
          <w:rFonts w:cs="Times New Roman"/>
          <w:b/>
          <w:szCs w:val="24"/>
        </w:rPr>
        <w:t xml:space="preserve"> O compromisso social e</w:t>
      </w:r>
      <w:r w:rsidRPr="00B614C1">
        <w:rPr>
          <w:rFonts w:cs="Times New Roman"/>
          <w:b/>
          <w:szCs w:val="24"/>
        </w:rPr>
        <w:t xml:space="preserve">ntre </w:t>
      </w:r>
      <w:proofErr w:type="spellStart"/>
      <w:r w:rsidRPr="00B614C1">
        <w:rPr>
          <w:rFonts w:cs="Times New Roman"/>
          <w:b/>
          <w:szCs w:val="24"/>
        </w:rPr>
        <w:t>ideologemas</w:t>
      </w:r>
      <w:proofErr w:type="spellEnd"/>
      <w:r w:rsidRPr="00B614C1">
        <w:rPr>
          <w:rFonts w:cs="Times New Roman"/>
          <w:b/>
          <w:szCs w:val="24"/>
        </w:rPr>
        <w:t xml:space="preserve"> e narrativas bíblicas</w:t>
      </w:r>
    </w:p>
    <w:p w:rsidR="00B614C1" w:rsidRDefault="00B614C1" w:rsidP="00B614C1">
      <w:pPr>
        <w:spacing w:before="120" w:after="120" w:line="360" w:lineRule="auto"/>
        <w:ind w:firstLine="708"/>
        <w:jc w:val="both"/>
        <w:rPr>
          <w:rFonts w:cs="Times New Roman"/>
          <w:szCs w:val="24"/>
        </w:rPr>
      </w:pPr>
      <w:r>
        <w:rPr>
          <w:rFonts w:cs="Times New Roman"/>
          <w:szCs w:val="24"/>
        </w:rPr>
        <w:t xml:space="preserve">Tanto a análise de Jameson quanto a de Ricoeur apontam para o risco </w:t>
      </w:r>
      <w:proofErr w:type="gramStart"/>
      <w:r>
        <w:rPr>
          <w:rFonts w:cs="Times New Roman"/>
          <w:szCs w:val="24"/>
        </w:rPr>
        <w:t>dos</w:t>
      </w:r>
      <w:proofErr w:type="gramEnd"/>
      <w:r>
        <w:rPr>
          <w:rFonts w:cs="Times New Roman"/>
          <w:szCs w:val="24"/>
        </w:rPr>
        <w:t xml:space="preserve"> processos ideológicos resultarem no fenômeno da violência. A promoção de um discurso de </w:t>
      </w:r>
      <w:r w:rsidRPr="005F4E68">
        <w:rPr>
          <w:rFonts w:cs="Times New Roman"/>
          <w:szCs w:val="24"/>
        </w:rPr>
        <w:t>violência e não raro de ódio</w:t>
      </w:r>
      <w:r>
        <w:rPr>
          <w:rFonts w:cs="Times New Roman"/>
          <w:szCs w:val="24"/>
        </w:rPr>
        <w:t xml:space="preserve"> pode ser visto como um</w:t>
      </w:r>
      <w:r w:rsidRPr="00AA1763">
        <w:rPr>
          <w:rFonts w:cs="Times New Roman"/>
          <w:b/>
          <w:szCs w:val="24"/>
        </w:rPr>
        <w:t xml:space="preserve"> </w:t>
      </w:r>
      <w:r w:rsidRPr="00AA1763">
        <w:rPr>
          <w:rFonts w:cs="Times New Roman"/>
          <w:i/>
          <w:szCs w:val="24"/>
        </w:rPr>
        <w:t>sintoma de um conflito</w:t>
      </w:r>
      <w:r w:rsidRPr="00AA1763">
        <w:rPr>
          <w:rFonts w:cs="Times New Roman"/>
          <w:szCs w:val="24"/>
        </w:rPr>
        <w:t xml:space="preserve"> entre a </w:t>
      </w:r>
      <w:r w:rsidRPr="005F4E68">
        <w:rPr>
          <w:rFonts w:cs="Times New Roman"/>
          <w:i/>
          <w:szCs w:val="24"/>
        </w:rPr>
        <w:t>necessidade</w:t>
      </w:r>
      <w:r w:rsidRPr="00AA1763">
        <w:rPr>
          <w:rFonts w:cs="Times New Roman"/>
          <w:szCs w:val="24"/>
        </w:rPr>
        <w:t xml:space="preserve"> (aquilo que dói</w:t>
      </w:r>
      <w:r>
        <w:rPr>
          <w:rFonts w:cs="Times New Roman"/>
          <w:szCs w:val="24"/>
        </w:rPr>
        <w:t xml:space="preserve"> na história do povo</w:t>
      </w:r>
      <w:r w:rsidRPr="00AA1763">
        <w:rPr>
          <w:rFonts w:cs="Times New Roman"/>
          <w:szCs w:val="24"/>
        </w:rPr>
        <w:t xml:space="preserve">) e os </w:t>
      </w:r>
      <w:r w:rsidRPr="005F4E68">
        <w:rPr>
          <w:rFonts w:cs="Times New Roman"/>
          <w:i/>
          <w:szCs w:val="24"/>
        </w:rPr>
        <w:t>interesses</w:t>
      </w:r>
      <w:r>
        <w:rPr>
          <w:rFonts w:cs="Times New Roman"/>
          <w:szCs w:val="24"/>
        </w:rPr>
        <w:t xml:space="preserve"> de quem faz a gestão do poder, mais precisamente entre a necessidade do povo e os interesses de uma classe que chegar a ter um representante nos espaços de poder.</w:t>
      </w:r>
      <w:r w:rsidRPr="00AA1763">
        <w:rPr>
          <w:rFonts w:cs="Times New Roman"/>
          <w:szCs w:val="24"/>
        </w:rPr>
        <w:t xml:space="preserve"> </w:t>
      </w:r>
      <w:r>
        <w:rPr>
          <w:rFonts w:cs="Times New Roman"/>
          <w:szCs w:val="24"/>
        </w:rPr>
        <w:t>O c</w:t>
      </w:r>
      <w:r w:rsidRPr="00AA1763">
        <w:rPr>
          <w:rFonts w:cs="Times New Roman"/>
          <w:szCs w:val="24"/>
        </w:rPr>
        <w:t>o</w:t>
      </w:r>
      <w:r>
        <w:rPr>
          <w:rFonts w:cs="Times New Roman"/>
          <w:szCs w:val="24"/>
        </w:rPr>
        <w:t xml:space="preserve">nflito é distinto do confronto, sendo o </w:t>
      </w:r>
      <w:proofErr w:type="gramStart"/>
      <w:r>
        <w:rPr>
          <w:rFonts w:cs="Times New Roman"/>
          <w:szCs w:val="24"/>
        </w:rPr>
        <w:t>primeiro parte</w:t>
      </w:r>
      <w:proofErr w:type="gramEnd"/>
      <w:r>
        <w:rPr>
          <w:rFonts w:cs="Times New Roman"/>
          <w:szCs w:val="24"/>
        </w:rPr>
        <w:t xml:space="preserve"> da condição humana, dada a diferença de perspectivas e experiências sociais e culturais, porém </w:t>
      </w:r>
      <w:r w:rsidRPr="00AA1763">
        <w:rPr>
          <w:rFonts w:cs="Times New Roman"/>
          <w:szCs w:val="24"/>
        </w:rPr>
        <w:t xml:space="preserve">não ouvir o conflito </w:t>
      </w:r>
      <w:r>
        <w:rPr>
          <w:rFonts w:cs="Times New Roman"/>
          <w:szCs w:val="24"/>
        </w:rPr>
        <w:t xml:space="preserve">é um fator promotor de confronto, quando não </w:t>
      </w:r>
      <w:proofErr w:type="spellStart"/>
      <w:r>
        <w:rPr>
          <w:rFonts w:cs="Times New Roman"/>
          <w:szCs w:val="24"/>
        </w:rPr>
        <w:t>criminógeno</w:t>
      </w:r>
      <w:proofErr w:type="spellEnd"/>
      <w:r>
        <w:rPr>
          <w:rFonts w:cs="Times New Roman"/>
          <w:szCs w:val="24"/>
        </w:rPr>
        <w:t>.</w:t>
      </w:r>
    </w:p>
    <w:p w:rsidR="00B614C1" w:rsidRDefault="00B614C1" w:rsidP="00B614C1">
      <w:pPr>
        <w:spacing w:before="120" w:after="120" w:line="360" w:lineRule="auto"/>
        <w:jc w:val="both"/>
        <w:rPr>
          <w:rFonts w:cs="Times New Roman"/>
          <w:szCs w:val="24"/>
        </w:rPr>
      </w:pPr>
      <w:r>
        <w:rPr>
          <w:rFonts w:cs="Times New Roman"/>
          <w:szCs w:val="24"/>
        </w:rPr>
        <w:tab/>
        <w:t xml:space="preserve">Pensando com Jameson e Ricoeur os atos políticos são apresentados a sociedade em forma de crônicas pelos meios de comunicação, especialmente os meios de comunicação de massa, enquanto função retórica da ideologia e possuem sua intencionalidade dirigida a determinados </w:t>
      </w:r>
      <w:proofErr w:type="spellStart"/>
      <w:r>
        <w:rPr>
          <w:rFonts w:cs="Times New Roman"/>
          <w:szCs w:val="24"/>
        </w:rPr>
        <w:t>ideologemas</w:t>
      </w:r>
      <w:proofErr w:type="spellEnd"/>
      <w:r>
        <w:rPr>
          <w:rFonts w:cs="Times New Roman"/>
          <w:szCs w:val="24"/>
        </w:rPr>
        <w:t xml:space="preserve">, tidos como uma espécie de credo que substitui a reflexão, em detrimento de outros. Tais </w:t>
      </w:r>
      <w:proofErr w:type="spellStart"/>
      <w:r>
        <w:rPr>
          <w:rFonts w:cs="Times New Roman"/>
          <w:szCs w:val="24"/>
        </w:rPr>
        <w:t>ideologemas</w:t>
      </w:r>
      <w:proofErr w:type="spellEnd"/>
      <w:r>
        <w:rPr>
          <w:rFonts w:cs="Times New Roman"/>
          <w:szCs w:val="24"/>
        </w:rPr>
        <w:t xml:space="preserve"> são recebidos dentro da ambiguidade natural do âmbito social como forma de um inconsciente político no qual os </w:t>
      </w:r>
      <w:proofErr w:type="spellStart"/>
      <w:r>
        <w:rPr>
          <w:rFonts w:cs="Times New Roman"/>
          <w:szCs w:val="24"/>
        </w:rPr>
        <w:t>ideologemas</w:t>
      </w:r>
      <w:proofErr w:type="spellEnd"/>
      <w:r>
        <w:rPr>
          <w:rFonts w:cs="Times New Roman"/>
          <w:szCs w:val="24"/>
        </w:rPr>
        <w:t xml:space="preserve">, </w:t>
      </w:r>
      <w:proofErr w:type="spellStart"/>
      <w:r>
        <w:rPr>
          <w:rFonts w:cs="Times New Roman"/>
          <w:szCs w:val="24"/>
        </w:rPr>
        <w:t>anti</w:t>
      </w:r>
      <w:proofErr w:type="spellEnd"/>
      <w:r>
        <w:rPr>
          <w:rFonts w:cs="Times New Roman"/>
          <w:szCs w:val="24"/>
        </w:rPr>
        <w:t xml:space="preserve"> e pró-direita ou </w:t>
      </w:r>
      <w:proofErr w:type="spellStart"/>
      <w:r>
        <w:rPr>
          <w:rFonts w:cs="Times New Roman"/>
          <w:szCs w:val="24"/>
        </w:rPr>
        <w:t>anti</w:t>
      </w:r>
      <w:proofErr w:type="spellEnd"/>
      <w:r>
        <w:rPr>
          <w:rFonts w:cs="Times New Roman"/>
          <w:szCs w:val="24"/>
        </w:rPr>
        <w:t xml:space="preserve"> e pró-esquerda são aceitos ou não dentro de um sistema de crença, dispensando a criticidade racional a adesão a essas crenças. Aqui cabe a expressão de senso comum ao identificar algum “discurso ideológico”, que optamos pelo conceito </w:t>
      </w:r>
      <w:proofErr w:type="spellStart"/>
      <w:r>
        <w:rPr>
          <w:rFonts w:cs="Times New Roman"/>
          <w:szCs w:val="24"/>
        </w:rPr>
        <w:t>jamesoniano</w:t>
      </w:r>
      <w:proofErr w:type="spellEnd"/>
      <w:r>
        <w:rPr>
          <w:rFonts w:cs="Times New Roman"/>
          <w:szCs w:val="24"/>
        </w:rPr>
        <w:t xml:space="preserve"> de </w:t>
      </w:r>
      <w:proofErr w:type="spellStart"/>
      <w:r>
        <w:rPr>
          <w:rFonts w:cs="Times New Roman"/>
          <w:szCs w:val="24"/>
        </w:rPr>
        <w:t>ideologemas</w:t>
      </w:r>
      <w:proofErr w:type="spellEnd"/>
      <w:r>
        <w:rPr>
          <w:rFonts w:cs="Times New Roman"/>
          <w:szCs w:val="24"/>
        </w:rPr>
        <w:t xml:space="preserve">, por ser menos ambíguo. O limite da análise marxista, segundo Ricoeur, é achar que uma parte da sociedade poderia estar imune aos processos ideológicos, mas ao contrário </w:t>
      </w:r>
      <w:r>
        <w:rPr>
          <w:rFonts w:cs="Times New Roman"/>
          <w:szCs w:val="24"/>
        </w:rPr>
        <w:lastRenderedPageBreak/>
        <w:t xml:space="preserve">a ideologia é inclusive necessária para a consolidação de uma tradição política, quer seja mais conservadora, quer seja mais progressista. </w:t>
      </w:r>
    </w:p>
    <w:p w:rsidR="00B614C1" w:rsidRDefault="00B614C1" w:rsidP="00B614C1">
      <w:pPr>
        <w:spacing w:before="120" w:after="120" w:line="360" w:lineRule="auto"/>
        <w:jc w:val="both"/>
        <w:rPr>
          <w:rFonts w:cs="Times New Roman"/>
          <w:szCs w:val="24"/>
        </w:rPr>
      </w:pPr>
      <w:r>
        <w:rPr>
          <w:rFonts w:cs="Times New Roman"/>
          <w:szCs w:val="24"/>
        </w:rPr>
        <w:tab/>
        <w:t xml:space="preserve">O problema então não reside no fato da existência de ideologias, mas sim na substituição radical de um sistema de reflexão sobre a realidade e suas consequências sociais dos processos históricos por um sistema de crenças a ponto de instalar a dissimulação diante da crítica e das necessidades históricas, ou ainda para falar como Jameson, a dissimulação diante da dor daqueles que mais sofrem com as necessidades impostas a muitos pelos meios de produção que beneficiam a poucos. Neste momento passa-se a debater sobre veracidade ou mentira a respeito dos </w:t>
      </w:r>
      <w:proofErr w:type="spellStart"/>
      <w:r>
        <w:rPr>
          <w:rFonts w:cs="Times New Roman"/>
          <w:szCs w:val="24"/>
        </w:rPr>
        <w:t>ideologemas</w:t>
      </w:r>
      <w:proofErr w:type="spellEnd"/>
      <w:r>
        <w:rPr>
          <w:rFonts w:cs="Times New Roman"/>
          <w:szCs w:val="24"/>
        </w:rPr>
        <w:t xml:space="preserve">, procurando condenações de outrem justificadoras do próprio </w:t>
      </w:r>
      <w:proofErr w:type="spellStart"/>
      <w:r>
        <w:rPr>
          <w:rFonts w:cs="Times New Roman"/>
          <w:szCs w:val="24"/>
        </w:rPr>
        <w:t>ideologema</w:t>
      </w:r>
      <w:proofErr w:type="spellEnd"/>
      <w:r>
        <w:rPr>
          <w:rFonts w:cs="Times New Roman"/>
          <w:szCs w:val="24"/>
        </w:rPr>
        <w:t xml:space="preserve">, ao invés de focar os debates nos reais sintomas das necessidades históricas, debate esse que desvela muito mais a intenção de ocupar espaços de poder do que uma disposição efetiva para procurar resoluções concretas para a sociedade, que só ocorre em períodos eleitorais, em que os extremos tendem ao centro, incorporando em seus respectivos </w:t>
      </w:r>
      <w:proofErr w:type="spellStart"/>
      <w:r>
        <w:rPr>
          <w:rFonts w:cs="Times New Roman"/>
          <w:szCs w:val="24"/>
        </w:rPr>
        <w:t>ideologemas</w:t>
      </w:r>
      <w:proofErr w:type="spellEnd"/>
      <w:r>
        <w:rPr>
          <w:rFonts w:cs="Times New Roman"/>
          <w:szCs w:val="24"/>
        </w:rPr>
        <w:t xml:space="preserve"> até mesmo as  agendas de outro cenário político, a fim de sensibilizar o eleitorado e assim ocupar os espaços de poder. </w:t>
      </w:r>
    </w:p>
    <w:p w:rsidR="00B614C1" w:rsidRDefault="00B614C1" w:rsidP="00B614C1">
      <w:pPr>
        <w:spacing w:before="120" w:after="120" w:line="360" w:lineRule="auto"/>
        <w:jc w:val="both"/>
        <w:rPr>
          <w:rFonts w:cs="Times New Roman"/>
          <w:szCs w:val="24"/>
        </w:rPr>
      </w:pPr>
      <w:r>
        <w:rPr>
          <w:rFonts w:cs="Times New Roman"/>
          <w:szCs w:val="24"/>
        </w:rPr>
        <w:tab/>
        <w:t xml:space="preserve">Deste modo, as os discursos religiosos que pululam o cenário social, cultural e políticos, na medida em que polarizam um sistema de crença em detrimento a reflexão, se tornam </w:t>
      </w:r>
      <w:proofErr w:type="spellStart"/>
      <w:r>
        <w:rPr>
          <w:rFonts w:cs="Times New Roman"/>
          <w:szCs w:val="24"/>
        </w:rPr>
        <w:t>ideologemas</w:t>
      </w:r>
      <w:proofErr w:type="spellEnd"/>
      <w:r>
        <w:rPr>
          <w:rFonts w:cs="Times New Roman"/>
          <w:szCs w:val="24"/>
        </w:rPr>
        <w:t xml:space="preserve"> que dissimulam o debate e acreditam ingenuamente ou convenientemente. O </w:t>
      </w:r>
      <w:proofErr w:type="spellStart"/>
      <w:r>
        <w:rPr>
          <w:rFonts w:cs="Times New Roman"/>
          <w:szCs w:val="24"/>
        </w:rPr>
        <w:t>ideologema</w:t>
      </w:r>
      <w:proofErr w:type="spellEnd"/>
      <w:r>
        <w:rPr>
          <w:rFonts w:cs="Times New Roman"/>
          <w:szCs w:val="24"/>
        </w:rPr>
        <w:t xml:space="preserve"> é refratário a autocrítica e os </w:t>
      </w:r>
      <w:proofErr w:type="spellStart"/>
      <w:r>
        <w:rPr>
          <w:rFonts w:cs="Times New Roman"/>
          <w:szCs w:val="24"/>
        </w:rPr>
        <w:t>ideologemas</w:t>
      </w:r>
      <w:proofErr w:type="spellEnd"/>
      <w:r>
        <w:rPr>
          <w:rFonts w:cs="Times New Roman"/>
          <w:szCs w:val="24"/>
        </w:rPr>
        <w:t xml:space="preserve"> religiosas evocam razões divinas para a dissimulação. </w:t>
      </w:r>
    </w:p>
    <w:p w:rsidR="00B614C1" w:rsidRDefault="00B614C1" w:rsidP="00B614C1">
      <w:pPr>
        <w:spacing w:before="120" w:after="120" w:line="360" w:lineRule="auto"/>
        <w:ind w:firstLine="708"/>
        <w:jc w:val="both"/>
        <w:rPr>
          <w:rFonts w:cs="Times New Roman"/>
          <w:szCs w:val="24"/>
        </w:rPr>
      </w:pPr>
      <w:r>
        <w:rPr>
          <w:rFonts w:cs="Times New Roman"/>
          <w:szCs w:val="24"/>
        </w:rPr>
        <w:t xml:space="preserve">A divisão bipolar entre esquerda e direita, por exemplo, </w:t>
      </w:r>
      <w:r w:rsidR="00523D7D">
        <w:rPr>
          <w:rFonts w:cs="Times New Roman"/>
          <w:szCs w:val="24"/>
        </w:rPr>
        <w:t xml:space="preserve">não são o essencial para a hermenêutica teológica que o Cristianismo desenvolveu na ocasião da Revolução Industrial, como fator de transformação social, mas sim, a </w:t>
      </w:r>
      <w:r w:rsidRPr="00B614C1">
        <w:rPr>
          <w:rFonts w:cs="Times New Roman"/>
          <w:szCs w:val="24"/>
        </w:rPr>
        <w:t xml:space="preserve">posição </w:t>
      </w:r>
      <w:r w:rsidR="00523D7D">
        <w:rPr>
          <w:rFonts w:cs="Times New Roman"/>
          <w:szCs w:val="24"/>
        </w:rPr>
        <w:t xml:space="preserve">contrária </w:t>
      </w:r>
      <w:r w:rsidRPr="00B614C1">
        <w:rPr>
          <w:rFonts w:cs="Times New Roman"/>
          <w:szCs w:val="24"/>
        </w:rPr>
        <w:t>de um grupo que entend</w:t>
      </w:r>
      <w:r w:rsidR="00523D7D">
        <w:rPr>
          <w:rFonts w:cs="Times New Roman"/>
          <w:szCs w:val="24"/>
        </w:rPr>
        <w:t>ia</w:t>
      </w:r>
      <w:r w:rsidRPr="00B614C1">
        <w:rPr>
          <w:rFonts w:cs="Times New Roman"/>
          <w:szCs w:val="24"/>
        </w:rPr>
        <w:t xml:space="preserve"> a desigualdade social como natural (</w:t>
      </w:r>
      <w:r w:rsidR="00523D7D">
        <w:rPr>
          <w:rFonts w:cs="Times New Roman"/>
          <w:szCs w:val="24"/>
        </w:rPr>
        <w:t xml:space="preserve">chamado no século XVIII de </w:t>
      </w:r>
      <w:r w:rsidRPr="00B614C1">
        <w:rPr>
          <w:rFonts w:cs="Times New Roman"/>
          <w:szCs w:val="24"/>
        </w:rPr>
        <w:t>direita), e dela se serv</w:t>
      </w:r>
      <w:r w:rsidR="00523D7D">
        <w:rPr>
          <w:rFonts w:cs="Times New Roman"/>
          <w:szCs w:val="24"/>
        </w:rPr>
        <w:t>ia</w:t>
      </w:r>
      <w:r w:rsidRPr="00B614C1">
        <w:rPr>
          <w:rFonts w:cs="Times New Roman"/>
          <w:szCs w:val="24"/>
        </w:rPr>
        <w:t xml:space="preserve">, e </w:t>
      </w:r>
      <w:r w:rsidR="00523D7D">
        <w:rPr>
          <w:rFonts w:cs="Times New Roman"/>
          <w:szCs w:val="24"/>
        </w:rPr>
        <w:t xml:space="preserve">o alinhamento de perspectiva de </w:t>
      </w:r>
      <w:r w:rsidRPr="00B614C1">
        <w:rPr>
          <w:rFonts w:cs="Times New Roman"/>
          <w:szCs w:val="24"/>
        </w:rPr>
        <w:t>um outro grupo que a compreend</w:t>
      </w:r>
      <w:r w:rsidR="00523D7D">
        <w:rPr>
          <w:rFonts w:cs="Times New Roman"/>
          <w:szCs w:val="24"/>
        </w:rPr>
        <w:t>ia</w:t>
      </w:r>
      <w:r w:rsidRPr="00B614C1">
        <w:rPr>
          <w:rFonts w:cs="Times New Roman"/>
          <w:szCs w:val="24"/>
        </w:rPr>
        <w:t xml:space="preserve"> como um processo histórico e social que deve</w:t>
      </w:r>
      <w:r w:rsidR="00523D7D">
        <w:rPr>
          <w:rFonts w:cs="Times New Roman"/>
          <w:szCs w:val="24"/>
        </w:rPr>
        <w:t>ria</w:t>
      </w:r>
      <w:r w:rsidRPr="00B614C1">
        <w:rPr>
          <w:rFonts w:cs="Times New Roman"/>
          <w:szCs w:val="24"/>
        </w:rPr>
        <w:t xml:space="preserve"> ser enfrentando (</w:t>
      </w:r>
      <w:r w:rsidR="00523D7D">
        <w:rPr>
          <w:rFonts w:cs="Times New Roman"/>
          <w:szCs w:val="24"/>
        </w:rPr>
        <w:t xml:space="preserve">chamado na ocasião de </w:t>
      </w:r>
      <w:r w:rsidRPr="00B614C1">
        <w:rPr>
          <w:rFonts w:cs="Times New Roman"/>
          <w:szCs w:val="24"/>
        </w:rPr>
        <w:t>esquerda).</w:t>
      </w:r>
      <w:r w:rsidR="00523D7D">
        <w:rPr>
          <w:rFonts w:cs="Times New Roman"/>
          <w:szCs w:val="24"/>
        </w:rPr>
        <w:t xml:space="preserve"> Dito de outro modo, o Cristianismo não é nem de direita e nem de esquerdas, o que resultaria na redução de narrativas bíblicas a </w:t>
      </w:r>
      <w:proofErr w:type="spellStart"/>
      <w:r w:rsidR="00523D7D">
        <w:rPr>
          <w:rFonts w:cs="Times New Roman"/>
          <w:szCs w:val="24"/>
        </w:rPr>
        <w:t>ideologemas</w:t>
      </w:r>
      <w:proofErr w:type="spellEnd"/>
      <w:r w:rsidR="00523D7D">
        <w:rPr>
          <w:rFonts w:cs="Times New Roman"/>
          <w:szCs w:val="24"/>
        </w:rPr>
        <w:t xml:space="preserve">, mas o Cristianismo se entendeu como um fator cultural e social  de combate à desigualdade social, ou dito </w:t>
      </w:r>
      <w:proofErr w:type="spellStart"/>
      <w:r w:rsidR="00523D7D">
        <w:rPr>
          <w:rFonts w:cs="Times New Roman"/>
          <w:szCs w:val="24"/>
        </w:rPr>
        <w:t>jamesonianamente</w:t>
      </w:r>
      <w:proofErr w:type="spellEnd"/>
      <w:r w:rsidR="00523D7D">
        <w:rPr>
          <w:rFonts w:cs="Times New Roman"/>
          <w:szCs w:val="24"/>
        </w:rPr>
        <w:t xml:space="preserve">, o Cristianismo se propôs a escutar a dor da história, enquanto necessidades históricas não </w:t>
      </w:r>
      <w:proofErr w:type="spellStart"/>
      <w:r w:rsidR="00523D7D">
        <w:rPr>
          <w:rFonts w:cs="Times New Roman"/>
          <w:szCs w:val="24"/>
        </w:rPr>
        <w:t>atendidades</w:t>
      </w:r>
      <w:proofErr w:type="spellEnd"/>
      <w:r w:rsidR="00523D7D">
        <w:rPr>
          <w:rFonts w:cs="Times New Roman"/>
          <w:szCs w:val="24"/>
        </w:rPr>
        <w:t xml:space="preserve">. </w:t>
      </w:r>
    </w:p>
    <w:p w:rsidR="00B614C1" w:rsidRDefault="00B614C1" w:rsidP="00B614C1">
      <w:pPr>
        <w:spacing w:before="120" w:after="120" w:line="360" w:lineRule="auto"/>
        <w:ind w:firstLine="708"/>
        <w:jc w:val="both"/>
        <w:rPr>
          <w:rFonts w:cs="Times New Roman"/>
          <w:szCs w:val="24"/>
        </w:rPr>
      </w:pPr>
      <w:r>
        <w:rPr>
          <w:rFonts w:cs="Times New Roman"/>
          <w:szCs w:val="24"/>
        </w:rPr>
        <w:lastRenderedPageBreak/>
        <w:t xml:space="preserve"> Se impõe ainda, na perspectiva </w:t>
      </w:r>
      <w:proofErr w:type="spellStart"/>
      <w:r>
        <w:rPr>
          <w:rFonts w:cs="Times New Roman"/>
          <w:szCs w:val="24"/>
        </w:rPr>
        <w:t>ricoeuriana</w:t>
      </w:r>
      <w:proofErr w:type="spellEnd"/>
      <w:r>
        <w:rPr>
          <w:rFonts w:cs="Times New Roman"/>
          <w:szCs w:val="24"/>
        </w:rPr>
        <w:t xml:space="preserve">, duas falsas ideologias, enquanto “concepção cega” ou “falsificadora” da realidade, que são, todavia, mais promotoras de violência do que catalisadoras de reais soluções, a saber: 1) a </w:t>
      </w:r>
      <w:r w:rsidRPr="00CA2F6F">
        <w:rPr>
          <w:rFonts w:cs="Times New Roman"/>
          <w:i/>
          <w:szCs w:val="24"/>
        </w:rPr>
        <w:t>ideologia do diálogo a qualquer preço</w:t>
      </w:r>
      <w:r>
        <w:rPr>
          <w:rFonts w:cs="Times New Roman"/>
          <w:szCs w:val="24"/>
        </w:rPr>
        <w:t xml:space="preserve">, a ponto </w:t>
      </w:r>
      <w:r w:rsidRPr="00AA1763">
        <w:rPr>
          <w:rFonts w:cs="Times New Roman"/>
          <w:szCs w:val="24"/>
        </w:rPr>
        <w:t xml:space="preserve">inclusive </w:t>
      </w:r>
      <w:r>
        <w:rPr>
          <w:rFonts w:cs="Times New Roman"/>
          <w:szCs w:val="24"/>
        </w:rPr>
        <w:t xml:space="preserve">de negar a gravidade do conflito, insistindo em uma espécie de </w:t>
      </w:r>
      <w:proofErr w:type="spellStart"/>
      <w:r>
        <w:rPr>
          <w:rFonts w:cs="Times New Roman"/>
          <w:szCs w:val="24"/>
        </w:rPr>
        <w:t>irenismo</w:t>
      </w:r>
      <w:proofErr w:type="spellEnd"/>
      <w:r>
        <w:rPr>
          <w:rFonts w:cs="Times New Roman"/>
          <w:szCs w:val="24"/>
        </w:rPr>
        <w:t xml:space="preserve"> ou de política sem conflito, no qual não raro acaba por gerar mais violência ao promover um consenso com o silenciamento de quem sofre e/ou discorda, e; 2) a </w:t>
      </w:r>
      <w:r w:rsidRPr="00AA1763">
        <w:rPr>
          <w:rFonts w:cs="Times New Roman"/>
          <w:szCs w:val="24"/>
        </w:rPr>
        <w:t>ideologia do confronto a qualquer</w:t>
      </w:r>
      <w:r>
        <w:rPr>
          <w:rFonts w:cs="Times New Roman"/>
          <w:szCs w:val="24"/>
        </w:rPr>
        <w:t xml:space="preserve"> preço no qual se exclui a possibilidade do diálogo e não raro se volta a um ideal perdido, insistindo naquilo que não deu certo na história, por falta de radicalidade. O primeiro é mais próprio do cristianismo, e o segundo, mais próprio do marxismo. </w:t>
      </w:r>
    </w:p>
    <w:p w:rsidR="00523D7D" w:rsidRPr="00AA1763" w:rsidRDefault="00523D7D" w:rsidP="00523D7D">
      <w:pPr>
        <w:spacing w:before="120" w:after="120" w:line="360" w:lineRule="auto"/>
        <w:jc w:val="both"/>
        <w:rPr>
          <w:rFonts w:cs="Times New Roman"/>
          <w:szCs w:val="24"/>
        </w:rPr>
      </w:pPr>
      <w:r>
        <w:rPr>
          <w:rFonts w:cs="Times New Roman"/>
          <w:b/>
          <w:szCs w:val="24"/>
        </w:rPr>
        <w:tab/>
      </w:r>
      <w:r>
        <w:rPr>
          <w:rFonts w:cs="Times New Roman"/>
          <w:szCs w:val="24"/>
        </w:rPr>
        <w:t xml:space="preserve">Mesmo a reflexão crítica pensa a partir da ideologia e em sua busca de honestidade intelectual mantem uma relação de autocrítica a mesma e abertura ao debate. O risco ideológico se dá quando um sistema de crença se torna um </w:t>
      </w:r>
      <w:r w:rsidRPr="00AA1763">
        <w:rPr>
          <w:rFonts w:cs="Times New Roman"/>
          <w:szCs w:val="24"/>
        </w:rPr>
        <w:t xml:space="preserve">instrumental de </w:t>
      </w:r>
      <w:proofErr w:type="spellStart"/>
      <w:r w:rsidRPr="00AA1763">
        <w:rPr>
          <w:rFonts w:cs="Times New Roman"/>
          <w:szCs w:val="24"/>
        </w:rPr>
        <w:t>hegemônia</w:t>
      </w:r>
      <w:proofErr w:type="spellEnd"/>
      <w:r>
        <w:rPr>
          <w:rFonts w:cs="Times New Roman"/>
          <w:szCs w:val="24"/>
        </w:rPr>
        <w:t xml:space="preserve">, enquanto função de dominação, resultando em formas de totalitarismo alimentadas por fundamentalismos, que podem ser tanto de direita como foi o fascismo e o nazismo, como de esquerda como o stalinismo, ou ainda religiosas como o </w:t>
      </w:r>
      <w:proofErr w:type="spellStart"/>
      <w:r>
        <w:rPr>
          <w:rFonts w:cs="Times New Roman"/>
          <w:szCs w:val="24"/>
        </w:rPr>
        <w:t>jihadismo</w:t>
      </w:r>
      <w:proofErr w:type="spellEnd"/>
      <w:r>
        <w:rPr>
          <w:rFonts w:cs="Times New Roman"/>
          <w:szCs w:val="24"/>
        </w:rPr>
        <w:t xml:space="preserve"> do Estado Islâmico. Vale ainda citar a indústria cultural que não somente conta como o uso de </w:t>
      </w:r>
      <w:proofErr w:type="spellStart"/>
      <w:r>
        <w:rPr>
          <w:rFonts w:cs="Times New Roman"/>
          <w:szCs w:val="24"/>
        </w:rPr>
        <w:t>ideologemas</w:t>
      </w:r>
      <w:proofErr w:type="spellEnd"/>
      <w:r>
        <w:rPr>
          <w:rFonts w:cs="Times New Roman"/>
          <w:szCs w:val="24"/>
        </w:rPr>
        <w:t>, como também não elimina o antagonismo social, mas dele</w:t>
      </w:r>
      <w:r w:rsidRPr="00AA1763">
        <w:rPr>
          <w:rFonts w:cs="Times New Roman"/>
          <w:szCs w:val="24"/>
        </w:rPr>
        <w:t xml:space="preserve"> se aproveita</w:t>
      </w:r>
      <w:r>
        <w:rPr>
          <w:rFonts w:cs="Times New Roman"/>
          <w:szCs w:val="24"/>
        </w:rPr>
        <w:t>.</w:t>
      </w:r>
      <w:r w:rsidRPr="00AA1763">
        <w:rPr>
          <w:rFonts w:cs="Times New Roman"/>
          <w:szCs w:val="24"/>
        </w:rPr>
        <w:t xml:space="preserve"> </w:t>
      </w:r>
      <w:r>
        <w:rPr>
          <w:rFonts w:cs="Times New Roman"/>
          <w:szCs w:val="24"/>
        </w:rPr>
        <w:t>O v</w:t>
      </w:r>
      <w:r w:rsidRPr="00AA1763">
        <w:rPr>
          <w:rFonts w:cs="Times New Roman"/>
          <w:szCs w:val="24"/>
        </w:rPr>
        <w:t xml:space="preserve">ulgarismo dos </w:t>
      </w:r>
      <w:proofErr w:type="spellStart"/>
      <w:r w:rsidRPr="00AA1763">
        <w:rPr>
          <w:rFonts w:cs="Times New Roman"/>
          <w:szCs w:val="24"/>
        </w:rPr>
        <w:t>ideologemas</w:t>
      </w:r>
      <w:proofErr w:type="spellEnd"/>
      <w:r w:rsidRPr="00AA1763">
        <w:rPr>
          <w:rFonts w:cs="Times New Roman"/>
          <w:szCs w:val="24"/>
        </w:rPr>
        <w:t xml:space="preserve"> não permitem pensar globalmente e agir loc</w:t>
      </w:r>
      <w:r>
        <w:rPr>
          <w:rFonts w:cs="Times New Roman"/>
          <w:szCs w:val="24"/>
        </w:rPr>
        <w:t>almente, mas pensam e agem gener</w:t>
      </w:r>
      <w:r w:rsidRPr="00AA1763">
        <w:rPr>
          <w:rFonts w:cs="Times New Roman"/>
          <w:szCs w:val="24"/>
        </w:rPr>
        <w:t xml:space="preserve">icamente, sem reconhecer os processos históricos (passado-presente-futuro) que causam o conflito. </w:t>
      </w:r>
      <w:r>
        <w:rPr>
          <w:rFonts w:cs="Times New Roman"/>
          <w:szCs w:val="24"/>
        </w:rPr>
        <w:t xml:space="preserve">Quer sejam </w:t>
      </w:r>
      <w:proofErr w:type="spellStart"/>
      <w:r>
        <w:rPr>
          <w:rFonts w:cs="Times New Roman"/>
          <w:szCs w:val="24"/>
        </w:rPr>
        <w:t>ideologemas</w:t>
      </w:r>
      <w:proofErr w:type="spellEnd"/>
      <w:r>
        <w:rPr>
          <w:rFonts w:cs="Times New Roman"/>
          <w:szCs w:val="24"/>
        </w:rPr>
        <w:t xml:space="preserve"> de direita que mantém a crença em uma espécie de </w:t>
      </w:r>
      <w:r w:rsidRPr="00733611">
        <w:rPr>
          <w:rFonts w:cs="Times New Roman"/>
          <w:szCs w:val="24"/>
        </w:rPr>
        <w:t>idealismo aristocrático</w:t>
      </w:r>
      <w:r>
        <w:rPr>
          <w:rFonts w:cs="Times New Roman"/>
          <w:b/>
          <w:i/>
          <w:szCs w:val="24"/>
        </w:rPr>
        <w:t xml:space="preserve"> </w:t>
      </w:r>
      <w:r>
        <w:rPr>
          <w:rFonts w:cs="Times New Roman"/>
          <w:szCs w:val="24"/>
        </w:rPr>
        <w:t xml:space="preserve">de uma elite que quer salvar o povo e para isso apregoa a </w:t>
      </w:r>
      <w:r w:rsidRPr="00733611">
        <w:rPr>
          <w:rFonts w:cs="Times New Roman"/>
          <w:szCs w:val="24"/>
        </w:rPr>
        <w:t>c</w:t>
      </w:r>
      <w:r>
        <w:rPr>
          <w:rFonts w:cs="Times New Roman"/>
          <w:szCs w:val="24"/>
        </w:rPr>
        <w:t>onservação ou a volta d</w:t>
      </w:r>
      <w:r w:rsidRPr="00733611">
        <w:rPr>
          <w:rFonts w:cs="Times New Roman"/>
          <w:szCs w:val="24"/>
        </w:rPr>
        <w:t xml:space="preserve">os costumes que mantinham a ordem e </w:t>
      </w:r>
      <w:r>
        <w:rPr>
          <w:rFonts w:cs="Times New Roman"/>
          <w:szCs w:val="24"/>
        </w:rPr>
        <w:t xml:space="preserve">o </w:t>
      </w:r>
      <w:r w:rsidRPr="00733611">
        <w:rPr>
          <w:rFonts w:cs="Times New Roman"/>
          <w:szCs w:val="24"/>
        </w:rPr>
        <w:t>com</w:t>
      </w:r>
      <w:r>
        <w:rPr>
          <w:rFonts w:cs="Times New Roman"/>
          <w:szCs w:val="24"/>
        </w:rPr>
        <w:t>bate</w:t>
      </w:r>
      <w:r w:rsidRPr="00733611">
        <w:rPr>
          <w:rFonts w:cs="Times New Roman"/>
          <w:szCs w:val="24"/>
        </w:rPr>
        <w:t xml:space="preserve"> aqueles que </w:t>
      </w:r>
      <w:r>
        <w:rPr>
          <w:rFonts w:cs="Times New Roman"/>
          <w:szCs w:val="24"/>
        </w:rPr>
        <w:t xml:space="preserve">deles discordam. Quer sejam </w:t>
      </w:r>
      <w:proofErr w:type="spellStart"/>
      <w:r>
        <w:rPr>
          <w:rFonts w:cs="Times New Roman"/>
          <w:szCs w:val="24"/>
        </w:rPr>
        <w:t>ideologemas</w:t>
      </w:r>
      <w:proofErr w:type="spellEnd"/>
      <w:r>
        <w:rPr>
          <w:rFonts w:cs="Times New Roman"/>
          <w:szCs w:val="24"/>
        </w:rPr>
        <w:t xml:space="preserve"> de esquerda </w:t>
      </w:r>
      <w:r w:rsidRPr="00AA1763">
        <w:rPr>
          <w:rFonts w:cs="Times New Roman"/>
          <w:szCs w:val="24"/>
        </w:rPr>
        <w:t>em forma de protesto contra o sistema, que insiste em formas anteriores de produção (industrias agrícolas e caseiras), alternativas que se desvinculam das instituições, como leitura romântica do passado</w:t>
      </w:r>
      <w:r>
        <w:rPr>
          <w:rFonts w:cs="Times New Roman"/>
          <w:szCs w:val="24"/>
        </w:rPr>
        <w:t>, que não raro, moldam legítimas narrativas proféticas, com perspicácia de diagnóstico, porém com prognósticos por demais utópicos</w:t>
      </w:r>
      <w:r w:rsidRPr="00AA1763">
        <w:rPr>
          <w:rFonts w:cs="Times New Roman"/>
          <w:szCs w:val="24"/>
        </w:rPr>
        <w:t>.</w:t>
      </w:r>
    </w:p>
    <w:p w:rsidR="00523D7D" w:rsidRDefault="00523D7D" w:rsidP="00523D7D">
      <w:pPr>
        <w:spacing w:before="120" w:after="120" w:line="360" w:lineRule="auto"/>
        <w:ind w:firstLine="708"/>
        <w:jc w:val="both"/>
        <w:rPr>
          <w:rFonts w:cs="Times New Roman"/>
          <w:szCs w:val="24"/>
        </w:rPr>
      </w:pPr>
      <w:r w:rsidRPr="00733611">
        <w:rPr>
          <w:rFonts w:cs="Times New Roman"/>
          <w:szCs w:val="24"/>
        </w:rPr>
        <w:t xml:space="preserve">Uma nova estratégia do conflito </w:t>
      </w:r>
      <w:r>
        <w:rPr>
          <w:rFonts w:cs="Times New Roman"/>
          <w:szCs w:val="24"/>
        </w:rPr>
        <w:t xml:space="preserve">precisa </w:t>
      </w:r>
      <w:r w:rsidRPr="00733611">
        <w:rPr>
          <w:rFonts w:cs="Times New Roman"/>
          <w:szCs w:val="24"/>
        </w:rPr>
        <w:t>mudar o modo de ser para um</w:t>
      </w:r>
      <w:r>
        <w:rPr>
          <w:rFonts w:cs="Times New Roman"/>
          <w:szCs w:val="24"/>
        </w:rPr>
        <w:t>a</w:t>
      </w:r>
      <w:r w:rsidRPr="00733611">
        <w:rPr>
          <w:rFonts w:cs="Times New Roman"/>
          <w:szCs w:val="24"/>
        </w:rPr>
        <w:t xml:space="preserve"> postura que impli</w:t>
      </w:r>
      <w:r>
        <w:rPr>
          <w:rFonts w:cs="Times New Roman"/>
          <w:szCs w:val="24"/>
        </w:rPr>
        <w:t>ca aumento da autoconsciência de</w:t>
      </w:r>
      <w:r w:rsidRPr="00733611">
        <w:rPr>
          <w:rFonts w:cs="Times New Roman"/>
          <w:szCs w:val="24"/>
        </w:rPr>
        <w:t xml:space="preserve"> posturas conscientes</w:t>
      </w:r>
      <w:r>
        <w:rPr>
          <w:rFonts w:cs="Times New Roman"/>
          <w:szCs w:val="24"/>
        </w:rPr>
        <w:t xml:space="preserve"> de riscos sim, porém mais consensuais junto a participação popular, um alargamento da consciência crítica sem bipolarização moral que não raro resultam em violência, sintoma da miopia social, pois toda revolução sabe onde quer chegar, mas nunca sabe onde termina. Do mesmo modo, não foi </w:t>
      </w:r>
      <w:r>
        <w:rPr>
          <w:rFonts w:cs="Times New Roman"/>
          <w:szCs w:val="24"/>
        </w:rPr>
        <w:lastRenderedPageBreak/>
        <w:t>só o comunismo histórico que falhou na realização de seus ideais, mas também e principalmente o capitalismo neoliberal entrou em colapso, e continua falhando em suas apostas, pois não há nenhum sistema que funcione substituindo a dignidade humana por interesses escusos, e olvidando as necessidades da população.</w:t>
      </w:r>
      <w:r w:rsidR="00D84F2A">
        <w:rPr>
          <w:rFonts w:cs="Times New Roman"/>
          <w:szCs w:val="24"/>
        </w:rPr>
        <w:t xml:space="preserve"> O messianismo político brasileiro é um produto tanto da esquerda quanto da direita, e sempre se apresentou como salvação mediante a instalação de uma narrativa de crise </w:t>
      </w:r>
      <w:r w:rsidR="00D84F2A">
        <w:rPr>
          <w:rFonts w:cs="Times New Roman"/>
          <w:szCs w:val="24"/>
        </w:rPr>
        <w:t>(SINGER, 2016</w:t>
      </w:r>
      <w:r w:rsidR="003D51B0">
        <w:rPr>
          <w:rFonts w:cs="Times New Roman"/>
          <w:szCs w:val="24"/>
        </w:rPr>
        <w:t xml:space="preserve">, p. </w:t>
      </w:r>
      <w:r w:rsidR="00D84F2A">
        <w:rPr>
          <w:rFonts w:cs="Times New Roman"/>
          <w:szCs w:val="24"/>
        </w:rPr>
        <w:t xml:space="preserve"> 21-54)</w:t>
      </w:r>
      <w:r w:rsidR="00BF3145">
        <w:rPr>
          <w:rFonts w:cs="Times New Roman"/>
          <w:szCs w:val="24"/>
        </w:rPr>
        <w:t>.</w:t>
      </w:r>
    </w:p>
    <w:p w:rsidR="00B87A21" w:rsidRDefault="00294591" w:rsidP="00B87A21">
      <w:pPr>
        <w:spacing w:before="120" w:after="120" w:line="360" w:lineRule="auto"/>
        <w:jc w:val="both"/>
        <w:rPr>
          <w:rFonts w:cs="Times New Roman"/>
          <w:szCs w:val="24"/>
        </w:rPr>
      </w:pPr>
      <w:r>
        <w:rPr>
          <w:rFonts w:cs="Times New Roman"/>
          <w:szCs w:val="24"/>
        </w:rPr>
        <w:tab/>
        <w:t xml:space="preserve">Se impõe assim, não um reforço entre a briga de </w:t>
      </w:r>
      <w:proofErr w:type="spellStart"/>
      <w:r>
        <w:rPr>
          <w:rFonts w:cs="Times New Roman"/>
          <w:szCs w:val="24"/>
        </w:rPr>
        <w:t>ideologemas</w:t>
      </w:r>
      <w:proofErr w:type="spellEnd"/>
      <w:r>
        <w:rPr>
          <w:rFonts w:cs="Times New Roman"/>
          <w:szCs w:val="24"/>
        </w:rPr>
        <w:t xml:space="preserve">, que como já disse Jameson, é irresolúvel, mas sim a tarefa de ouvir a dor da história, em suas necessidades históricas não atendidas, e desde aí discernir formas de </w:t>
      </w:r>
      <w:r w:rsidRPr="00294591">
        <w:rPr>
          <w:rFonts w:cs="Times New Roman"/>
          <w:i/>
          <w:szCs w:val="24"/>
        </w:rPr>
        <w:t>diálogo social</w:t>
      </w:r>
      <w:r>
        <w:rPr>
          <w:rFonts w:cs="Times New Roman"/>
          <w:szCs w:val="24"/>
        </w:rPr>
        <w:t xml:space="preserve"> como contribuição para a paz, analisando como os atores políticos, econômicos e sociais  historicamente atuaram para sanar tal dor. </w:t>
      </w:r>
      <w:r w:rsidR="0031661D">
        <w:rPr>
          <w:rFonts w:cs="Times New Roman"/>
          <w:szCs w:val="24"/>
        </w:rPr>
        <w:t xml:space="preserve">A opção pelos pobres não se reduz aos </w:t>
      </w:r>
      <w:proofErr w:type="spellStart"/>
      <w:r w:rsidR="0031661D">
        <w:rPr>
          <w:rFonts w:cs="Times New Roman"/>
          <w:szCs w:val="24"/>
        </w:rPr>
        <w:t>ideologemas</w:t>
      </w:r>
      <w:proofErr w:type="spellEnd"/>
      <w:r w:rsidR="00B87A21">
        <w:rPr>
          <w:rFonts w:cs="Times New Roman"/>
          <w:szCs w:val="24"/>
        </w:rPr>
        <w:t>, mas é antes fruto da memória narrativa do Povo de Deus que testemunha sua presença que o anima com esperança atuante, fé confiante e amor que conjuga a justiça e a solidariedade entre os que mais sofrem e com eles. A</w:t>
      </w:r>
      <w:r w:rsidRPr="00294591">
        <w:rPr>
          <w:rFonts w:cs="Times New Roman"/>
          <w:szCs w:val="24"/>
        </w:rPr>
        <w:t xml:space="preserve"> “recepção</w:t>
      </w:r>
      <w:r w:rsidR="00B87A21">
        <w:rPr>
          <w:rFonts w:cs="Times New Roman"/>
          <w:szCs w:val="24"/>
        </w:rPr>
        <w:t xml:space="preserve"> </w:t>
      </w:r>
      <w:r w:rsidRPr="00294591">
        <w:rPr>
          <w:rFonts w:cs="Times New Roman"/>
          <w:szCs w:val="24"/>
        </w:rPr>
        <w:t xml:space="preserve">do anúncio” </w:t>
      </w:r>
      <w:r w:rsidR="00B87A21" w:rsidRPr="00294591">
        <w:rPr>
          <w:rFonts w:cs="Times New Roman"/>
          <w:szCs w:val="24"/>
        </w:rPr>
        <w:t>se configura como “opção pelos pobres”</w:t>
      </w:r>
      <w:r w:rsidR="00B87A21">
        <w:rPr>
          <w:rFonts w:cs="Times New Roman"/>
          <w:szCs w:val="24"/>
        </w:rPr>
        <w:t xml:space="preserve"> e </w:t>
      </w:r>
      <w:r w:rsidR="00B87A21">
        <w:rPr>
          <w:rFonts w:cs="Times New Roman"/>
          <w:szCs w:val="24"/>
        </w:rPr>
        <w:t xml:space="preserve">se traduz </w:t>
      </w:r>
      <w:r w:rsidR="00B87A21">
        <w:rPr>
          <w:rFonts w:cs="Times New Roman"/>
          <w:szCs w:val="24"/>
        </w:rPr>
        <w:t>como</w:t>
      </w:r>
      <w:r w:rsidRPr="00294591">
        <w:rPr>
          <w:rFonts w:cs="Times New Roman"/>
          <w:szCs w:val="24"/>
        </w:rPr>
        <w:t xml:space="preserve"> um</w:t>
      </w:r>
      <w:r w:rsidR="00B87A21">
        <w:rPr>
          <w:rFonts w:cs="Times New Roman"/>
          <w:szCs w:val="24"/>
        </w:rPr>
        <w:t xml:space="preserve"> </w:t>
      </w:r>
      <w:r w:rsidRPr="00294591">
        <w:rPr>
          <w:rFonts w:cs="Times New Roman"/>
          <w:szCs w:val="24"/>
        </w:rPr>
        <w:t>“efetivo amor fraterno” (</w:t>
      </w:r>
      <w:proofErr w:type="spellStart"/>
      <w:r w:rsidRPr="003D51B0">
        <w:rPr>
          <w:rFonts w:cs="Times New Roman"/>
          <w:i/>
          <w:szCs w:val="24"/>
        </w:rPr>
        <w:t>E</w:t>
      </w:r>
      <w:r w:rsidR="003D51B0" w:rsidRPr="003D51B0">
        <w:rPr>
          <w:rFonts w:cs="Times New Roman"/>
          <w:i/>
          <w:szCs w:val="24"/>
        </w:rPr>
        <w:t>vangelii</w:t>
      </w:r>
      <w:proofErr w:type="spellEnd"/>
      <w:r w:rsidR="003D51B0" w:rsidRPr="003D51B0">
        <w:rPr>
          <w:rFonts w:cs="Times New Roman"/>
          <w:i/>
          <w:szCs w:val="24"/>
        </w:rPr>
        <w:t xml:space="preserve"> </w:t>
      </w:r>
      <w:proofErr w:type="spellStart"/>
      <w:r w:rsidRPr="003D51B0">
        <w:rPr>
          <w:rFonts w:cs="Times New Roman"/>
          <w:i/>
          <w:szCs w:val="24"/>
        </w:rPr>
        <w:t>G</w:t>
      </w:r>
      <w:r w:rsidR="003D51B0" w:rsidRPr="003D51B0">
        <w:rPr>
          <w:rFonts w:cs="Times New Roman"/>
          <w:i/>
          <w:szCs w:val="24"/>
        </w:rPr>
        <w:t>audium</w:t>
      </w:r>
      <w:proofErr w:type="spellEnd"/>
      <w:r w:rsidR="003D51B0">
        <w:rPr>
          <w:rFonts w:cs="Times New Roman"/>
          <w:i/>
          <w:szCs w:val="24"/>
        </w:rPr>
        <w:t xml:space="preserve"> </w:t>
      </w:r>
      <w:r w:rsidR="003D51B0">
        <w:rPr>
          <w:rFonts w:cs="Times New Roman"/>
          <w:szCs w:val="24"/>
        </w:rPr>
        <w:t>[EG]</w:t>
      </w:r>
      <w:r w:rsidRPr="003D51B0">
        <w:rPr>
          <w:rFonts w:cs="Times New Roman"/>
          <w:i/>
          <w:szCs w:val="24"/>
        </w:rPr>
        <w:t>,</w:t>
      </w:r>
      <w:r w:rsidRPr="00294591">
        <w:rPr>
          <w:rFonts w:cs="Times New Roman"/>
          <w:szCs w:val="24"/>
        </w:rPr>
        <w:t xml:space="preserve"> 178) que “compreende, assiste e promove”</w:t>
      </w:r>
      <w:r w:rsidR="00B87A21">
        <w:rPr>
          <w:rFonts w:cs="Times New Roman"/>
          <w:szCs w:val="24"/>
        </w:rPr>
        <w:t xml:space="preserve"> </w:t>
      </w:r>
      <w:r w:rsidRPr="00294591">
        <w:rPr>
          <w:rFonts w:cs="Times New Roman"/>
          <w:szCs w:val="24"/>
        </w:rPr>
        <w:t>os mais necessitados</w:t>
      </w:r>
      <w:r w:rsidR="00B87A21">
        <w:rPr>
          <w:rFonts w:cs="Times New Roman"/>
          <w:szCs w:val="24"/>
        </w:rPr>
        <w:t xml:space="preserve">. A escuta da dor da história é para o Cristianismo um </w:t>
      </w:r>
      <w:r w:rsidRPr="00294591">
        <w:rPr>
          <w:rFonts w:cs="Times New Roman"/>
          <w:szCs w:val="24"/>
        </w:rPr>
        <w:t>“imperativo de ouvir o clamor dos pobres” (EG 179-180)</w:t>
      </w:r>
      <w:r w:rsidR="00B87A21">
        <w:rPr>
          <w:rFonts w:cs="Times New Roman"/>
          <w:szCs w:val="24"/>
        </w:rPr>
        <w:t xml:space="preserve"> e </w:t>
      </w:r>
      <w:r w:rsidR="00B87A21" w:rsidRPr="00294591">
        <w:rPr>
          <w:rFonts w:cs="Times New Roman"/>
          <w:szCs w:val="24"/>
        </w:rPr>
        <w:t xml:space="preserve">é graça a ser </w:t>
      </w:r>
      <w:proofErr w:type="gramStart"/>
      <w:r w:rsidR="00B87A21" w:rsidRPr="00294591">
        <w:rPr>
          <w:rFonts w:cs="Times New Roman"/>
          <w:szCs w:val="24"/>
        </w:rPr>
        <w:t>desejada</w:t>
      </w:r>
      <w:r w:rsidR="00B87A21" w:rsidRPr="00294591">
        <w:rPr>
          <w:rFonts w:cs="Times New Roman"/>
          <w:szCs w:val="24"/>
        </w:rPr>
        <w:t xml:space="preserve"> </w:t>
      </w:r>
      <w:r w:rsidR="00B87A21">
        <w:rPr>
          <w:rFonts w:cs="Times New Roman"/>
          <w:szCs w:val="24"/>
        </w:rPr>
        <w:t>,</w:t>
      </w:r>
      <w:proofErr w:type="gramEnd"/>
      <w:r w:rsidR="00B87A21">
        <w:rPr>
          <w:rFonts w:cs="Times New Roman"/>
          <w:szCs w:val="24"/>
        </w:rPr>
        <w:t xml:space="preserve"> pois </w:t>
      </w:r>
      <w:r w:rsidRPr="00294591">
        <w:rPr>
          <w:rFonts w:cs="Times New Roman"/>
          <w:szCs w:val="24"/>
        </w:rPr>
        <w:t>tem “início no mais íntimo de nós mesmos” (</w:t>
      </w:r>
      <w:proofErr w:type="spellStart"/>
      <w:r w:rsidRPr="00294591">
        <w:rPr>
          <w:rFonts w:cs="Times New Roman"/>
          <w:szCs w:val="24"/>
        </w:rPr>
        <w:t>EG 193)</w:t>
      </w:r>
      <w:r w:rsidR="00B87A21">
        <w:rPr>
          <w:rFonts w:cs="Times New Roman"/>
          <w:szCs w:val="24"/>
        </w:rPr>
        <w:t xml:space="preserve">. </w:t>
      </w:r>
      <w:proofErr w:type="spellEnd"/>
    </w:p>
    <w:p w:rsidR="00B87A21" w:rsidRPr="00294591" w:rsidRDefault="00B87A21" w:rsidP="00B87A21">
      <w:pPr>
        <w:spacing w:before="120" w:after="120" w:line="360" w:lineRule="auto"/>
        <w:jc w:val="both"/>
        <w:rPr>
          <w:rFonts w:cs="Times New Roman"/>
          <w:szCs w:val="24"/>
        </w:rPr>
      </w:pPr>
      <w:r>
        <w:rPr>
          <w:rFonts w:cs="Times New Roman"/>
          <w:szCs w:val="24"/>
        </w:rPr>
        <w:tab/>
        <w:t>Esse imperativo de ouvir a dor da história se desenvolveu na Literatura Bíblica como narrativa da vida dos pobres.</w:t>
      </w:r>
    </w:p>
    <w:p w:rsidR="003640FC" w:rsidRPr="003640FC" w:rsidRDefault="00294591" w:rsidP="009E4AF4">
      <w:pPr>
        <w:spacing w:before="120" w:after="120" w:line="360" w:lineRule="auto"/>
        <w:jc w:val="both"/>
        <w:rPr>
          <w:b/>
        </w:rPr>
      </w:pPr>
      <w:r w:rsidRPr="00294591">
        <w:rPr>
          <w:rFonts w:cs="Times New Roman"/>
          <w:szCs w:val="24"/>
        </w:rPr>
        <w:t xml:space="preserve"> </w:t>
      </w:r>
      <w:r w:rsidR="00B87A21" w:rsidRPr="00B87A21">
        <w:rPr>
          <w:b/>
        </w:rPr>
        <w:t xml:space="preserve">4. </w:t>
      </w:r>
      <w:r w:rsidR="003640FC" w:rsidRPr="003640FC">
        <w:rPr>
          <w:b/>
        </w:rPr>
        <w:t>Deus se revela junto aos pobres</w:t>
      </w:r>
    </w:p>
    <w:p w:rsidR="004E66E1" w:rsidRDefault="004E66E1" w:rsidP="009E4AF4">
      <w:pPr>
        <w:spacing w:before="120" w:after="120" w:line="360" w:lineRule="auto"/>
        <w:ind w:firstLine="708"/>
        <w:jc w:val="both"/>
      </w:pPr>
      <w:r>
        <w:t>A história não precisa ser vista apenas pelo olhar do grande vencedor. Os pequenos, os fracos, os vulneráveis, também têm direito à</w:t>
      </w:r>
      <w:r w:rsidR="00A34E5E">
        <w:t xml:space="preserve"> memória</w:t>
      </w:r>
      <w:r>
        <w:t xml:space="preserve"> e às histórias, e suas narrativas são importantes porque se trata, ali também, de histórias de vidas</w:t>
      </w:r>
      <w:r w:rsidR="00134472">
        <w:t xml:space="preserve"> (ARGERICH, 2016)</w:t>
      </w:r>
      <w:r>
        <w:t>. Seja do ponto de vista político, r</w:t>
      </w:r>
      <w:r w:rsidR="00A34E5E">
        <w:t>eligioso ou social, não importa,</w:t>
      </w:r>
      <w:r>
        <w:t xml:space="preserve"> </w:t>
      </w:r>
      <w:r w:rsidR="00A34E5E">
        <w:t>o</w:t>
      </w:r>
      <w:r>
        <w:t>s pequenos têm direito aos seus pontos de vista</w:t>
      </w:r>
      <w:r w:rsidR="00A34E5E">
        <w:t xml:space="preserve"> e suas narrações</w:t>
      </w:r>
      <w:r>
        <w:t>.</w:t>
      </w:r>
    </w:p>
    <w:p w:rsidR="004E66E1" w:rsidRDefault="004E66E1" w:rsidP="009E4AF4">
      <w:pPr>
        <w:spacing w:before="120" w:after="120" w:line="360" w:lineRule="auto"/>
        <w:ind w:firstLine="708"/>
        <w:jc w:val="both"/>
      </w:pPr>
      <w:r>
        <w:t>Não podemos deixar de pensar no famoso diálogo dos 12 franciscanos com os líderes religiosos dos povos da América Central</w:t>
      </w:r>
      <w:r w:rsidR="00A34E5E">
        <w:rPr>
          <w:rStyle w:val="Refdenotaderodap"/>
        </w:rPr>
        <w:footnoteReference w:id="4"/>
      </w:r>
      <w:r>
        <w:t xml:space="preserve">, onde os indígenas diziam: </w:t>
      </w:r>
      <w:r w:rsidR="00A34E5E">
        <w:t>“</w:t>
      </w:r>
      <w:r>
        <w:t>nossos deuses foram vencidos, estão mortos</w:t>
      </w:r>
      <w:r w:rsidR="00A34E5E">
        <w:t>”</w:t>
      </w:r>
      <w:r w:rsidR="00A00949">
        <w:t>. Parece haver uma relação entre a história como decorre na terra e sua correspondente no céu, no mundo dos deuses</w:t>
      </w:r>
      <w:r w:rsidR="00134472">
        <w:t xml:space="preserve"> (RICHARD, 1982)</w:t>
      </w:r>
      <w:r w:rsidR="00A00949">
        <w:t xml:space="preserve">. Esta visão não é estranha à própria escritura, que sabe muito bem que </w:t>
      </w:r>
      <w:r w:rsidR="00A34E5E">
        <w:t>ao combate entre povos na terra</w:t>
      </w:r>
      <w:r w:rsidR="00A00949">
        <w:t xml:space="preserve"> </w:t>
      </w:r>
      <w:r w:rsidR="00A00949">
        <w:lastRenderedPageBreak/>
        <w:t xml:space="preserve">corresponde um combate entre deuses no céu, porque cada deus sustenta seu povo como seu grande protetor. Daí que </w:t>
      </w:r>
      <w:r w:rsidR="00A34E5E">
        <w:t>o discurso religioso não deve</w:t>
      </w:r>
      <w:r w:rsidR="00A00949">
        <w:t xml:space="preserve"> estar ausente da necessária manutenção da memória dos pequenos.</w:t>
      </w:r>
    </w:p>
    <w:p w:rsidR="00A00949" w:rsidRDefault="00A00949" w:rsidP="009E4AF4">
      <w:pPr>
        <w:spacing w:before="120" w:after="120" w:line="360" w:lineRule="auto"/>
        <w:ind w:firstLine="708"/>
        <w:jc w:val="both"/>
      </w:pPr>
      <w:r>
        <w:t>Mais ainda se olharmos com atenção para o Deus revelado pelo judeu-cristianismo, que dizemos plenamente revelado em Jesus de Na</w:t>
      </w:r>
      <w:r w:rsidR="00A34E5E">
        <w:t>zaré. Ele é o Deus dos pequenos</w:t>
      </w:r>
      <w:r>
        <w:t xml:space="preserve"> e faz transparecer </w:t>
      </w:r>
      <w:r w:rsidR="00A34E5E">
        <w:t>esta</w:t>
      </w:r>
      <w:r>
        <w:t xml:space="preserve"> certeza. Só é Deus de todos, aliás, exatamente porq</w:t>
      </w:r>
      <w:r w:rsidR="00A34E5E">
        <w:t xml:space="preserve">ue é o Deus dos pequenos, já que </w:t>
      </w:r>
      <w:r>
        <w:t>se não for dos pequenos, não será de todos</w:t>
      </w:r>
      <w:r w:rsidR="00134472">
        <w:t xml:space="preserve"> (RIBEIRO DE OLIVEIRA, 2011)</w:t>
      </w:r>
      <w:r w:rsidR="00A34E5E">
        <w:t>. A teologia demorou certo tempo para</w:t>
      </w:r>
      <w:r>
        <w:t xml:space="preserve"> formular esta certeza, e a</w:t>
      </w:r>
      <w:r w:rsidR="00A34E5E">
        <w:t>s religiões</w:t>
      </w:r>
      <w:r>
        <w:t xml:space="preserve"> ainda não se encontra</w:t>
      </w:r>
      <w:r w:rsidR="00A34E5E">
        <w:t>m</w:t>
      </w:r>
      <w:r>
        <w:t xml:space="preserve"> muito à vontade com tal compreensão.</w:t>
      </w:r>
    </w:p>
    <w:p w:rsidR="00A00949" w:rsidRDefault="00A00949" w:rsidP="009E4AF4">
      <w:pPr>
        <w:spacing w:before="120" w:after="120" w:line="360" w:lineRule="auto"/>
        <w:ind w:firstLine="708"/>
        <w:jc w:val="both"/>
      </w:pPr>
      <w:r>
        <w:t>Olh</w:t>
      </w:r>
      <w:r w:rsidR="00A34E5E">
        <w:t>ando</w:t>
      </w:r>
      <w:r>
        <w:t xml:space="preserve"> as histórias da</w:t>
      </w:r>
      <w:r w:rsidR="00A34E5E">
        <w:t xml:space="preserve"> revelação de Deus à humanidade, principalmente as contidas na Bíblia, nos damos conta de que ali não temos</w:t>
      </w:r>
      <w:r>
        <w:t xml:space="preserve"> histórias de muitas vitórias, mas de um povo que </w:t>
      </w:r>
      <w:r w:rsidR="007A7E23">
        <w:t>muito lutou</w:t>
      </w:r>
      <w:r>
        <w:t xml:space="preserve">. Mesmo a história de Jesus parece ser a de um derrotado, </w:t>
      </w:r>
      <w:r w:rsidR="007A7E23">
        <w:t xml:space="preserve">crucificado, </w:t>
      </w:r>
      <w:r>
        <w:t>muito mais que a de um poderoso fazedor de milagres.</w:t>
      </w:r>
    </w:p>
    <w:p w:rsidR="00335578" w:rsidRDefault="00335578" w:rsidP="009E4AF4">
      <w:pPr>
        <w:spacing w:before="120" w:after="120" w:line="360" w:lineRule="auto"/>
        <w:ind w:firstLine="708"/>
        <w:jc w:val="both"/>
      </w:pPr>
      <w:r>
        <w:t xml:space="preserve">A base da fé de Israel começa com a afirmação de que o povo era escravo no Egito. Não há dúvidas nem meias palavras: se trata de um povo oprimido pela escravidão. Do ponto de vista histórico, </w:t>
      </w:r>
      <w:r w:rsidR="007A7E23">
        <w:t>talvez nem se fale</w:t>
      </w:r>
      <w:r>
        <w:t xml:space="preserve"> ainda de povo, mas já se fala de escravidão</w:t>
      </w:r>
      <w:r w:rsidR="00134472">
        <w:t xml:space="preserve"> (SKA, 2016)</w:t>
      </w:r>
      <w:r>
        <w:t>. A libertação que Deus realiza, então, tem um objetivo bastante claro: os últimos, os escravos, aqueles com quem ninguém se importa</w:t>
      </w:r>
      <w:r w:rsidR="009926C5">
        <w:t xml:space="preserve"> (GRENZER, 2007)</w:t>
      </w:r>
      <w:r>
        <w:t>. E se o credo histórico de Israel vai ainda mais longe no tempo para afirmar que “meu pai era um arameu errante”</w:t>
      </w:r>
      <w:r w:rsidR="00317A8E">
        <w:t xml:space="preserve"> (</w:t>
      </w:r>
      <w:proofErr w:type="spellStart"/>
      <w:r w:rsidR="00317A8E">
        <w:t>Dt</w:t>
      </w:r>
      <w:proofErr w:type="spellEnd"/>
      <w:r w:rsidR="00317A8E">
        <w:t xml:space="preserve"> 26,5)</w:t>
      </w:r>
      <w:r>
        <w:t xml:space="preserve">, isso significa, ainda uma vez, afirmar a origem do povo de Israel </w:t>
      </w:r>
      <w:r w:rsidR="007A7E23">
        <w:t>nascendo</w:t>
      </w:r>
      <w:r>
        <w:t xml:space="preserve"> entre os mais insignificantes da Terra.</w:t>
      </w:r>
    </w:p>
    <w:p w:rsidR="00335578" w:rsidRDefault="007A7E23" w:rsidP="009E4AF4">
      <w:pPr>
        <w:spacing w:before="120" w:after="120" w:line="360" w:lineRule="auto"/>
        <w:ind w:firstLine="708"/>
        <w:jc w:val="both"/>
      </w:pPr>
      <w:r>
        <w:t>O</w:t>
      </w:r>
      <w:r w:rsidR="00335578">
        <w:t xml:space="preserve"> Deus que protege os fracos e pequenos estabelece com eles uma aliança, um pacto. Sim, Deus está disposto a protege-los e defende-los diante das outras nações por mais poderosas que seja</w:t>
      </w:r>
      <w:r>
        <w:t>m</w:t>
      </w:r>
      <w:r w:rsidR="00335578">
        <w:t>, mas ele quer que o povo se organize e se configure como um povo: “eu serei o vosso Deus, e vós sereis o meu povo”</w:t>
      </w:r>
      <w:r w:rsidR="00317A8E">
        <w:t xml:space="preserve"> (Jr 30,22)</w:t>
      </w:r>
      <w:r w:rsidR="00335578">
        <w:t xml:space="preserve">. A história desta </w:t>
      </w:r>
      <w:r>
        <w:t>aliança nem sempre foi gloriosa</w:t>
      </w:r>
      <w:r w:rsidR="00335578">
        <w:t xml:space="preserve"> porque o povo muitas vezes a rompeu, isto é, não foi povo, deixou-se levar pelas ânsias de </w:t>
      </w:r>
      <w:r>
        <w:t>dominação e</w:t>
      </w:r>
      <w:r w:rsidR="00335578">
        <w:t xml:space="preserve"> viu cair sobre si o mesmo destino que caiu sobre todos os outros povos que colocavam na dominação sua esperança.</w:t>
      </w:r>
    </w:p>
    <w:p w:rsidR="003640FC" w:rsidRPr="00B87A21" w:rsidRDefault="00B87A21" w:rsidP="00B87A21">
      <w:pPr>
        <w:spacing w:before="120" w:after="120" w:line="360" w:lineRule="auto"/>
        <w:jc w:val="both"/>
        <w:rPr>
          <w:b/>
        </w:rPr>
      </w:pPr>
      <w:r w:rsidRPr="00B87A21">
        <w:rPr>
          <w:b/>
        </w:rPr>
        <w:t xml:space="preserve">4.1. </w:t>
      </w:r>
      <w:r w:rsidR="003640FC" w:rsidRPr="00B87A21">
        <w:rPr>
          <w:b/>
        </w:rPr>
        <w:t>A aliança de Deus com seu povo</w:t>
      </w:r>
    </w:p>
    <w:p w:rsidR="00335578" w:rsidRDefault="007A7E23" w:rsidP="00B87A21">
      <w:pPr>
        <w:spacing w:before="120" w:after="120" w:line="360" w:lineRule="auto"/>
        <w:ind w:firstLine="708"/>
        <w:jc w:val="both"/>
      </w:pPr>
      <w:r>
        <w:t>É básico</w:t>
      </w:r>
      <w:r w:rsidR="00335578">
        <w:t xml:space="preserve"> pensar a fé de Israel </w:t>
      </w:r>
      <w:r>
        <w:t xml:space="preserve">baseada em uma </w:t>
      </w:r>
      <w:r w:rsidR="00335578">
        <w:t>aliança que afirma</w:t>
      </w:r>
      <w:r>
        <w:t xml:space="preserve"> que Deus quer que se constitua</w:t>
      </w:r>
      <w:r w:rsidR="00335578">
        <w:t xml:space="preserve"> como povo. Não o mais forte, nem o mais poderoso ou rico: mas povo, o seu povo</w:t>
      </w:r>
      <w:r>
        <w:t>, condição para serem</w:t>
      </w:r>
      <w:r w:rsidR="00335578">
        <w:t xml:space="preserve"> suas testemunhas mundo afora. </w:t>
      </w:r>
      <w:r w:rsidR="00583AE0">
        <w:t xml:space="preserve">A experiência de convivência na </w:t>
      </w:r>
      <w:r w:rsidR="00583AE0">
        <w:lastRenderedPageBreak/>
        <w:t xml:space="preserve">igualdade social é percebida como revelação da vontade de Deus, e nessa chave é que se compreende o alcance da Aliança. Ela </w:t>
      </w:r>
      <w:r w:rsidR="00335578">
        <w:t>está descrita na Escritura em várias passagens</w:t>
      </w:r>
      <w:r w:rsidR="00134472">
        <w:t xml:space="preserve"> (como </w:t>
      </w:r>
      <w:proofErr w:type="spellStart"/>
      <w:r w:rsidR="00134472">
        <w:t>Gn</w:t>
      </w:r>
      <w:proofErr w:type="spellEnd"/>
      <w:r w:rsidR="00134472">
        <w:t xml:space="preserve"> 17,3-11; </w:t>
      </w:r>
      <w:proofErr w:type="spellStart"/>
      <w:r w:rsidR="00134472">
        <w:t>Ex</w:t>
      </w:r>
      <w:proofErr w:type="spellEnd"/>
      <w:r w:rsidR="00134472">
        <w:t xml:space="preserve"> 34,10; Is 59,21; Jr 31,31-34, por exemplo)</w:t>
      </w:r>
      <w:r w:rsidR="00335578">
        <w:t xml:space="preserve"> e está expressa, também no entendimento dos judeus, no ensinamento da Lei</w:t>
      </w:r>
      <w:r>
        <w:t>. A Torá é expressão da vontade de Deus</w:t>
      </w:r>
      <w:r w:rsidR="00335578">
        <w:t xml:space="preserve"> </w:t>
      </w:r>
      <w:r>
        <w:t xml:space="preserve">e por isso ela </w:t>
      </w:r>
      <w:r w:rsidR="00335578">
        <w:t>é a afirmação da aliança contraída entre ele e o povo. O resumo da Lei nós a encontramos no Decálogo, aquela célebre períc</w:t>
      </w:r>
      <w:r>
        <w:t>ope que, tanto no texto do Ê</w:t>
      </w:r>
      <w:r w:rsidR="00335578">
        <w:t>xodo como no do Deuteronômio</w:t>
      </w:r>
      <w:r w:rsidR="00134472">
        <w:t xml:space="preserve"> (</w:t>
      </w:r>
      <w:proofErr w:type="spellStart"/>
      <w:r w:rsidR="00134472">
        <w:t>Ex</w:t>
      </w:r>
      <w:proofErr w:type="spellEnd"/>
      <w:r w:rsidR="00134472">
        <w:t xml:space="preserve"> 20,1-17; </w:t>
      </w:r>
      <w:proofErr w:type="spellStart"/>
      <w:r w:rsidR="00134472">
        <w:t>Dt</w:t>
      </w:r>
      <w:proofErr w:type="spellEnd"/>
      <w:r w:rsidR="00134472">
        <w:t xml:space="preserve"> 5,6-21)</w:t>
      </w:r>
      <w:r w:rsidR="00335578">
        <w:t>, diz do desejo de Deus para com seu povo.</w:t>
      </w:r>
    </w:p>
    <w:p w:rsidR="00335578" w:rsidRDefault="00335578" w:rsidP="00B87A21">
      <w:pPr>
        <w:spacing w:before="120" w:after="120" w:line="360" w:lineRule="auto"/>
        <w:ind w:firstLine="708"/>
        <w:jc w:val="both"/>
      </w:pPr>
      <w:r>
        <w:t xml:space="preserve">A interpretação </w:t>
      </w:r>
      <w:r w:rsidR="007A7E23">
        <w:t xml:space="preserve">cristã </w:t>
      </w:r>
      <w:r>
        <w:t>tradicional</w:t>
      </w:r>
      <w:r w:rsidR="007A7E23">
        <w:t>, catequética,</w:t>
      </w:r>
      <w:r>
        <w:t xml:space="preserve"> </w:t>
      </w:r>
      <w:r w:rsidR="007A7E23">
        <w:t xml:space="preserve">enxerga o Decálogo como “dez mandamentos” e </w:t>
      </w:r>
      <w:r>
        <w:t xml:space="preserve">diz que os três primeiros </w:t>
      </w:r>
      <w:r w:rsidR="007A7E23">
        <w:t>devem</w:t>
      </w:r>
      <w:r>
        <w:t xml:space="preserve"> ser cumpridos com </w:t>
      </w:r>
      <w:r w:rsidR="007A7E23">
        <w:t xml:space="preserve">relação a </w:t>
      </w:r>
      <w:r>
        <w:t>Deus e os outros sete</w:t>
      </w:r>
      <w:r w:rsidR="007A7E23">
        <w:t>, em</w:t>
      </w:r>
      <w:r>
        <w:t xml:space="preserve"> relação </w:t>
      </w:r>
      <w:r w:rsidR="007A7E23">
        <w:t>ao próximo</w:t>
      </w:r>
      <w:r>
        <w:t>. Na verdade, esta leitura esconde o fato de que a aliança se baseia na exigência de o povo ser efetivamente povo</w:t>
      </w:r>
      <w:r w:rsidR="007A7E23">
        <w:t>, e p</w:t>
      </w:r>
      <w:r w:rsidR="00800646">
        <w:t>or isso, mais do que interditos, proibições ou exigências, o decálogo apresenta a forma de convivência social que as tribos de Israel conheceram</w:t>
      </w:r>
      <w:r w:rsidR="007A7E23">
        <w:t xml:space="preserve"> e construíram na história. E enxergaram nela uma experiência</w:t>
      </w:r>
      <w:r w:rsidR="00800646">
        <w:t xml:space="preserve"> </w:t>
      </w:r>
      <w:r w:rsidR="007A7E23">
        <w:t>tão completa</w:t>
      </w:r>
      <w:r w:rsidR="00800646">
        <w:t xml:space="preserve"> que proclamaram em sua fé: esta é a vontade de Deus. O relato, tal qual o conhecemos, nos dá a grandeza desta perspectiva: Deus deu a Lei ao Povo.</w:t>
      </w:r>
    </w:p>
    <w:p w:rsidR="00800646" w:rsidRDefault="007A7E23" w:rsidP="00B87A21">
      <w:pPr>
        <w:spacing w:before="120" w:after="120" w:line="360" w:lineRule="auto"/>
        <w:ind w:firstLine="708"/>
        <w:jc w:val="both"/>
      </w:pPr>
      <w:r>
        <w:t>Existem outras maneiras de ler o D</w:t>
      </w:r>
      <w:r w:rsidR="00800646">
        <w:t>ecálogo</w:t>
      </w:r>
      <w:r>
        <w:t>, ou os Dez Mandamentos, como os conhecemos com ligeiras adaptações sobre o texto bíblico. Por exemplo,</w:t>
      </w:r>
      <w:r w:rsidR="00800646">
        <w:t xml:space="preserve"> </w:t>
      </w:r>
      <w:r>
        <w:t>podemos lê-lo</w:t>
      </w:r>
      <w:r w:rsidR="002E2210">
        <w:t xml:space="preserve">, em fidelidade à Escritura, </w:t>
      </w:r>
      <w:r w:rsidR="00800646">
        <w:t>a partir de seu centro</w:t>
      </w:r>
      <w:r w:rsidR="002E2210">
        <w:t>, o chamado quinto</w:t>
      </w:r>
      <w:r w:rsidR="00800646">
        <w:t xml:space="preserve"> mandament</w:t>
      </w:r>
      <w:r w:rsidR="002E2210">
        <w:t>o</w:t>
      </w:r>
      <w:r w:rsidR="00800646">
        <w:t xml:space="preserve"> e sua vontade de proteger a vida, raiz e fundamento de toda convivência social. A proteção da vida não precisa de detalhamento: toda a vida humana deve ser protegida, por isso não </w:t>
      </w:r>
      <w:proofErr w:type="gramStart"/>
      <w:r w:rsidR="002E2210">
        <w:t>destruí-la</w:t>
      </w:r>
      <w:proofErr w:type="gramEnd"/>
      <w:r w:rsidR="002E2210">
        <w:t xml:space="preserve"> é a palavra de ordem. Dito de maneira positiva, existe a obrigação de </w:t>
      </w:r>
      <w:r w:rsidR="00800646">
        <w:t>proteger e pre</w:t>
      </w:r>
      <w:r w:rsidR="002E2210">
        <w:t>servar a vida de todos, daí</w:t>
      </w:r>
      <w:r w:rsidR="00800646">
        <w:t xml:space="preserve"> a importância de proteger a dos que a tem mais ameaçada. O centro do Decálogo é este: proteger a vida, base da convivência social porque isso evitará conflitos, guerras intestinas, ânsia de dominação e de destruição.</w:t>
      </w:r>
      <w:r w:rsidR="002E2210">
        <w:t xml:space="preserve"> Consagrar a defesa da vida como central na legislação é proteção aos fracos, uma vez que os fortes dispõem de outros meios de defesa.</w:t>
      </w:r>
    </w:p>
    <w:p w:rsidR="00800646" w:rsidRDefault="00800646" w:rsidP="00B87A21">
      <w:pPr>
        <w:spacing w:before="120" w:after="120" w:line="360" w:lineRule="auto"/>
        <w:ind w:firstLine="708"/>
        <w:jc w:val="both"/>
      </w:pPr>
      <w:r>
        <w:t>Correlato a este</w:t>
      </w:r>
      <w:r w:rsidR="002E2210">
        <w:t>, o quarto mandamento versa sobre a família e vem</w:t>
      </w:r>
      <w:r>
        <w:t xml:space="preserve"> expresso na linguagem do “ho</w:t>
      </w:r>
      <w:r w:rsidR="002E2210">
        <w:t>nrar pai e mãe”</w:t>
      </w:r>
      <w:r>
        <w:t>. Não se trata de simples</w:t>
      </w:r>
      <w:r w:rsidR="002E2210">
        <w:t xml:space="preserve"> preceito de obediência,</w:t>
      </w:r>
      <w:r>
        <w:t xml:space="preserve"> mas de honrá-los. A vida sempre começa em uma família como projeto de amor de pai e mãe; os filhos são continuadores</w:t>
      </w:r>
      <w:r w:rsidR="002E2210">
        <w:t xml:space="preserve"> deste projeto</w:t>
      </w:r>
      <w:r>
        <w:t>, honra</w:t>
      </w:r>
      <w:r w:rsidR="002E2210">
        <w:t>ndo</w:t>
      </w:r>
      <w:r>
        <w:t xml:space="preserve"> com suas vidas os sonhos e </w:t>
      </w:r>
      <w:r w:rsidR="002E2210">
        <w:t>utopias de seus pais. Exemplar é a figura de</w:t>
      </w:r>
      <w:r>
        <w:t xml:space="preserve"> Abraão</w:t>
      </w:r>
      <w:r w:rsidR="002E2210">
        <w:t>,</w:t>
      </w:r>
      <w:r>
        <w:t xml:space="preserve"> que partiu em busca </w:t>
      </w:r>
      <w:r w:rsidR="002E2210">
        <w:t>de terra, descendência e bênção</w:t>
      </w:r>
      <w:r>
        <w:t xml:space="preserve"> e teve apenas um filho e a terra da sepultura de sua mulher</w:t>
      </w:r>
      <w:r w:rsidR="00317A8E">
        <w:t xml:space="preserve"> (</w:t>
      </w:r>
      <w:proofErr w:type="spellStart"/>
      <w:r w:rsidR="00317A8E">
        <w:t>Gn</w:t>
      </w:r>
      <w:proofErr w:type="spellEnd"/>
      <w:r w:rsidR="00317A8E">
        <w:t xml:space="preserve"> 23,20)</w:t>
      </w:r>
      <w:r>
        <w:t>. Quem seria esse Deus que lhe tirou tudo e lhe deu apenas incertezas? Abraão não conseguiu encontrar</w:t>
      </w:r>
      <w:r w:rsidR="002E2210">
        <w:t xml:space="preserve"> tudo</w:t>
      </w:r>
      <w:r>
        <w:t xml:space="preserve"> o que </w:t>
      </w:r>
      <w:r>
        <w:lastRenderedPageBreak/>
        <w:t xml:space="preserve">buscou, mas fez história e deixou, depois dele, outras pessoas para continuarem a </w:t>
      </w:r>
      <w:r w:rsidR="002E2210">
        <w:t>mesma história. A</w:t>
      </w:r>
      <w:r>
        <w:t xml:space="preserve"> vida não se mede pelo que se conquista, mas pelas marcas que se deixa na história, inclusive a daqueles que continuarão a mesma luta. Honrar os pais é, de alguma maneira, continuar seus sonhos, seus projetos, seus ideais, e isso é muito mais importante do que gastar seus bens deixados em herança.</w:t>
      </w:r>
    </w:p>
    <w:p w:rsidR="00800646" w:rsidRDefault="00800646" w:rsidP="00B87A21">
      <w:pPr>
        <w:spacing w:before="120" w:after="120" w:line="360" w:lineRule="auto"/>
        <w:ind w:firstLine="708"/>
        <w:jc w:val="both"/>
      </w:pPr>
      <w:r>
        <w:t>Ora, se é necessário respeitar a família, fonte de vida, também é necessário respeitar a família dos outros. Po</w:t>
      </w:r>
      <w:r w:rsidR="002E2210">
        <w:t>r isso o interdito do adultério, lido na Escritura como o sexto mandamento</w:t>
      </w:r>
      <w:r>
        <w:t xml:space="preserve">. Não </w:t>
      </w:r>
      <w:r w:rsidR="002E2210">
        <w:t>é</w:t>
      </w:r>
      <w:r>
        <w:t xml:space="preserve"> simples interdito de ordem sexual, co</w:t>
      </w:r>
      <w:r w:rsidR="002E2210">
        <w:t>mo se deixa compreender</w:t>
      </w:r>
      <w:r>
        <w:t xml:space="preserve"> na formulação catequética. Trata-se da proteção à</w:t>
      </w:r>
      <w:r w:rsidR="002E2210">
        <w:t xml:space="preserve"> família de todos</w:t>
      </w:r>
      <w:r>
        <w:t xml:space="preserve"> porque o adultério é aquilo que liq</w:t>
      </w:r>
      <w:r w:rsidR="002E2210">
        <w:t>uida com a família, não porque seja</w:t>
      </w:r>
      <w:r>
        <w:t xml:space="preserve"> sexo, mas porque é traição. </w:t>
      </w:r>
      <w:r w:rsidR="002E2210">
        <w:t xml:space="preserve">Daí </w:t>
      </w:r>
      <w:r>
        <w:t>a radicalidade na leitura de Jesus</w:t>
      </w:r>
      <w:r w:rsidR="00317A8E">
        <w:t xml:space="preserve"> (Mt 5,28)</w:t>
      </w:r>
      <w:r w:rsidR="002E2210">
        <w:t>, indicando que o</w:t>
      </w:r>
      <w:r>
        <w:t xml:space="preserve"> amor traído</w:t>
      </w:r>
      <w:r w:rsidR="00D61AC5">
        <w:t xml:space="preserve"> </w:t>
      </w:r>
      <w:r w:rsidR="002E2210">
        <w:t>acaba substituído</w:t>
      </w:r>
      <w:r w:rsidR="00D61AC5">
        <w:t xml:space="preserve"> por outra </w:t>
      </w:r>
      <w:r w:rsidR="002E2210">
        <w:t>coisa, e a família deixa de existir. O problema é grave</w:t>
      </w:r>
      <w:r w:rsidR="00D61AC5">
        <w:t xml:space="preserve"> porque se trata da proteção da família dos outros</w:t>
      </w:r>
      <w:r w:rsidR="002E2210">
        <w:t>, que não podem ter sua base de amor substituída por outra realidade.</w:t>
      </w:r>
      <w:r w:rsidR="00D61AC5">
        <w:t xml:space="preserve"> </w:t>
      </w:r>
      <w:r w:rsidR="002E2210">
        <w:t>O adultério, por isso, é proibido</w:t>
      </w:r>
      <w:r w:rsidR="00D61AC5">
        <w:t xml:space="preserve">, mas </w:t>
      </w:r>
      <w:r w:rsidR="002E2210">
        <w:t>se deve perceber</w:t>
      </w:r>
      <w:r w:rsidR="00D61AC5">
        <w:t xml:space="preserve"> que há outr</w:t>
      </w:r>
      <w:r w:rsidR="002E2210">
        <w:t xml:space="preserve">os perigos rondando as famílias, como os </w:t>
      </w:r>
      <w:r w:rsidR="00D61AC5">
        <w:t xml:space="preserve">adultérios não sexuais, </w:t>
      </w:r>
      <w:r w:rsidR="002E2210">
        <w:t>isto é</w:t>
      </w:r>
      <w:r w:rsidR="00D61AC5">
        <w:t xml:space="preserve">, </w:t>
      </w:r>
      <w:r w:rsidR="002E2210">
        <w:t>comportamentos de quem</w:t>
      </w:r>
      <w:r w:rsidR="00D61AC5">
        <w:t xml:space="preserve"> têm tempo para tudo, menos para a família. Mas </w:t>
      </w:r>
      <w:r w:rsidR="002E2210">
        <w:t xml:space="preserve">também há </w:t>
      </w:r>
      <w:r w:rsidR="00D61AC5">
        <w:t xml:space="preserve">os perigos de ordem social: desemprego, excesso de televisão, salários aviltantes, perda de direitos trabalhistas, violência, falta de condição </w:t>
      </w:r>
      <w:r w:rsidR="00283340">
        <w:t xml:space="preserve">digna </w:t>
      </w:r>
      <w:r w:rsidR="00D61AC5">
        <w:t xml:space="preserve">de moradia, transporte, saúde, </w:t>
      </w:r>
      <w:r w:rsidR="00283340">
        <w:t xml:space="preserve">as </w:t>
      </w:r>
      <w:r w:rsidR="00D61AC5">
        <w:t>migrações... enfim, tantas situações em que as famílias são expostas ao perigo da destruição, se não destruídas efetivamente. Por isso o sexto e o qu</w:t>
      </w:r>
      <w:r w:rsidR="00283340">
        <w:t>arto mandamentos são correlatos, e assim também na sequência</w:t>
      </w:r>
      <w:r w:rsidR="00D61AC5">
        <w:t>.</w:t>
      </w:r>
    </w:p>
    <w:p w:rsidR="00D61AC5" w:rsidRDefault="00D61AC5" w:rsidP="00B87A21">
      <w:pPr>
        <w:spacing w:before="120" w:after="120" w:line="360" w:lineRule="auto"/>
        <w:ind w:firstLine="708"/>
        <w:jc w:val="both"/>
      </w:pPr>
      <w:r>
        <w:t>A vida que nasce na família precisa ser cuidada, alimentada, cultivada</w:t>
      </w:r>
      <w:r w:rsidR="00283340">
        <w:t>, e para</w:t>
      </w:r>
      <w:r>
        <w:t xml:space="preserve"> isso são necessários meios inclusive econômicos, e aí se situa o mandamento do “não roubar”</w:t>
      </w:r>
      <w:r w:rsidR="00283340">
        <w:t>, que dizemos ser o sétimo</w:t>
      </w:r>
      <w:r>
        <w:t xml:space="preserve"> </w:t>
      </w:r>
      <w:r w:rsidR="00283340">
        <w:t>mandamento). Em</w:t>
      </w:r>
      <w:r>
        <w:t xml:space="preserve"> boa linguagem</w:t>
      </w:r>
      <w:r w:rsidR="00283340">
        <w:t xml:space="preserve">, ele afirma a interdição de </w:t>
      </w:r>
      <w:r>
        <w:t xml:space="preserve">se apropriar do fruto do trabalho das </w:t>
      </w:r>
      <w:r w:rsidR="00283340">
        <w:t xml:space="preserve">outras </w:t>
      </w:r>
      <w:r>
        <w:t xml:space="preserve">pessoas. </w:t>
      </w:r>
      <w:r w:rsidR="00283340">
        <w:t xml:space="preserve">Mais do que não pegar suas coisas, afirma-se a proibição de se </w:t>
      </w:r>
      <w:r>
        <w:t xml:space="preserve">tomar o fruto do seu trabalho, </w:t>
      </w:r>
      <w:r w:rsidR="00283340">
        <w:t xml:space="preserve">já que </w:t>
      </w:r>
      <w:r>
        <w:t xml:space="preserve">sem </w:t>
      </w:r>
      <w:r w:rsidR="00283340">
        <w:t xml:space="preserve">ele </w:t>
      </w:r>
      <w:r>
        <w:t>a vida não teria condições de ser protegida e cultivada. O trabalho é que p</w:t>
      </w:r>
      <w:r w:rsidR="00283340">
        <w:t>ossibilita a vida, nutre a vida, e a</w:t>
      </w:r>
      <w:r>
        <w:t>propriar-se do trabalho dos outros significa, em outras palavras, ameaçar sua vida. Muitas são as maneiras disso acontecer: salários injustos, flexibilização da legislação trabalhista, desemprego, desajuste na seguridade social e tantas outras maneiras de se atentar contra a vida através da imposição de dificuldades para o recebimento daquilo que é o fruto do trabalho de alguém.</w:t>
      </w:r>
    </w:p>
    <w:p w:rsidR="00D61AC5" w:rsidRDefault="00D61AC5" w:rsidP="00B87A21">
      <w:pPr>
        <w:spacing w:before="120" w:after="120" w:line="360" w:lineRule="auto"/>
        <w:ind w:firstLine="708"/>
        <w:jc w:val="both"/>
      </w:pPr>
      <w:r>
        <w:t xml:space="preserve">Da mesma forma como é preciso respeitar o trabalho dos outros, também é importante ter consciência de que a vida humana não se resume em acumular, mas </w:t>
      </w:r>
      <w:r w:rsidR="00283340">
        <w:t xml:space="preserve">seu </w:t>
      </w:r>
      <w:r w:rsidR="00283340">
        <w:lastRenderedPageBreak/>
        <w:t xml:space="preserve">significado situa-se na linha do </w:t>
      </w:r>
      <w:r>
        <w:t xml:space="preserve">conviver. </w:t>
      </w:r>
      <w:r w:rsidR="00283340">
        <w:t xml:space="preserve">Por isso </w:t>
      </w:r>
      <w:r>
        <w:t>o mandame</w:t>
      </w:r>
      <w:r w:rsidR="00283340">
        <w:t>nto do descanso</w:t>
      </w:r>
      <w:r>
        <w:t xml:space="preserve"> ou impedimento do trabalho</w:t>
      </w:r>
      <w:r w:rsidR="00283340">
        <w:t>, expresso como o terceiro mandamento, que manda guardar o Dia do Senhor</w:t>
      </w:r>
      <w:r>
        <w:t>. O</w:t>
      </w:r>
      <w:r w:rsidR="00283340">
        <w:t>ra, o</w:t>
      </w:r>
      <w:r>
        <w:t xml:space="preserve"> dia do Senhor é </w:t>
      </w:r>
      <w:r w:rsidR="00283340">
        <w:t xml:space="preserve">também </w:t>
      </w:r>
      <w:r>
        <w:t xml:space="preserve">o dia da comunidade, dia da convivência porque nele não se trabalha, não </w:t>
      </w:r>
      <w:r w:rsidR="00283340">
        <w:t>se é simplesmente um profissional, mas uma pessoa</w:t>
      </w:r>
      <w:r>
        <w:t xml:space="preserve">. </w:t>
      </w:r>
      <w:r w:rsidR="00283340">
        <w:t>Nesse dia as pessoas podem s</w:t>
      </w:r>
      <w:r>
        <w:t xml:space="preserve">e encontrar em igualdade fraterna e não </w:t>
      </w:r>
      <w:r w:rsidR="00283340">
        <w:t xml:space="preserve">em </w:t>
      </w:r>
      <w:r>
        <w:t xml:space="preserve">superioridade profissional. </w:t>
      </w:r>
      <w:r w:rsidR="00283340">
        <w:t>Mais do que m</w:t>
      </w:r>
      <w:r w:rsidR="00EC04FD">
        <w:t xml:space="preserve">andamento religioso, </w:t>
      </w:r>
      <w:r w:rsidR="00283340">
        <w:t>aponta para a</w:t>
      </w:r>
      <w:r w:rsidR="00EC04FD">
        <w:t xml:space="preserve"> convivência: ser pessoa.</w:t>
      </w:r>
    </w:p>
    <w:p w:rsidR="00EC04FD" w:rsidRDefault="00283340" w:rsidP="00B87A21">
      <w:pPr>
        <w:spacing w:before="120" w:after="120" w:line="360" w:lineRule="auto"/>
        <w:ind w:firstLine="708"/>
        <w:jc w:val="both"/>
      </w:pPr>
      <w:r>
        <w:t>A</w:t>
      </w:r>
      <w:r w:rsidR="00EC04FD">
        <w:t xml:space="preserve"> vida que nasce na família e que precisa ser alimentada pelo trabalho, é vida que não será vivida sem honra, sem dignidade. Roubar o nome de alguém é roubar-</w:t>
      </w:r>
      <w:r>
        <w:t>lhe a dignidade como ensina o oitavo mandamento</w:t>
      </w:r>
      <w:r w:rsidR="00EC04FD">
        <w:t>, e sem dignidade não se pode viver, não se pode ser pessoa. O falso testemunho nos tribunais leva, sim, à destruição</w:t>
      </w:r>
      <w:r>
        <w:t xml:space="preserve"> da pessoa, e</w:t>
      </w:r>
      <w:r w:rsidR="00EC04FD">
        <w:t xml:space="preserve"> o falso testemunho na convivência</w:t>
      </w:r>
      <w:r>
        <w:t xml:space="preserve"> faz o mesmo</w:t>
      </w:r>
      <w:r w:rsidR="00EC04FD">
        <w:t xml:space="preserve">, exatamente </w:t>
      </w:r>
      <w:r>
        <w:t>impedindo</w:t>
      </w:r>
      <w:r w:rsidR="00EC04FD">
        <w:t xml:space="preserve"> a convivência. Não é sem interesse notar que as grandes ditaduras, e nós as conhecemos, não apenas acusam as</w:t>
      </w:r>
      <w:r>
        <w:t xml:space="preserve"> palavras de seus opositores,</w:t>
      </w:r>
      <w:r w:rsidR="00EC04FD">
        <w:t xml:space="preserve"> mas </w:t>
      </w:r>
      <w:r>
        <w:t>o</w:t>
      </w:r>
      <w:r w:rsidR="00EC04FD">
        <w:t xml:space="preserve">s criminalizam, inclusive a </w:t>
      </w:r>
      <w:r>
        <w:t xml:space="preserve">atual </w:t>
      </w:r>
      <w:r w:rsidR="00EC04FD">
        <w:t xml:space="preserve">ditadura da mídia. Destruir a reputação, a fama, o nome das pessoas é impedir a </w:t>
      </w:r>
      <w:r>
        <w:t xml:space="preserve">sã </w:t>
      </w:r>
      <w:r w:rsidR="00EC04FD">
        <w:t>convivência social.</w:t>
      </w:r>
    </w:p>
    <w:p w:rsidR="00EC04FD" w:rsidRDefault="00283340" w:rsidP="00B87A21">
      <w:pPr>
        <w:spacing w:before="120" w:after="120" w:line="360" w:lineRule="auto"/>
        <w:ind w:firstLine="708"/>
        <w:jc w:val="both"/>
      </w:pPr>
      <w:r>
        <w:t>Por isso</w:t>
      </w:r>
      <w:r w:rsidR="00EC04FD">
        <w:t xml:space="preserve"> o respeito à honra, à dignidade, ao nome de Deus</w:t>
      </w:r>
      <w:r>
        <w:t>, como dizemos no segundo</w:t>
      </w:r>
      <w:r w:rsidR="00EC04FD">
        <w:t xml:space="preserve"> mandamento. Assim como deve ser protegido o nome das pessoas, assim </w:t>
      </w:r>
      <w:r>
        <w:t xml:space="preserve">também deve ser protegido </w:t>
      </w:r>
      <w:r w:rsidR="00EC04FD">
        <w:t xml:space="preserve">o nome de Deus. </w:t>
      </w:r>
      <w:r>
        <w:t xml:space="preserve">Claro que </w:t>
      </w:r>
      <w:r w:rsidR="00EC04FD">
        <w:t xml:space="preserve">não se trata de proibições acerca da pronúncia da palavra Deus, mas sim do fato de se dizer mal dele, de se falsificá-lo, de não </w:t>
      </w:r>
      <w:proofErr w:type="gramStart"/>
      <w:r w:rsidR="00EC04FD">
        <w:t>reconhecê-lo</w:t>
      </w:r>
      <w:proofErr w:type="gramEnd"/>
      <w:r w:rsidR="00EC04FD">
        <w:t xml:space="preserve"> </w:t>
      </w:r>
      <w:r>
        <w:t>p</w:t>
      </w:r>
      <w:r w:rsidR="00EC04FD">
        <w:t>resente na vida dos pobres e revelando-se ao lado dos pequenos. Mudar o ser de Deus, domá-lo e domesticá-lo para que ele atenda desejos e expectativas, tudo isso é ir contra seu nome, porque é não reconhecer sua dignidade</w:t>
      </w:r>
      <w:r w:rsidR="003D2585">
        <w:t>, sua liberdade e os seus projetos de fraternidade para toda a humanidade</w:t>
      </w:r>
      <w:r w:rsidR="00EC04FD">
        <w:t>.</w:t>
      </w:r>
    </w:p>
    <w:p w:rsidR="00EC04FD" w:rsidRDefault="003D2585" w:rsidP="00B87A21">
      <w:pPr>
        <w:spacing w:before="120" w:after="120" w:line="360" w:lineRule="auto"/>
        <w:ind w:firstLine="708"/>
        <w:jc w:val="both"/>
      </w:pPr>
      <w:r>
        <w:t xml:space="preserve">No final, então, se coloca </w:t>
      </w:r>
      <w:r w:rsidR="00EC04FD">
        <w:t>a afirmação de que ele é absoluto e está antes e acima de tudo</w:t>
      </w:r>
      <w:r w:rsidR="00757937">
        <w:t xml:space="preserve"> e não se o resume a uma imagem segundo nossa vontade</w:t>
      </w:r>
      <w:r>
        <w:t>, como dito no primeiro mandamento</w:t>
      </w:r>
      <w:r>
        <w:rPr>
          <w:rStyle w:val="Refdenotaderodap"/>
        </w:rPr>
        <w:footnoteReference w:id="5"/>
      </w:r>
      <w:r w:rsidR="00EC04FD">
        <w:t>. Amar não é exatamente um mandamento, mas o fundamento de todas as coisas, sobretudo da convivência fra</w:t>
      </w:r>
      <w:r w:rsidR="00757937">
        <w:t>terna</w:t>
      </w:r>
      <w:r w:rsidR="00EC04FD">
        <w:t>. Amor é o outro nome de Deus</w:t>
      </w:r>
      <w:r w:rsidR="001259ED">
        <w:t xml:space="preserve"> (1Jo 4,8)</w:t>
      </w:r>
      <w:r w:rsidR="00EC04FD">
        <w:t>, nos ensina Jesus</w:t>
      </w:r>
      <w:r>
        <w:t xml:space="preserve">, afirmando que </w:t>
      </w:r>
      <w:r w:rsidR="00EC04FD">
        <w:t>o Amor é a base de nossa vida. O povo só é povo verdadeiramente no amor, onde se é capaz de reconhecer outro como pessoa e</w:t>
      </w:r>
      <w:r>
        <w:t xml:space="preserve"> </w:t>
      </w:r>
      <w:r w:rsidR="00EC04FD">
        <w:t>com ele conviver. Fora do amor</w:t>
      </w:r>
      <w:r>
        <w:t>,</w:t>
      </w:r>
      <w:r w:rsidR="00EC04FD">
        <w:t xml:space="preserve"> o outro será concorrente ou adversário, nunca irmão.</w:t>
      </w:r>
    </w:p>
    <w:p w:rsidR="00757937" w:rsidRDefault="00757937" w:rsidP="00B87A21">
      <w:pPr>
        <w:spacing w:before="120" w:after="120" w:line="360" w:lineRule="auto"/>
        <w:ind w:firstLine="708"/>
        <w:jc w:val="both"/>
      </w:pPr>
      <w:r>
        <w:lastRenderedPageBreak/>
        <w:t>Exatamente por isso o interdito final é o da cobiça</w:t>
      </w:r>
      <w:r w:rsidR="003D2585">
        <w:rPr>
          <w:rStyle w:val="Refdenotaderodap"/>
        </w:rPr>
        <w:footnoteReference w:id="6"/>
      </w:r>
      <w:r>
        <w:t xml:space="preserve">, porque </w:t>
      </w:r>
      <w:r w:rsidR="003D2585">
        <w:t>ela</w:t>
      </w:r>
      <w:r>
        <w:t xml:space="preserve"> faz tornar</w:t>
      </w:r>
      <w:r w:rsidR="003D2585">
        <w:t xml:space="preserve"> absoluto aquilo que é relativo,</w:t>
      </w:r>
      <w:r>
        <w:t xml:space="preserve"> faz tornar f</w:t>
      </w:r>
      <w:r w:rsidR="003D2585">
        <w:t>inal aquilo que é intermediário,</w:t>
      </w:r>
      <w:r>
        <w:t xml:space="preserve"> faz se tornar importante aquilo que não tem importância. A cobiça é mãe da idolatria, que não apenas falsifica a ideia de Deus, mas falsifi</w:t>
      </w:r>
      <w:r w:rsidR="003D2585">
        <w:t>ca o próprio ser humano, torna</w:t>
      </w:r>
      <w:r>
        <w:t>-o falso. E o faz porque insensibiliza. A imagem bíblica da idolatria</w:t>
      </w:r>
      <w:r w:rsidR="001259ED">
        <w:t xml:space="preserve"> (</w:t>
      </w:r>
      <w:proofErr w:type="spellStart"/>
      <w:r w:rsidR="001259ED">
        <w:t>Sl</w:t>
      </w:r>
      <w:proofErr w:type="spellEnd"/>
      <w:r w:rsidR="001259ED">
        <w:t xml:space="preserve"> 115)</w:t>
      </w:r>
      <w:r>
        <w:t xml:space="preserve"> é exatamente esta: insensibilização, que leva a uma separação dos outros, a </w:t>
      </w:r>
      <w:r w:rsidR="003D2585">
        <w:t>uma não compaixão, e faz</w:t>
      </w:r>
      <w:r>
        <w:t xml:space="preserve"> esquece</w:t>
      </w:r>
      <w:r w:rsidR="003D2585">
        <w:t>r</w:t>
      </w:r>
      <w:r>
        <w:t xml:space="preserve"> que a misericórdia é o jeito de Deus ser. </w:t>
      </w:r>
      <w:r w:rsidR="003D2585">
        <w:t xml:space="preserve">O caminho será o </w:t>
      </w:r>
      <w:r>
        <w:t>de opor às falsas ideias do divino a verdadeira revelação de Deus que acontece entre os pequenos. Contar suas histórias, pois, é guardar a liberdade do ser de Deus, e aprender de sua Revelação quem ele é.</w:t>
      </w:r>
    </w:p>
    <w:p w:rsidR="00757937" w:rsidRDefault="00757937" w:rsidP="00B87A21">
      <w:pPr>
        <w:spacing w:before="120" w:after="120" w:line="360" w:lineRule="auto"/>
        <w:ind w:firstLine="708"/>
        <w:jc w:val="both"/>
      </w:pPr>
      <w:r>
        <w:t>Na história de Israel a referência constante será a esta aliança, referência que não estará apen</w:t>
      </w:r>
      <w:r w:rsidR="003D2585">
        <w:t>as no culto que a atualiza</w:t>
      </w:r>
      <w:r>
        <w:t xml:space="preserve">, mas na pregação dos profetas que continuarão a exigir o </w:t>
      </w:r>
      <w:r w:rsidR="003D2585">
        <w:t xml:space="preserve">seu </w:t>
      </w:r>
      <w:r>
        <w:t>cumprimento através e a partir do estabelecimento da justiça social. No entender dos profetas, não há aliança se não há justiça social, e é isto que faz o povo ser povo de Deus, é isto o que faz com que Israel seja diferente dos outros povos. Sem isso, será mais um povo igual aos outros, com o mesmo destino dos outros.</w:t>
      </w:r>
      <w:r w:rsidR="003D2585">
        <w:t xml:space="preserve"> A manutenção da memória da experiência de formação social do pequeno povo de Israel é fundamental para se entender o ser e a revelação de Deus. Narrar a vida dos pequenos e pobres, incluindo sua experiência de formação social, é compreender a Palavra de Deus como orientação para a convivência, estabelecendo o princípio do compromisso social como maneira de viver e de se referir aos fundamentos da fé.</w:t>
      </w:r>
    </w:p>
    <w:p w:rsidR="003640FC" w:rsidRPr="003640FC" w:rsidRDefault="00B87A21" w:rsidP="00B87A21">
      <w:pPr>
        <w:spacing w:before="120" w:after="120" w:line="360" w:lineRule="auto"/>
        <w:jc w:val="both"/>
        <w:rPr>
          <w:b/>
        </w:rPr>
      </w:pPr>
      <w:r>
        <w:rPr>
          <w:b/>
        </w:rPr>
        <w:t xml:space="preserve">4.2. </w:t>
      </w:r>
      <w:r w:rsidR="003640FC" w:rsidRPr="003640FC">
        <w:rPr>
          <w:b/>
        </w:rPr>
        <w:t>A Nova Aliança em Jesus</w:t>
      </w:r>
    </w:p>
    <w:p w:rsidR="00757937" w:rsidRDefault="00757937" w:rsidP="00B87A21">
      <w:pPr>
        <w:spacing w:before="120" w:after="120" w:line="360" w:lineRule="auto"/>
        <w:ind w:firstLine="708"/>
        <w:jc w:val="both"/>
      </w:pPr>
      <w:r>
        <w:t>Em Jesus a perspectiva não é diferente. Nele se concretiza a Nova Aliança e se torna explícito o Novo Mandamento que nada mais é que a retomada daquilo qu</w:t>
      </w:r>
      <w:r w:rsidR="00583AE0">
        <w:t>e os antigos mandamentos já referiam</w:t>
      </w:r>
      <w:r>
        <w:t xml:space="preserve"> em relação à antiga aliança. O resumo que Jesus faz da Lei é exatamente aquele que encaminha para a convivência</w:t>
      </w:r>
      <w:r w:rsidR="00583AE0">
        <w:t xml:space="preserve"> na igualdade</w:t>
      </w:r>
      <w:r>
        <w:t>: amar a Deus e ao próximo. O que significa que o amor vem antes de tudo, e aquele endereçado a Deus se historiciza naquele vivido com relação ao próximo. Próximo, aliás, que é bem desenhado na pará</w:t>
      </w:r>
      <w:r w:rsidR="00583AE0">
        <w:t>bola do Bom Samaritano (Lc 10),</w:t>
      </w:r>
      <w:r>
        <w:t xml:space="preserve"> figurado naquele que está caído na beira do caminho.</w:t>
      </w:r>
    </w:p>
    <w:p w:rsidR="00757937" w:rsidRDefault="00F34E03" w:rsidP="00B87A21">
      <w:pPr>
        <w:spacing w:before="120" w:after="120" w:line="360" w:lineRule="auto"/>
        <w:ind w:firstLine="708"/>
        <w:jc w:val="both"/>
      </w:pPr>
      <w:r>
        <w:t>Para Jesus, a concretização da Aliança efetiva a presença do Reino de Deus entre</w:t>
      </w:r>
      <w:r w:rsidR="00583AE0">
        <w:t xml:space="preserve"> os seres humanos. Reino</w:t>
      </w:r>
      <w:r>
        <w:t xml:space="preserve"> é onde </w:t>
      </w:r>
      <w:r w:rsidR="00583AE0">
        <w:t>Deus</w:t>
      </w:r>
      <w:r>
        <w:t xml:space="preserve"> governa, ou seja, onde tudo se realiza segundo sua </w:t>
      </w:r>
      <w:r>
        <w:lastRenderedPageBreak/>
        <w:t>vontade. Portanto, é lugar primacial e absoluto de convivência humana, com privilégio para os pobres, os pequenos, os excluídos</w:t>
      </w:r>
      <w:r w:rsidR="00583AE0">
        <w:t>, porque eles não são considerados iguais aos outros</w:t>
      </w:r>
      <w:r>
        <w:t xml:space="preserve">. </w:t>
      </w:r>
      <w:r w:rsidR="00583AE0">
        <w:t xml:space="preserve">Daí a sociedade igualitária ser compreendida como boa-notícia para eles. </w:t>
      </w:r>
      <w:r>
        <w:t xml:space="preserve">O Messias de Deus se identifica com os últimos da história, para quem o Reino é evangelho. É </w:t>
      </w:r>
      <w:r w:rsidR="00583AE0">
        <w:t xml:space="preserve">tão </w:t>
      </w:r>
      <w:r>
        <w:t xml:space="preserve">solidário a eles que acaba sofrendo a mesma sorte: abandonado, preso, condenado, morto. Não há dúvidas de que a crucificação de Jesus acontece por conta de sua dedicação ao Reino, razão, aliás, de sua titulação messiânica, </w:t>
      </w:r>
      <w:r w:rsidR="00583AE0">
        <w:t xml:space="preserve">pois </w:t>
      </w:r>
      <w:r>
        <w:t>o Messias é aquele que instaura o Reino. Vida entregue pelo Reino</w:t>
      </w:r>
      <w:r w:rsidR="00583AE0">
        <w:t xml:space="preserve"> e</w:t>
      </w:r>
      <w:r>
        <w:t xml:space="preserve"> que torna possível a convivência igualitária entre todos, Jesus é morto por aqueles que preferem a sociedade dividida.</w:t>
      </w:r>
    </w:p>
    <w:p w:rsidR="00F34E03" w:rsidRDefault="00F34E03" w:rsidP="00B87A21">
      <w:pPr>
        <w:spacing w:before="120" w:after="120" w:line="360" w:lineRule="auto"/>
        <w:ind w:firstLine="708"/>
        <w:jc w:val="both"/>
      </w:pPr>
      <w:r>
        <w:t>A narrativa da morte de Jesus não é, absolutamente, narrativa das maravilhas realizadas por alguma entidade espiritual.</w:t>
      </w:r>
      <w:r w:rsidR="00583AE0">
        <w:t xml:space="preserve"> Ela é uma narrativa bem lúcida</w:t>
      </w:r>
      <w:r>
        <w:t xml:space="preserve"> que mostra a crueldade da qual </w:t>
      </w:r>
      <w:r w:rsidR="00583AE0">
        <w:t xml:space="preserve">ele </w:t>
      </w:r>
      <w:r>
        <w:t>foi vítima</w:t>
      </w:r>
      <w:r w:rsidR="00583AE0">
        <w:t>, como tantas outras vítimas na história</w:t>
      </w:r>
      <w:r>
        <w:t>. É, sim, a narrativa sobre um derrotado, um dos pequenos. E que bom que a narrativa e</w:t>
      </w:r>
      <w:r w:rsidR="00583AE0">
        <w:t>xiste</w:t>
      </w:r>
      <w:r>
        <w:t xml:space="preserve">, porque se </w:t>
      </w:r>
      <w:r w:rsidR="00583AE0">
        <w:t xml:space="preserve">não fosse assim, se </w:t>
      </w:r>
      <w:r>
        <w:t>passar</w:t>
      </w:r>
      <w:r w:rsidR="00583AE0">
        <w:t>i</w:t>
      </w:r>
      <w:r>
        <w:t>a rápido para as afirmações de Ressurreição, como acontece hoje em muitos ambien</w:t>
      </w:r>
      <w:r w:rsidR="00583AE0">
        <w:t>tes religiosos. Em cristianismo</w:t>
      </w:r>
      <w:r>
        <w:t xml:space="preserve"> não se pode escamotear a morte de Jesus e sua identificação com os últimos, porque existe uma narrativa </w:t>
      </w:r>
      <w:r w:rsidR="00583AE0">
        <w:t xml:space="preserve">evangélica </w:t>
      </w:r>
      <w:r>
        <w:t>sobre isso. Ela faz com que permaneça a</w:t>
      </w:r>
      <w:r w:rsidR="00583AE0">
        <w:t xml:space="preserve"> memória do Nazareno</w:t>
      </w:r>
      <w:r>
        <w:t xml:space="preserve"> e, a despeito da confissão de fé, da maravilha da Ressurreição e dos grandes milagres, prodígios e sinais que aconteceram naquela época e em tempos posteriores, </w:t>
      </w:r>
      <w:r w:rsidR="00583AE0">
        <w:t xml:space="preserve">é ela que </w:t>
      </w:r>
      <w:r>
        <w:t>impede de esquecer a realidade da cruz e dos crucificados.</w:t>
      </w:r>
    </w:p>
    <w:p w:rsidR="00377647" w:rsidRDefault="00377647" w:rsidP="00B87A21">
      <w:pPr>
        <w:spacing w:before="120" w:after="120" w:line="360" w:lineRule="auto"/>
        <w:ind w:firstLine="708"/>
        <w:jc w:val="both"/>
      </w:pPr>
      <w:r>
        <w:t xml:space="preserve">Duas coisas, portanto, se destacam quando se percebe a Escritura por este caminho: o primeiro é de que a convivência em igualdade e fraternidade não é apenas uma coisa boa, humana, </w:t>
      </w:r>
      <w:r w:rsidR="00583AE0">
        <w:t xml:space="preserve">mas </w:t>
      </w:r>
      <w:r>
        <w:t>é também o próprio projeto de Deus, sua vontade, expressa na pregação do Reino de Deus feita por Jesus depois de toda a história, de certa forma preparatória, narrada no Antigo Testam</w:t>
      </w:r>
      <w:r w:rsidR="00D15D9B">
        <w:t>ento. Exatamente por isso</w:t>
      </w:r>
      <w:r>
        <w:t xml:space="preserve"> há que trazer para a convivência humana aqueles que estão fora, que estão à margem, deixados à beira do caminho da história, desprovidos de </w:t>
      </w:r>
      <w:proofErr w:type="gramStart"/>
      <w:r w:rsidR="00D15D9B">
        <w:t>bens</w:t>
      </w:r>
      <w:proofErr w:type="gramEnd"/>
      <w:r w:rsidR="00B857B7">
        <w:t xml:space="preserve"> mas</w:t>
      </w:r>
      <w:r w:rsidR="00D15D9B">
        <w:t>,</w:t>
      </w:r>
      <w:r>
        <w:t xml:space="preserve"> sobretudo, despidos de sua dignidade fundamental, e </w:t>
      </w:r>
      <w:r w:rsidR="00D15D9B">
        <w:t xml:space="preserve">é </w:t>
      </w:r>
      <w:r>
        <w:t>este o segundo ponto. Socorrer os que sofrem em autêntica prática de misericórdia é a ação necessária dos cristãos, tanto do ponto de vista individual quanto coletivo. Por isso se diz que é necessário descer da cruz os povos crucificados</w:t>
      </w:r>
      <w:r w:rsidR="00134472">
        <w:t xml:space="preserve"> (SOBRINO, 1994)</w:t>
      </w:r>
      <w:r>
        <w:t>, porque nossa ação, nossa fé e nossa esperança, é a de que nossos povos tenham vida, como nos lembrava a conferência de Aparecida</w:t>
      </w:r>
      <w:r w:rsidR="00D15D9B">
        <w:rPr>
          <w:rStyle w:val="Refdenotaderodap"/>
        </w:rPr>
        <w:footnoteReference w:id="7"/>
      </w:r>
      <w:r>
        <w:t xml:space="preserve">. Não é sem razão, portanto, que Francisco insiste muito nesse aspecto de </w:t>
      </w:r>
      <w:r>
        <w:lastRenderedPageBreak/>
        <w:t>solidariedade com os que sofrem, com os pobres, inclusive coletivamente: aqui se joga a credibilidade da fé cristã e, para dizer em uma palavra, a do próprio Deus.</w:t>
      </w:r>
    </w:p>
    <w:p w:rsidR="003640FC" w:rsidRPr="003640FC" w:rsidRDefault="003640FC" w:rsidP="00B87A21">
      <w:pPr>
        <w:spacing w:before="120" w:after="120" w:line="360" w:lineRule="auto"/>
        <w:jc w:val="both"/>
        <w:rPr>
          <w:b/>
        </w:rPr>
      </w:pPr>
      <w:r w:rsidRPr="003640FC">
        <w:rPr>
          <w:b/>
        </w:rPr>
        <w:t>Conclusão</w:t>
      </w:r>
    </w:p>
    <w:p w:rsidR="00CC4E7C" w:rsidRDefault="00CC4E7C" w:rsidP="00B87A21">
      <w:pPr>
        <w:spacing w:before="120" w:after="120" w:line="360" w:lineRule="auto"/>
        <w:ind w:firstLine="708"/>
        <w:jc w:val="both"/>
      </w:pPr>
      <w:r>
        <w:t xml:space="preserve">As narrativas bíblicas, do Antigo e do Novo Testamento, apontam para a Revelação de Deus que acontece na história </w:t>
      </w:r>
      <w:r w:rsidR="00B857B7">
        <w:t>humana,</w:t>
      </w:r>
      <w:r>
        <w:t xml:space="preserve"> mas no lugar e a partir dos pobres. Esta, como se disse, é sua condição de universalidade: só é de todos o que inclui os pobres, porque senão se os deixa de fora. Começar por eles indica seu privilégio, marca característica da Revelação do Deus cristão.</w:t>
      </w:r>
    </w:p>
    <w:p w:rsidR="00CC4E7C" w:rsidRDefault="00B87A21" w:rsidP="00B87A21">
      <w:pPr>
        <w:spacing w:before="120" w:after="120" w:line="360" w:lineRule="auto"/>
        <w:ind w:firstLine="708"/>
        <w:jc w:val="both"/>
      </w:pPr>
      <w:r>
        <w:t xml:space="preserve">Como fenômeno de linguagem e na perspectiva da crítica literária, as Escrituras Hebraicas e Cristãs são narrativas da dor da história desde a vida dos mais pobres. </w:t>
      </w:r>
      <w:r w:rsidR="00CC4E7C">
        <w:t>De um lado, guardar suas histórias é guardar suas memórias, afirmar sua dignidade humana, fazer referência à importância que têm no mundo porque são pessoas. Tais histórias nos colocam diante de nossa situação existencial também, não apenas porque nos refiguramos diante destas histórias, mas porque nos situamos em um mundo onde elas denunciam os equ</w:t>
      </w:r>
      <w:r w:rsidR="007F6951">
        <w:t>ívocos do caminho da humanidade e</w:t>
      </w:r>
      <w:r w:rsidR="00CC4E7C">
        <w:t xml:space="preserve"> indicam a necessidade de aperfeiçoamento de nossa civilização</w:t>
      </w:r>
      <w:r w:rsidR="007F6951">
        <w:t>,</w:t>
      </w:r>
      <w:r w:rsidR="00CC4E7C">
        <w:t xml:space="preserve"> exatamente porque o mundo não está bom para todos. Ainda há caminho a ser percorrido, ainda há espaço para melhoras e desenvolvi</w:t>
      </w:r>
      <w:r w:rsidR="007F6951">
        <w:t>mento</w:t>
      </w:r>
      <w:r w:rsidR="00CC4E7C">
        <w:t xml:space="preserve"> s</w:t>
      </w:r>
      <w:r w:rsidR="007F6951">
        <w:t>ocial, de maneira que se pode</w:t>
      </w:r>
      <w:r w:rsidR="00CC4E7C">
        <w:t xml:space="preserve"> pensar um mundo onde seja menos difícil viver. Por mais que a ciência tenha avançado e que a tecnologia tenha facilitado uma série de coisas, ainda há ca</w:t>
      </w:r>
      <w:r w:rsidR="007F6951">
        <w:t>minho de humanidade a percorrer</w:t>
      </w:r>
      <w:r w:rsidR="00CC4E7C">
        <w:t xml:space="preserve"> porque ainda há gente sofrendo.</w:t>
      </w:r>
      <w:r w:rsidR="003640FC">
        <w:t xml:space="preserve"> </w:t>
      </w:r>
      <w:r w:rsidR="007F6951">
        <w:t>Para essa consciência, a ne</w:t>
      </w:r>
      <w:r w:rsidR="003640FC">
        <w:t xml:space="preserve">cessidade de se narrarem as vidas dos </w:t>
      </w:r>
      <w:r w:rsidR="007F6951">
        <w:t>mais pobres</w:t>
      </w:r>
      <w:r w:rsidR="003640FC">
        <w:t>.</w:t>
      </w:r>
    </w:p>
    <w:p w:rsidR="003640FC" w:rsidRDefault="003640FC" w:rsidP="00B87A21">
      <w:pPr>
        <w:spacing w:before="120" w:after="120" w:line="360" w:lineRule="auto"/>
        <w:ind w:firstLine="708"/>
        <w:jc w:val="both"/>
      </w:pPr>
      <w:r>
        <w:t>P</w:t>
      </w:r>
      <w:r w:rsidR="007F6951">
        <w:t>or outro lado, é</w:t>
      </w:r>
      <w:r>
        <w:t xml:space="preserve"> extremamente importante lembrar que nós lemos a revelação de Deus</w:t>
      </w:r>
      <w:r w:rsidR="007F6951">
        <w:t xml:space="preserve"> e fazemos teologia a partir de</w:t>
      </w:r>
      <w:r>
        <w:t xml:space="preserve"> narrativas de vida d</w:t>
      </w:r>
      <w:r w:rsidR="007F6951">
        <w:t>os empobrecidos. Deus está no meio deles</w:t>
      </w:r>
      <w:r>
        <w:t xml:space="preserve"> porque sempre esteve ali. </w:t>
      </w:r>
      <w:r w:rsidR="007F6951">
        <w:t xml:space="preserve">Para se </w:t>
      </w:r>
      <w:r>
        <w:t xml:space="preserve">conhecer algo de Deus, </w:t>
      </w:r>
      <w:r w:rsidR="007F6951">
        <w:t xml:space="preserve">para </w:t>
      </w:r>
      <w:r>
        <w:t>se fazer experiência de Deus, é preciso atentar para a vida dos pobres que nos são narradas em tantos e tantos relatos de sofrimento, dor e miséria. Sim, aqui e ali há histórias de vitórias, de conquistas, de avanço. Ainda bem que é assim, mas não podemos desviar o olhar e contemplar apenas os vitoriosos. É sempre preciso, para se conhecer o Deus de Jesus, olhar para a vida dos pobres em tantas e tantas histórias que eles mesmos compõem e fazem chegar até nós.</w:t>
      </w:r>
    </w:p>
    <w:p w:rsidR="00377647" w:rsidRDefault="00B87A21" w:rsidP="00B87A21">
      <w:pPr>
        <w:spacing w:before="120" w:after="120" w:line="360" w:lineRule="auto"/>
        <w:ind w:firstLine="708"/>
        <w:jc w:val="both"/>
      </w:pPr>
      <w:r>
        <w:t xml:space="preserve">Esta perspectiva bíblica não pode ser confundida com </w:t>
      </w:r>
      <w:proofErr w:type="spellStart"/>
      <w:r>
        <w:t>ideologemas</w:t>
      </w:r>
      <w:proofErr w:type="spellEnd"/>
      <w:r w:rsidR="00E97885">
        <w:t xml:space="preserve">, se impondo a tarefa hermenêutica de discernimento os elementos ideológicos da fé, na medida em que também é um sistema de crença, para serem primeiramente autocriticados, sob risco de uma </w:t>
      </w:r>
      <w:r w:rsidR="00E97885">
        <w:lastRenderedPageBreak/>
        <w:t xml:space="preserve">fé ingênua, e consequentemente irresponsável e que corrobora para aumentar a dor dos mais pobres. Há que se afirmar o vínculo indissolúvel entre Evangelho e enfrentamento da desigualdade social. </w:t>
      </w:r>
      <w:r w:rsidR="007F6951">
        <w:t>O Papa Francisco</w:t>
      </w:r>
      <w:r w:rsidR="003640FC">
        <w:t xml:space="preserve"> lembra a todo momento a importante tarefa </w:t>
      </w:r>
      <w:r w:rsidR="007F6951">
        <w:t>d</w:t>
      </w:r>
      <w:r w:rsidR="003640FC">
        <w:t xml:space="preserve">e nos solidarizarmos com os pobres e sofredores. Não necessariamente para resolver-lhes todos os problemas, até porque vários deles são muito grandes e complexos. Não </w:t>
      </w:r>
      <w:r w:rsidR="007F6951">
        <w:t xml:space="preserve">é </w:t>
      </w:r>
      <w:r w:rsidR="003640FC">
        <w:t>precis</w:t>
      </w:r>
      <w:r w:rsidR="007F6951">
        <w:t>o</w:t>
      </w:r>
      <w:r w:rsidR="003640FC">
        <w:t xml:space="preserve"> mudar o mundo de uma vez, </w:t>
      </w:r>
      <w:r w:rsidR="007F6951">
        <w:t xml:space="preserve">mas é </w:t>
      </w:r>
      <w:r w:rsidR="003640FC">
        <w:t>precis</w:t>
      </w:r>
      <w:r w:rsidR="007F6951">
        <w:t>o</w:t>
      </w:r>
      <w:r w:rsidR="003640FC">
        <w:t xml:space="preserve"> solidari</w:t>
      </w:r>
      <w:r w:rsidR="007F6951">
        <w:t>edade para</w:t>
      </w:r>
      <w:r w:rsidR="003640FC">
        <w:t xml:space="preserve"> com os pobres. E o Francisco que nos fala sempre da prioridade dos pobres, gosta muito de</w:t>
      </w:r>
      <w:r w:rsidR="007F6951">
        <w:t>stas</w:t>
      </w:r>
      <w:r w:rsidR="003640FC">
        <w:t xml:space="preserve"> histórias onde se percebe solidariedade, esforço, grandeza humana e, sobretudo, presença salvadora de Deus. Para se conhecer a Deus, é preciso que ouçamos as narrativas de vida dos mais </w:t>
      </w:r>
      <w:r w:rsidR="007F6951">
        <w:t>pobres</w:t>
      </w:r>
      <w:r w:rsidR="003640FC">
        <w:t xml:space="preserve">, </w:t>
      </w:r>
      <w:r w:rsidR="00A23C98">
        <w:t>sofredores</w:t>
      </w:r>
      <w:r w:rsidR="003640FC">
        <w:t xml:space="preserve"> e excluídos, porque é ali que Deus </w:t>
      </w:r>
      <w:r w:rsidR="00B857B7">
        <w:t>está salvando e sustentando</w:t>
      </w:r>
      <w:r w:rsidR="003640FC">
        <w:t xml:space="preserve"> suas vidas.</w:t>
      </w:r>
    </w:p>
    <w:p w:rsidR="003640FC" w:rsidRPr="00134472" w:rsidRDefault="00134472" w:rsidP="00E97885">
      <w:pPr>
        <w:spacing w:before="120" w:after="120" w:line="360" w:lineRule="auto"/>
        <w:contextualSpacing/>
        <w:jc w:val="both"/>
        <w:rPr>
          <w:b/>
        </w:rPr>
      </w:pPr>
      <w:r w:rsidRPr="00134472">
        <w:rPr>
          <w:b/>
        </w:rPr>
        <w:t>Referências Bibliográficas</w:t>
      </w:r>
    </w:p>
    <w:p w:rsidR="000A179F" w:rsidRPr="00B970B1" w:rsidRDefault="000A179F" w:rsidP="003D51B0">
      <w:pPr>
        <w:pStyle w:val="Textodenotaderodap"/>
        <w:spacing w:after="240"/>
        <w:jc w:val="both"/>
        <w:rPr>
          <w:sz w:val="24"/>
          <w:szCs w:val="24"/>
          <w:lang w:val="es-CL"/>
        </w:rPr>
      </w:pPr>
      <w:r w:rsidRPr="000A179F">
        <w:rPr>
          <w:sz w:val="24"/>
          <w:szCs w:val="24"/>
          <w:lang w:val="es-CL"/>
        </w:rPr>
        <w:t>ARGERICH</w:t>
      </w:r>
      <w:r>
        <w:rPr>
          <w:b/>
          <w:sz w:val="24"/>
          <w:szCs w:val="24"/>
          <w:lang w:val="es-CL"/>
        </w:rPr>
        <w:t>,</w:t>
      </w:r>
      <w:r w:rsidRPr="00B970B1">
        <w:rPr>
          <w:sz w:val="24"/>
          <w:szCs w:val="24"/>
          <w:lang w:val="es-CL"/>
        </w:rPr>
        <w:t xml:space="preserve"> Mateo</w:t>
      </w:r>
      <w:r>
        <w:rPr>
          <w:sz w:val="24"/>
          <w:szCs w:val="24"/>
          <w:lang w:val="es-CL"/>
        </w:rPr>
        <w:t>;</w:t>
      </w:r>
      <w:r w:rsidRPr="00B970B1">
        <w:rPr>
          <w:sz w:val="24"/>
          <w:szCs w:val="24"/>
          <w:lang w:val="es-CL"/>
        </w:rPr>
        <w:t xml:space="preserve"> </w:t>
      </w:r>
      <w:r w:rsidRPr="000A179F">
        <w:rPr>
          <w:sz w:val="24"/>
          <w:szCs w:val="24"/>
          <w:lang w:val="es-CL"/>
        </w:rPr>
        <w:t>QUELAS,</w:t>
      </w:r>
      <w:r w:rsidRPr="00B970B1">
        <w:rPr>
          <w:sz w:val="24"/>
          <w:szCs w:val="24"/>
          <w:lang w:val="es-CL"/>
        </w:rPr>
        <w:t xml:space="preserve"> </w:t>
      </w:r>
      <w:r w:rsidRPr="00B970B1">
        <w:rPr>
          <w:sz w:val="24"/>
          <w:szCs w:val="24"/>
          <w:lang w:val="es-CL"/>
        </w:rPr>
        <w:t xml:space="preserve">Juan et al., </w:t>
      </w:r>
      <w:r w:rsidRPr="000A179F">
        <w:rPr>
          <w:b/>
          <w:sz w:val="24"/>
          <w:szCs w:val="24"/>
          <w:lang w:val="es-CL"/>
        </w:rPr>
        <w:t>Vidas de pasión y compasión</w:t>
      </w:r>
      <w:r w:rsidRPr="00B970B1">
        <w:rPr>
          <w:sz w:val="24"/>
          <w:szCs w:val="24"/>
          <w:lang w:val="es-CL"/>
        </w:rPr>
        <w:t>, Buenos Aires: Horizonte de Máxima, 2016.</w:t>
      </w:r>
    </w:p>
    <w:p w:rsidR="000A179F" w:rsidRPr="00633E9C" w:rsidRDefault="000A179F" w:rsidP="003D51B0">
      <w:pPr>
        <w:spacing w:after="240"/>
        <w:rPr>
          <w:rFonts w:eastAsia="Calibri" w:cs="Times New Roman"/>
          <w:szCs w:val="24"/>
        </w:rPr>
      </w:pPr>
      <w:r w:rsidRPr="00633E9C">
        <w:rPr>
          <w:rFonts w:eastAsia="Calibri" w:cs="Times New Roman"/>
          <w:szCs w:val="24"/>
        </w:rPr>
        <w:t>BOURDIEU, P</w:t>
      </w:r>
      <w:r>
        <w:rPr>
          <w:rFonts w:eastAsia="Calibri" w:cs="Times New Roman"/>
          <w:szCs w:val="24"/>
        </w:rPr>
        <w:t>ierre</w:t>
      </w:r>
      <w:r w:rsidRPr="00633E9C">
        <w:rPr>
          <w:rFonts w:eastAsia="Calibri" w:cs="Times New Roman"/>
          <w:szCs w:val="24"/>
        </w:rPr>
        <w:t xml:space="preserve">. </w:t>
      </w:r>
      <w:r w:rsidRPr="000A179F">
        <w:rPr>
          <w:rFonts w:eastAsia="Calibri" w:cs="Times New Roman"/>
          <w:b/>
          <w:szCs w:val="24"/>
        </w:rPr>
        <w:t>Contrafogos: táticas para enfrentar a invasão neoliberal</w:t>
      </w:r>
      <w:r w:rsidRPr="00633E9C">
        <w:rPr>
          <w:rFonts w:eastAsia="Calibri" w:cs="Times New Roman"/>
          <w:szCs w:val="24"/>
        </w:rPr>
        <w:t>. Rio de Janeiro: Jorge Zahar, 1998.</w:t>
      </w:r>
    </w:p>
    <w:p w:rsidR="000A179F" w:rsidRPr="00326644" w:rsidRDefault="000A179F" w:rsidP="003D51B0">
      <w:pPr>
        <w:spacing w:after="240"/>
        <w:jc w:val="both"/>
        <w:rPr>
          <w:rFonts w:eastAsia="Calibri" w:cs="Times New Roman"/>
        </w:rPr>
      </w:pPr>
      <w:r w:rsidRPr="003D51B0">
        <w:rPr>
          <w:szCs w:val="24"/>
        </w:rPr>
        <w:t>CELAM</w:t>
      </w:r>
      <w:r>
        <w:rPr>
          <w:rFonts w:eastAsia="Calibri" w:cs="Times New Roman"/>
        </w:rPr>
        <w:t xml:space="preserve">. </w:t>
      </w:r>
      <w:r w:rsidRPr="003D51B0">
        <w:rPr>
          <w:rFonts w:eastAsia="Calibri" w:cs="Times New Roman"/>
          <w:b/>
        </w:rPr>
        <w:t>DOCUMENTO DE APARECIDA</w:t>
      </w:r>
      <w:r w:rsidRPr="00326644">
        <w:rPr>
          <w:rFonts w:eastAsia="Calibri" w:cs="Times New Roman"/>
        </w:rPr>
        <w:t xml:space="preserve">: Texto conclusivo da V Conferência Geral do Episcopado Latino-Americano e do Caribe. Brasília: Edições CNBB/São Paulo: </w:t>
      </w:r>
      <w:proofErr w:type="spellStart"/>
      <w:r w:rsidRPr="00326644">
        <w:rPr>
          <w:rFonts w:eastAsia="Calibri" w:cs="Times New Roman"/>
        </w:rPr>
        <w:t>Paulus</w:t>
      </w:r>
      <w:proofErr w:type="spellEnd"/>
      <w:r w:rsidRPr="00326644">
        <w:rPr>
          <w:rFonts w:eastAsia="Calibri" w:cs="Times New Roman"/>
        </w:rPr>
        <w:t>/Paulinas, 2007.</w:t>
      </w:r>
    </w:p>
    <w:p w:rsidR="000A179F" w:rsidRPr="00633E9C" w:rsidRDefault="000A179F" w:rsidP="003D51B0">
      <w:pPr>
        <w:spacing w:after="240"/>
        <w:jc w:val="both"/>
        <w:rPr>
          <w:rFonts w:eastAsia="Times New Roman" w:cs="Times New Roman"/>
          <w:szCs w:val="24"/>
          <w:lang w:eastAsia="pt-BR"/>
        </w:rPr>
      </w:pPr>
      <w:r w:rsidRPr="00633E9C">
        <w:rPr>
          <w:rFonts w:eastAsia="Times New Roman" w:cs="Times New Roman"/>
          <w:szCs w:val="24"/>
          <w:lang w:eastAsia="pt-BR"/>
        </w:rPr>
        <w:t xml:space="preserve">FRANCISCO. </w:t>
      </w:r>
      <w:r w:rsidRPr="000A179F">
        <w:rPr>
          <w:rFonts w:eastAsia="Times New Roman" w:cs="Times New Roman"/>
          <w:b/>
          <w:szCs w:val="24"/>
          <w:lang w:eastAsia="pt-BR"/>
        </w:rPr>
        <w:t>Exortação Apostólica </w:t>
      </w:r>
      <w:proofErr w:type="spellStart"/>
      <w:r w:rsidRPr="000A179F">
        <w:rPr>
          <w:rFonts w:eastAsia="Times New Roman" w:cs="Times New Roman"/>
          <w:b/>
          <w:i/>
          <w:iCs/>
          <w:szCs w:val="24"/>
          <w:lang w:eastAsia="pt-BR"/>
        </w:rPr>
        <w:t>Evangelii</w:t>
      </w:r>
      <w:proofErr w:type="spellEnd"/>
      <w:r w:rsidRPr="000A179F">
        <w:rPr>
          <w:rFonts w:eastAsia="Times New Roman" w:cs="Times New Roman"/>
          <w:b/>
          <w:i/>
          <w:iCs/>
          <w:szCs w:val="24"/>
          <w:lang w:eastAsia="pt-BR"/>
        </w:rPr>
        <w:t xml:space="preserve"> </w:t>
      </w:r>
      <w:proofErr w:type="spellStart"/>
      <w:r w:rsidRPr="000A179F">
        <w:rPr>
          <w:rFonts w:eastAsia="Times New Roman" w:cs="Times New Roman"/>
          <w:b/>
          <w:i/>
          <w:iCs/>
          <w:szCs w:val="24"/>
          <w:lang w:eastAsia="pt-BR"/>
        </w:rPr>
        <w:t>gaudium</w:t>
      </w:r>
      <w:proofErr w:type="spellEnd"/>
      <w:r w:rsidRPr="00633E9C">
        <w:rPr>
          <w:rFonts w:eastAsia="Times New Roman" w:cs="Times New Roman"/>
          <w:szCs w:val="24"/>
          <w:lang w:eastAsia="pt-BR"/>
        </w:rPr>
        <w:t xml:space="preserve"> – Sobre o anúncio do Evangelho no mundo atual. 24 de Novembro de 2013. Disponível em: &lt;https://w2.vatican.va/content/francesco/pt/apost_exhortations/documents/papa-francesco_esortazione-ap_20131124_evangelii-gaudium.html &gt;.</w:t>
      </w:r>
    </w:p>
    <w:p w:rsidR="000A179F" w:rsidRDefault="000A179F" w:rsidP="003D51B0">
      <w:pPr>
        <w:pStyle w:val="Textodenotaderodap"/>
        <w:spacing w:after="240"/>
        <w:jc w:val="both"/>
        <w:rPr>
          <w:sz w:val="24"/>
          <w:szCs w:val="24"/>
        </w:rPr>
      </w:pPr>
      <w:r w:rsidRPr="003D51B0">
        <w:rPr>
          <w:sz w:val="24"/>
          <w:szCs w:val="24"/>
        </w:rPr>
        <w:t xml:space="preserve">FRANCISCO. </w:t>
      </w:r>
      <w:proofErr w:type="spellStart"/>
      <w:r w:rsidRPr="003D51B0">
        <w:rPr>
          <w:b/>
          <w:i/>
          <w:sz w:val="24"/>
          <w:szCs w:val="24"/>
        </w:rPr>
        <w:t>Misericordiae</w:t>
      </w:r>
      <w:proofErr w:type="spellEnd"/>
      <w:r w:rsidRPr="003D51B0">
        <w:rPr>
          <w:b/>
          <w:i/>
          <w:sz w:val="24"/>
          <w:szCs w:val="24"/>
        </w:rPr>
        <w:t xml:space="preserve"> </w:t>
      </w:r>
      <w:proofErr w:type="spellStart"/>
      <w:r w:rsidRPr="003D51B0">
        <w:rPr>
          <w:b/>
          <w:i/>
          <w:sz w:val="24"/>
          <w:szCs w:val="24"/>
        </w:rPr>
        <w:t>Vultus</w:t>
      </w:r>
      <w:proofErr w:type="spellEnd"/>
      <w:r w:rsidRPr="003D51B0">
        <w:rPr>
          <w:sz w:val="24"/>
          <w:szCs w:val="24"/>
        </w:rPr>
        <w:t>. Bula de Proclamação do Jubileu Extraordinário da Misericórdia. 11/04/2015.</w:t>
      </w:r>
    </w:p>
    <w:p w:rsidR="000A179F" w:rsidRPr="00134472" w:rsidRDefault="000A179F" w:rsidP="003D51B0">
      <w:pPr>
        <w:pStyle w:val="Textodenotaderodap"/>
        <w:spacing w:after="240"/>
        <w:jc w:val="both"/>
        <w:rPr>
          <w:sz w:val="24"/>
          <w:szCs w:val="24"/>
        </w:rPr>
      </w:pPr>
      <w:r w:rsidRPr="000A179F">
        <w:rPr>
          <w:sz w:val="24"/>
          <w:szCs w:val="24"/>
        </w:rPr>
        <w:t>GRENZER</w:t>
      </w:r>
      <w:r>
        <w:rPr>
          <w:sz w:val="24"/>
          <w:szCs w:val="24"/>
        </w:rPr>
        <w:t xml:space="preserve">, </w:t>
      </w:r>
      <w:proofErr w:type="spellStart"/>
      <w:r w:rsidRPr="00134472">
        <w:rPr>
          <w:sz w:val="24"/>
          <w:szCs w:val="24"/>
        </w:rPr>
        <w:t>Matthias</w:t>
      </w:r>
      <w:proofErr w:type="spellEnd"/>
      <w:r w:rsidRPr="00134472">
        <w:rPr>
          <w:sz w:val="24"/>
          <w:szCs w:val="24"/>
        </w:rPr>
        <w:t xml:space="preserve">, </w:t>
      </w:r>
      <w:r w:rsidRPr="000A179F">
        <w:rPr>
          <w:b/>
          <w:sz w:val="24"/>
          <w:szCs w:val="24"/>
        </w:rPr>
        <w:t>O projeto do êxodo</w:t>
      </w:r>
      <w:r w:rsidRPr="00134472">
        <w:rPr>
          <w:sz w:val="24"/>
          <w:szCs w:val="24"/>
        </w:rPr>
        <w:t>, São Paulo: Paulinas, 2007.</w:t>
      </w:r>
    </w:p>
    <w:p w:rsidR="000A179F" w:rsidRPr="00633E9C" w:rsidRDefault="000A179F" w:rsidP="003D51B0">
      <w:pPr>
        <w:spacing w:after="240"/>
        <w:jc w:val="both"/>
        <w:rPr>
          <w:rFonts w:eastAsia="Calibri" w:cs="Times New Roman"/>
          <w:szCs w:val="24"/>
        </w:rPr>
      </w:pPr>
      <w:r w:rsidRPr="00633E9C">
        <w:rPr>
          <w:rFonts w:eastAsia="Calibri" w:cs="Times New Roman"/>
          <w:szCs w:val="24"/>
          <w:shd w:val="clear" w:color="auto" w:fill="FFFFFF"/>
          <w:lang w:val="es-CL"/>
        </w:rPr>
        <w:t xml:space="preserve">HABERMAS, </w:t>
      </w:r>
      <w:proofErr w:type="spellStart"/>
      <w:r w:rsidRPr="00633E9C">
        <w:rPr>
          <w:rFonts w:eastAsia="Calibri" w:cs="Times New Roman"/>
          <w:szCs w:val="24"/>
          <w:shd w:val="clear" w:color="auto" w:fill="FFFFFF"/>
          <w:lang w:val="es-CL"/>
        </w:rPr>
        <w:t>J</w:t>
      </w:r>
      <w:r>
        <w:rPr>
          <w:rFonts w:eastAsia="Calibri" w:cs="Times New Roman"/>
          <w:szCs w:val="24"/>
          <w:shd w:val="clear" w:color="auto" w:fill="FFFFFF"/>
          <w:lang w:val="es-CL"/>
        </w:rPr>
        <w:t>ügerman</w:t>
      </w:r>
      <w:proofErr w:type="spellEnd"/>
      <w:r w:rsidRPr="00633E9C">
        <w:rPr>
          <w:rFonts w:eastAsia="Calibri" w:cs="Times New Roman"/>
          <w:szCs w:val="24"/>
          <w:shd w:val="clear" w:color="auto" w:fill="FFFFFF"/>
          <w:lang w:val="es-CL"/>
        </w:rPr>
        <w:t xml:space="preserve">. </w:t>
      </w:r>
      <w:proofErr w:type="spellStart"/>
      <w:r w:rsidRPr="000A179F">
        <w:rPr>
          <w:rFonts w:eastAsia="Calibri" w:cs="Times New Roman"/>
          <w:b/>
          <w:szCs w:val="24"/>
          <w:shd w:val="clear" w:color="auto" w:fill="FFFFFF"/>
          <w:lang w:val="es-CL"/>
        </w:rPr>
        <w:t>Teoria</w:t>
      </w:r>
      <w:proofErr w:type="spellEnd"/>
      <w:r w:rsidRPr="000A179F">
        <w:rPr>
          <w:rFonts w:eastAsia="Calibri" w:cs="Times New Roman"/>
          <w:b/>
          <w:szCs w:val="24"/>
          <w:shd w:val="clear" w:color="auto" w:fill="FFFFFF"/>
          <w:lang w:val="es-CL"/>
        </w:rPr>
        <w:t xml:space="preserve"> de la acción comunicativa</w:t>
      </w:r>
      <w:r w:rsidRPr="00633E9C">
        <w:rPr>
          <w:rFonts w:eastAsia="Calibri" w:cs="Times New Roman"/>
          <w:szCs w:val="24"/>
          <w:shd w:val="clear" w:color="auto" w:fill="FFFFFF"/>
          <w:lang w:val="es-CL"/>
        </w:rPr>
        <w:t xml:space="preserve">. </w:t>
      </w:r>
      <w:r w:rsidRPr="00633E9C">
        <w:rPr>
          <w:rFonts w:eastAsia="Calibri" w:cs="Times New Roman"/>
          <w:szCs w:val="24"/>
          <w:shd w:val="clear" w:color="auto" w:fill="FFFFFF"/>
        </w:rPr>
        <w:t>Madri, Taurus, 1981.</w:t>
      </w:r>
    </w:p>
    <w:p w:rsidR="000A179F" w:rsidRPr="003D51B0" w:rsidRDefault="000A179F" w:rsidP="003D51B0">
      <w:pPr>
        <w:spacing w:after="240"/>
        <w:rPr>
          <w:rFonts w:cs="Times New Roman"/>
          <w:szCs w:val="24"/>
          <w:lang w:val="en-US"/>
        </w:rPr>
      </w:pPr>
      <w:r w:rsidRPr="00633E9C">
        <w:rPr>
          <w:rFonts w:cs="Times New Roman"/>
          <w:szCs w:val="24"/>
          <w:lang w:val="en-US"/>
        </w:rPr>
        <w:t>JAMESON. F</w:t>
      </w:r>
      <w:r>
        <w:rPr>
          <w:rFonts w:cs="Times New Roman"/>
          <w:szCs w:val="24"/>
          <w:lang w:val="en-US"/>
        </w:rPr>
        <w:t>redric</w:t>
      </w:r>
      <w:r w:rsidRPr="00633E9C">
        <w:rPr>
          <w:rFonts w:cs="Times New Roman"/>
          <w:szCs w:val="24"/>
          <w:lang w:val="en-US"/>
        </w:rPr>
        <w:t xml:space="preserve">. </w:t>
      </w:r>
      <w:r w:rsidRPr="000A179F">
        <w:rPr>
          <w:rFonts w:cs="Times New Roman"/>
          <w:b/>
          <w:szCs w:val="24"/>
          <w:lang w:val="en-US"/>
        </w:rPr>
        <w:t>Marxism and form</w:t>
      </w:r>
      <w:r w:rsidRPr="00633E9C">
        <w:rPr>
          <w:rFonts w:cs="Times New Roman"/>
          <w:szCs w:val="24"/>
          <w:lang w:val="en-US"/>
        </w:rPr>
        <w:t xml:space="preserve">. </w:t>
      </w:r>
      <w:r w:rsidRPr="003D51B0">
        <w:rPr>
          <w:rFonts w:cs="Times New Roman"/>
          <w:szCs w:val="24"/>
          <w:lang w:val="en-US"/>
        </w:rPr>
        <w:t>Princeton: Princeton University Press, 1971.</w:t>
      </w:r>
    </w:p>
    <w:p w:rsidR="000A179F" w:rsidRPr="003D51B0" w:rsidRDefault="000A179F" w:rsidP="003D51B0">
      <w:pPr>
        <w:widowControl w:val="0"/>
        <w:suppressAutoHyphens/>
        <w:spacing w:after="240"/>
        <w:jc w:val="both"/>
        <w:rPr>
          <w:rFonts w:eastAsia="Times New Roman" w:cs="Times New Roman"/>
          <w:szCs w:val="24"/>
          <w:lang w:val="en-US" w:eastAsia="ar-SA"/>
        </w:rPr>
      </w:pPr>
      <w:r w:rsidRPr="00633E9C">
        <w:rPr>
          <w:rFonts w:eastAsia="Times New Roman" w:cs="Times New Roman"/>
          <w:szCs w:val="24"/>
          <w:lang w:eastAsia="ar-SA"/>
        </w:rPr>
        <w:t xml:space="preserve">JAMESON. </w:t>
      </w:r>
      <w:proofErr w:type="spellStart"/>
      <w:r w:rsidRPr="00633E9C">
        <w:rPr>
          <w:rFonts w:eastAsia="Times New Roman" w:cs="Times New Roman"/>
          <w:szCs w:val="24"/>
          <w:lang w:eastAsia="ar-SA"/>
        </w:rPr>
        <w:t>F</w:t>
      </w:r>
      <w:r>
        <w:rPr>
          <w:rFonts w:eastAsia="Times New Roman" w:cs="Times New Roman"/>
          <w:szCs w:val="24"/>
          <w:lang w:eastAsia="ar-SA"/>
        </w:rPr>
        <w:t>redric</w:t>
      </w:r>
      <w:proofErr w:type="spellEnd"/>
      <w:r w:rsidRPr="00633E9C">
        <w:rPr>
          <w:rFonts w:eastAsia="Times New Roman" w:cs="Times New Roman"/>
          <w:szCs w:val="24"/>
          <w:lang w:eastAsia="ar-SA"/>
        </w:rPr>
        <w:t xml:space="preserve">. </w:t>
      </w:r>
      <w:r w:rsidRPr="000A179F">
        <w:rPr>
          <w:rFonts w:eastAsia="Times New Roman" w:cs="Times New Roman"/>
          <w:b/>
          <w:szCs w:val="24"/>
          <w:lang w:eastAsia="ar-SA"/>
        </w:rPr>
        <w:t>O inconsciente político:</w:t>
      </w:r>
      <w:r w:rsidRPr="00633E9C">
        <w:rPr>
          <w:rFonts w:eastAsia="Times New Roman" w:cs="Times New Roman"/>
          <w:szCs w:val="24"/>
          <w:lang w:eastAsia="ar-SA"/>
        </w:rPr>
        <w:t xml:space="preserve"> a narrativa como ato socialmente simbólico. </w:t>
      </w:r>
      <w:r w:rsidRPr="003D51B0">
        <w:rPr>
          <w:rFonts w:eastAsia="Times New Roman" w:cs="Times New Roman"/>
          <w:szCs w:val="24"/>
          <w:lang w:val="en-US" w:eastAsia="ar-SA"/>
        </w:rPr>
        <w:t xml:space="preserve">São Paulo: </w:t>
      </w:r>
      <w:proofErr w:type="spellStart"/>
      <w:r w:rsidRPr="003D51B0">
        <w:rPr>
          <w:rFonts w:eastAsia="Times New Roman" w:cs="Times New Roman"/>
          <w:szCs w:val="24"/>
          <w:lang w:val="en-US" w:eastAsia="ar-SA"/>
        </w:rPr>
        <w:t>Ática</w:t>
      </w:r>
      <w:proofErr w:type="spellEnd"/>
      <w:r w:rsidRPr="003D51B0">
        <w:rPr>
          <w:rFonts w:eastAsia="Times New Roman" w:cs="Times New Roman"/>
          <w:szCs w:val="24"/>
          <w:lang w:val="en-US" w:eastAsia="ar-SA"/>
        </w:rPr>
        <w:t xml:space="preserve">, 1992. </w:t>
      </w:r>
    </w:p>
    <w:p w:rsidR="000A179F" w:rsidRPr="003D51B0" w:rsidRDefault="000A179F" w:rsidP="003D51B0">
      <w:pPr>
        <w:pStyle w:val="Textodenotaderodap"/>
        <w:spacing w:after="240"/>
        <w:jc w:val="both"/>
        <w:rPr>
          <w:sz w:val="24"/>
          <w:szCs w:val="24"/>
        </w:rPr>
      </w:pPr>
      <w:r w:rsidRPr="000A179F">
        <w:rPr>
          <w:sz w:val="24"/>
          <w:szCs w:val="24"/>
        </w:rPr>
        <w:t>MARQUEZ</w:t>
      </w:r>
      <w:r w:rsidRPr="003D51B0">
        <w:rPr>
          <w:sz w:val="24"/>
          <w:szCs w:val="24"/>
        </w:rPr>
        <w:t xml:space="preserve">, </w:t>
      </w:r>
      <w:r w:rsidRPr="003D51B0">
        <w:rPr>
          <w:sz w:val="24"/>
          <w:szCs w:val="24"/>
        </w:rPr>
        <w:t xml:space="preserve">Gabriel </w:t>
      </w:r>
      <w:proofErr w:type="gramStart"/>
      <w:r w:rsidRPr="003D51B0">
        <w:rPr>
          <w:sz w:val="24"/>
          <w:szCs w:val="24"/>
        </w:rPr>
        <w:t xml:space="preserve">Garcia </w:t>
      </w:r>
      <w:r w:rsidRPr="003D51B0">
        <w:rPr>
          <w:sz w:val="24"/>
          <w:szCs w:val="24"/>
        </w:rPr>
        <w:t>.</w:t>
      </w:r>
      <w:proofErr w:type="gramEnd"/>
      <w:r w:rsidRPr="003D51B0">
        <w:rPr>
          <w:sz w:val="24"/>
          <w:szCs w:val="24"/>
        </w:rPr>
        <w:t xml:space="preserve"> </w:t>
      </w:r>
      <w:proofErr w:type="spellStart"/>
      <w:r w:rsidRPr="000A179F">
        <w:rPr>
          <w:b/>
          <w:sz w:val="24"/>
          <w:szCs w:val="24"/>
        </w:rPr>
        <w:t>Vivir</w:t>
      </w:r>
      <w:proofErr w:type="spellEnd"/>
      <w:r w:rsidRPr="000A179F">
        <w:rPr>
          <w:b/>
          <w:sz w:val="24"/>
          <w:szCs w:val="24"/>
        </w:rPr>
        <w:t xml:space="preserve"> para </w:t>
      </w:r>
      <w:proofErr w:type="spellStart"/>
      <w:r w:rsidRPr="000A179F">
        <w:rPr>
          <w:b/>
          <w:sz w:val="24"/>
          <w:szCs w:val="24"/>
        </w:rPr>
        <w:t>contarla</w:t>
      </w:r>
      <w:proofErr w:type="spellEnd"/>
      <w:r w:rsidRPr="003D51B0">
        <w:rPr>
          <w:sz w:val="24"/>
          <w:szCs w:val="24"/>
        </w:rPr>
        <w:t>, 2002.</w:t>
      </w:r>
    </w:p>
    <w:p w:rsidR="000A179F" w:rsidRDefault="000A179F" w:rsidP="003D51B0">
      <w:pPr>
        <w:pStyle w:val="Textodenotaderodap"/>
        <w:spacing w:after="240"/>
        <w:jc w:val="both"/>
        <w:rPr>
          <w:sz w:val="24"/>
          <w:szCs w:val="24"/>
        </w:rPr>
      </w:pPr>
      <w:r w:rsidRPr="000A179F">
        <w:rPr>
          <w:sz w:val="24"/>
          <w:szCs w:val="24"/>
        </w:rPr>
        <w:t>RIBEIRO DE OLIVEIRA</w:t>
      </w:r>
      <w:r>
        <w:rPr>
          <w:sz w:val="24"/>
          <w:szCs w:val="24"/>
        </w:rPr>
        <w:t xml:space="preserve">, </w:t>
      </w:r>
      <w:r w:rsidRPr="00134472">
        <w:rPr>
          <w:sz w:val="24"/>
          <w:szCs w:val="24"/>
        </w:rPr>
        <w:t>Pedro A. (</w:t>
      </w:r>
      <w:proofErr w:type="spellStart"/>
      <w:r w:rsidRPr="00134472">
        <w:rPr>
          <w:sz w:val="24"/>
          <w:szCs w:val="24"/>
        </w:rPr>
        <w:t>org</w:t>
      </w:r>
      <w:proofErr w:type="spellEnd"/>
      <w:r w:rsidRPr="00134472">
        <w:rPr>
          <w:sz w:val="24"/>
          <w:szCs w:val="24"/>
        </w:rPr>
        <w:t>)</w:t>
      </w:r>
      <w:r>
        <w:rPr>
          <w:sz w:val="24"/>
          <w:szCs w:val="24"/>
        </w:rPr>
        <w:t xml:space="preserve">. </w:t>
      </w:r>
      <w:r w:rsidRPr="000A179F">
        <w:rPr>
          <w:b/>
          <w:sz w:val="24"/>
          <w:szCs w:val="24"/>
        </w:rPr>
        <w:t>A opção pelos pobres no século XXI</w:t>
      </w:r>
      <w:r>
        <w:rPr>
          <w:sz w:val="24"/>
          <w:szCs w:val="24"/>
        </w:rPr>
        <w:t xml:space="preserve">. </w:t>
      </w:r>
      <w:r w:rsidRPr="00134472">
        <w:rPr>
          <w:sz w:val="24"/>
          <w:szCs w:val="24"/>
        </w:rPr>
        <w:t xml:space="preserve"> São Paulo: Paulinas, 2011.</w:t>
      </w:r>
    </w:p>
    <w:p w:rsidR="000A179F" w:rsidRPr="00134472" w:rsidRDefault="000A179F" w:rsidP="003D51B0">
      <w:pPr>
        <w:pStyle w:val="Textodenotaderodap"/>
        <w:spacing w:after="240"/>
        <w:jc w:val="both"/>
        <w:rPr>
          <w:sz w:val="24"/>
          <w:szCs w:val="24"/>
        </w:rPr>
      </w:pPr>
      <w:r w:rsidRPr="000A179F">
        <w:rPr>
          <w:sz w:val="24"/>
          <w:szCs w:val="24"/>
        </w:rPr>
        <w:t>RICHARD</w:t>
      </w:r>
      <w:r>
        <w:rPr>
          <w:b/>
          <w:sz w:val="24"/>
          <w:szCs w:val="24"/>
        </w:rPr>
        <w:t>,</w:t>
      </w:r>
      <w:r>
        <w:rPr>
          <w:sz w:val="24"/>
          <w:szCs w:val="24"/>
        </w:rPr>
        <w:t xml:space="preserve"> Pablo et a</w:t>
      </w:r>
      <w:r w:rsidRPr="00134472">
        <w:rPr>
          <w:sz w:val="24"/>
          <w:szCs w:val="24"/>
        </w:rPr>
        <w:t xml:space="preserve">l., </w:t>
      </w:r>
      <w:r w:rsidRPr="000A179F">
        <w:rPr>
          <w:b/>
          <w:sz w:val="24"/>
          <w:szCs w:val="24"/>
        </w:rPr>
        <w:t>A luta dos deuses</w:t>
      </w:r>
      <w:r w:rsidRPr="00134472">
        <w:rPr>
          <w:sz w:val="24"/>
          <w:szCs w:val="24"/>
        </w:rPr>
        <w:t>, São Paulo: Paulinas, 1982.</w:t>
      </w:r>
    </w:p>
    <w:p w:rsidR="000A179F" w:rsidRPr="00633E9C" w:rsidRDefault="000A179F" w:rsidP="003D51B0">
      <w:pPr>
        <w:spacing w:after="240"/>
        <w:jc w:val="both"/>
        <w:rPr>
          <w:rFonts w:eastAsia="Calibri" w:cs="Times New Roman"/>
          <w:szCs w:val="24"/>
        </w:rPr>
      </w:pPr>
      <w:r w:rsidRPr="00633E9C">
        <w:rPr>
          <w:rFonts w:eastAsia="Calibri" w:cs="Times New Roman"/>
          <w:szCs w:val="24"/>
        </w:rPr>
        <w:lastRenderedPageBreak/>
        <w:t>SINGER, A</w:t>
      </w:r>
      <w:r>
        <w:rPr>
          <w:rFonts w:eastAsia="Calibri" w:cs="Times New Roman"/>
          <w:szCs w:val="24"/>
        </w:rPr>
        <w:t>ndré</w:t>
      </w:r>
      <w:r w:rsidRPr="00633E9C">
        <w:rPr>
          <w:rFonts w:eastAsia="Calibri" w:cs="Times New Roman"/>
          <w:szCs w:val="24"/>
        </w:rPr>
        <w:t xml:space="preserve">; LOUREIRO, S. </w:t>
      </w:r>
      <w:r w:rsidRPr="000A179F">
        <w:rPr>
          <w:rFonts w:eastAsia="Calibri" w:cs="Times New Roman"/>
          <w:b/>
          <w:szCs w:val="24"/>
        </w:rPr>
        <w:t xml:space="preserve">As Contradições do </w:t>
      </w:r>
      <w:proofErr w:type="spellStart"/>
      <w:r w:rsidRPr="000A179F">
        <w:rPr>
          <w:rFonts w:eastAsia="Calibri" w:cs="Times New Roman"/>
          <w:b/>
          <w:szCs w:val="24"/>
        </w:rPr>
        <w:t>Lulismo</w:t>
      </w:r>
      <w:proofErr w:type="spellEnd"/>
      <w:r w:rsidRPr="00633E9C">
        <w:rPr>
          <w:rFonts w:eastAsia="Calibri" w:cs="Times New Roman"/>
          <w:szCs w:val="24"/>
        </w:rPr>
        <w:t xml:space="preserve"> – A que ponto chegamos? </w:t>
      </w:r>
      <w:proofErr w:type="spellStart"/>
      <w:r w:rsidRPr="00633E9C">
        <w:rPr>
          <w:rFonts w:eastAsia="Calibri" w:cs="Times New Roman"/>
          <w:szCs w:val="24"/>
        </w:rPr>
        <w:t>Boitempo</w:t>
      </w:r>
      <w:proofErr w:type="spellEnd"/>
      <w:r w:rsidRPr="00633E9C">
        <w:rPr>
          <w:rFonts w:eastAsia="Calibri" w:cs="Times New Roman"/>
          <w:szCs w:val="24"/>
        </w:rPr>
        <w:t>: Rio de Janeiro, 2016.</w:t>
      </w:r>
    </w:p>
    <w:p w:rsidR="000A179F" w:rsidRPr="00134472" w:rsidRDefault="000A179F" w:rsidP="003D51B0">
      <w:pPr>
        <w:spacing w:after="240"/>
        <w:jc w:val="both"/>
        <w:rPr>
          <w:szCs w:val="24"/>
        </w:rPr>
      </w:pPr>
      <w:r w:rsidRPr="000A179F">
        <w:rPr>
          <w:szCs w:val="24"/>
        </w:rPr>
        <w:t>SKA</w:t>
      </w:r>
      <w:r>
        <w:rPr>
          <w:b/>
          <w:szCs w:val="24"/>
        </w:rPr>
        <w:t xml:space="preserve">, </w:t>
      </w:r>
      <w:r w:rsidRPr="00134472">
        <w:rPr>
          <w:szCs w:val="24"/>
        </w:rPr>
        <w:t>Jean-Louis</w:t>
      </w:r>
      <w:r>
        <w:rPr>
          <w:b/>
          <w:szCs w:val="24"/>
        </w:rPr>
        <w:t xml:space="preserve">. </w:t>
      </w:r>
      <w:r w:rsidRPr="00134472">
        <w:rPr>
          <w:szCs w:val="24"/>
        </w:rPr>
        <w:t xml:space="preserve"> </w:t>
      </w:r>
      <w:r w:rsidRPr="000A179F">
        <w:rPr>
          <w:b/>
          <w:szCs w:val="24"/>
        </w:rPr>
        <w:t>O canteiro do Pentateuco</w:t>
      </w:r>
      <w:r>
        <w:rPr>
          <w:szCs w:val="24"/>
        </w:rPr>
        <w:t>. São Paulo: Paulinas, 2016</w:t>
      </w:r>
    </w:p>
    <w:p w:rsidR="000A179F" w:rsidRPr="00134472" w:rsidRDefault="000A179F" w:rsidP="003D51B0">
      <w:pPr>
        <w:pStyle w:val="Textodenotaderodap"/>
        <w:spacing w:after="240"/>
        <w:jc w:val="both"/>
        <w:rPr>
          <w:sz w:val="24"/>
          <w:szCs w:val="24"/>
        </w:rPr>
      </w:pPr>
      <w:r w:rsidRPr="000A179F">
        <w:rPr>
          <w:sz w:val="24"/>
          <w:szCs w:val="24"/>
        </w:rPr>
        <w:t>SOBRINO,</w:t>
      </w:r>
      <w:r>
        <w:rPr>
          <w:sz w:val="24"/>
          <w:szCs w:val="24"/>
        </w:rPr>
        <w:t xml:space="preserve"> </w:t>
      </w:r>
      <w:r w:rsidRPr="00134472">
        <w:rPr>
          <w:sz w:val="24"/>
          <w:szCs w:val="24"/>
        </w:rPr>
        <w:t xml:space="preserve">Jon, </w:t>
      </w:r>
      <w:r w:rsidRPr="000A179F">
        <w:rPr>
          <w:b/>
          <w:sz w:val="24"/>
          <w:szCs w:val="24"/>
        </w:rPr>
        <w:t>O princípio misericórdia</w:t>
      </w:r>
      <w:r>
        <w:rPr>
          <w:sz w:val="24"/>
          <w:szCs w:val="24"/>
        </w:rPr>
        <w:t>.</w:t>
      </w:r>
      <w:r w:rsidRPr="00134472">
        <w:rPr>
          <w:sz w:val="24"/>
          <w:szCs w:val="24"/>
        </w:rPr>
        <w:t xml:space="preserve"> Petrópolis: Vozes, 1994.</w:t>
      </w:r>
    </w:p>
    <w:p w:rsidR="000A179F" w:rsidRPr="00633E9C" w:rsidRDefault="000A179F" w:rsidP="003D51B0">
      <w:pPr>
        <w:spacing w:after="240"/>
        <w:rPr>
          <w:rFonts w:cs="Times New Roman"/>
          <w:szCs w:val="24"/>
        </w:rPr>
      </w:pPr>
      <w:r w:rsidRPr="00633E9C">
        <w:rPr>
          <w:rFonts w:cs="Times New Roman"/>
          <w:szCs w:val="24"/>
        </w:rPr>
        <w:t>VILLAS BOAS, A</w:t>
      </w:r>
      <w:r>
        <w:rPr>
          <w:rFonts w:cs="Times New Roman"/>
          <w:szCs w:val="24"/>
        </w:rPr>
        <w:t>lex</w:t>
      </w:r>
      <w:r w:rsidRPr="00633E9C">
        <w:rPr>
          <w:rFonts w:cs="Times New Roman"/>
          <w:szCs w:val="24"/>
        </w:rPr>
        <w:t xml:space="preserve">. </w:t>
      </w:r>
      <w:r w:rsidRPr="000A179F">
        <w:rPr>
          <w:rFonts w:cs="Times New Roman"/>
          <w:b/>
          <w:szCs w:val="24"/>
        </w:rPr>
        <w:t xml:space="preserve">Teologia em diálogo com a </w:t>
      </w:r>
      <w:proofErr w:type="spellStart"/>
      <w:r w:rsidRPr="000A179F">
        <w:rPr>
          <w:rFonts w:cs="Times New Roman"/>
          <w:b/>
          <w:szCs w:val="24"/>
        </w:rPr>
        <w:t>Literaura</w:t>
      </w:r>
      <w:proofErr w:type="spellEnd"/>
      <w:r w:rsidRPr="00633E9C">
        <w:rPr>
          <w:rFonts w:cs="Times New Roman"/>
          <w:szCs w:val="24"/>
        </w:rPr>
        <w:t xml:space="preserve">: Origem e tarefa poética da teologia. São Paulo: </w:t>
      </w:r>
      <w:proofErr w:type="spellStart"/>
      <w:r w:rsidRPr="00633E9C">
        <w:rPr>
          <w:rFonts w:cs="Times New Roman"/>
          <w:szCs w:val="24"/>
        </w:rPr>
        <w:t>Paulus</w:t>
      </w:r>
      <w:proofErr w:type="spellEnd"/>
      <w:r w:rsidRPr="00633E9C">
        <w:rPr>
          <w:rFonts w:cs="Times New Roman"/>
          <w:szCs w:val="24"/>
        </w:rPr>
        <w:t>, 2016.</w:t>
      </w:r>
    </w:p>
    <w:p w:rsidR="003D51B0" w:rsidRPr="00633E9C" w:rsidRDefault="003D51B0" w:rsidP="003D51B0">
      <w:pPr>
        <w:rPr>
          <w:rFonts w:cs="Times New Roman"/>
          <w:szCs w:val="24"/>
        </w:rPr>
      </w:pPr>
    </w:p>
    <w:p w:rsidR="003D51B0" w:rsidRPr="00134472" w:rsidRDefault="003D51B0" w:rsidP="00E97885">
      <w:pPr>
        <w:pStyle w:val="Textodenotaderodap"/>
        <w:spacing w:before="120" w:after="120" w:line="360" w:lineRule="auto"/>
        <w:contextualSpacing/>
        <w:jc w:val="both"/>
        <w:rPr>
          <w:sz w:val="24"/>
          <w:szCs w:val="24"/>
        </w:rPr>
      </w:pPr>
    </w:p>
    <w:p w:rsidR="00134472" w:rsidRDefault="00134472" w:rsidP="0079032A">
      <w:pPr>
        <w:jc w:val="both"/>
      </w:pPr>
    </w:p>
    <w:sectPr w:rsidR="00134472" w:rsidSect="00685A8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B14" w:rsidRDefault="00FC2B14" w:rsidP="00A34E5E">
      <w:r>
        <w:separator/>
      </w:r>
    </w:p>
  </w:endnote>
  <w:endnote w:type="continuationSeparator" w:id="0">
    <w:p w:rsidR="00FC2B14" w:rsidRDefault="00FC2B14" w:rsidP="00A3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B14" w:rsidRDefault="00FC2B14" w:rsidP="00A34E5E">
      <w:r>
        <w:separator/>
      </w:r>
    </w:p>
  </w:footnote>
  <w:footnote w:type="continuationSeparator" w:id="0">
    <w:p w:rsidR="00FC2B14" w:rsidRDefault="00FC2B14" w:rsidP="00A34E5E">
      <w:r>
        <w:continuationSeparator/>
      </w:r>
    </w:p>
  </w:footnote>
  <w:footnote w:id="1">
    <w:p w:rsidR="00F170D0" w:rsidRDefault="00F170D0">
      <w:pPr>
        <w:pStyle w:val="Textodenotaderodap"/>
      </w:pPr>
      <w:r>
        <w:rPr>
          <w:rStyle w:val="Refdenotaderodap"/>
        </w:rPr>
        <w:footnoteRef/>
      </w:r>
      <w:r>
        <w:t xml:space="preserve"> Artigo enviado em 06/05/2017 e aprovado em 05/04/2018.</w:t>
      </w:r>
    </w:p>
  </w:footnote>
  <w:footnote w:id="2">
    <w:p w:rsidR="007213EF" w:rsidRDefault="007213EF">
      <w:pPr>
        <w:pStyle w:val="Textodenotaderodap"/>
      </w:pPr>
      <w:r>
        <w:rPr>
          <w:rStyle w:val="Refdenotaderodap"/>
        </w:rPr>
        <w:footnoteRef/>
      </w:r>
      <w:r>
        <w:t xml:space="preserve"> Doutor em Teologia pela </w:t>
      </w:r>
      <w:proofErr w:type="spellStart"/>
      <w:r w:rsidRPr="007213EF">
        <w:rPr>
          <w:i/>
        </w:rPr>
        <w:t>Université</w:t>
      </w:r>
      <w:proofErr w:type="spellEnd"/>
      <w:r w:rsidRPr="007213EF">
        <w:rPr>
          <w:i/>
        </w:rPr>
        <w:t xml:space="preserve"> </w:t>
      </w:r>
      <w:proofErr w:type="spellStart"/>
      <w:r w:rsidRPr="007213EF">
        <w:rPr>
          <w:i/>
        </w:rPr>
        <w:t>catholique</w:t>
      </w:r>
      <w:proofErr w:type="spellEnd"/>
      <w:r w:rsidRPr="007213EF">
        <w:rPr>
          <w:i/>
        </w:rPr>
        <w:t xml:space="preserve"> </w:t>
      </w:r>
      <w:proofErr w:type="spellStart"/>
      <w:r w:rsidRPr="007213EF">
        <w:rPr>
          <w:i/>
        </w:rPr>
        <w:t>du</w:t>
      </w:r>
      <w:proofErr w:type="spellEnd"/>
      <w:r w:rsidRPr="007213EF">
        <w:rPr>
          <w:i/>
        </w:rPr>
        <w:t xml:space="preserve"> </w:t>
      </w:r>
      <w:proofErr w:type="spellStart"/>
      <w:r w:rsidRPr="007213EF">
        <w:rPr>
          <w:i/>
        </w:rPr>
        <w:t>Louvan</w:t>
      </w:r>
      <w:proofErr w:type="spellEnd"/>
      <w:r>
        <w:t xml:space="preserve">. Professor no Programa de Estudos Pós-graduados de Teologia da PUC SP. </w:t>
      </w:r>
      <w:r w:rsidR="00F170D0">
        <w:t>Líder</w:t>
      </w:r>
      <w:r>
        <w:t xml:space="preserve"> do Grupo de Pesquisa em Literatura, Religião e Teologia (LERTE PUC SP). </w:t>
      </w:r>
      <w:proofErr w:type="spellStart"/>
      <w:r>
        <w:t>Email</w:t>
      </w:r>
      <w:proofErr w:type="spellEnd"/>
      <w:r>
        <w:t xml:space="preserve">: </w:t>
      </w:r>
      <w:hyperlink r:id="rId1" w:history="1">
        <w:r w:rsidRPr="0060006A">
          <w:rPr>
            <w:rStyle w:val="Hyperlink"/>
          </w:rPr>
          <w:t>amanzatto@pucsp.br</w:t>
        </w:r>
      </w:hyperlink>
      <w:r>
        <w:t xml:space="preserve">. </w:t>
      </w:r>
    </w:p>
  </w:footnote>
  <w:footnote w:id="3">
    <w:p w:rsidR="007213EF" w:rsidRDefault="007213EF">
      <w:pPr>
        <w:pStyle w:val="Textodenotaderodap"/>
      </w:pPr>
      <w:r>
        <w:rPr>
          <w:rStyle w:val="Refdenotaderodap"/>
        </w:rPr>
        <w:footnoteRef/>
      </w:r>
      <w:r>
        <w:t xml:space="preserve"> </w:t>
      </w:r>
      <w:proofErr w:type="gramStart"/>
      <w:r w:rsidR="00F170D0">
        <w:t xml:space="preserve">Doutor </w:t>
      </w:r>
      <w:r>
        <w:t xml:space="preserve"> em</w:t>
      </w:r>
      <w:proofErr w:type="gramEnd"/>
      <w:r>
        <w:t xml:space="preserve"> Teologia pela PUC </w:t>
      </w:r>
      <w:r w:rsidR="00F170D0">
        <w:t>Rio</w:t>
      </w:r>
      <w:r>
        <w:t>. Professor Livre docente em Teologia do Programa de Pós-Graduação em Teologia da PUC PR. Professor visitante no Programa de História e Teoria Literária da UNICAMP e do Programa de Estudos Literários d</w:t>
      </w:r>
      <w:r w:rsidR="00F170D0">
        <w:t xml:space="preserve">a Universidade de Aveiro, Portugal. </w:t>
      </w:r>
      <w:proofErr w:type="spellStart"/>
      <w:r w:rsidR="00F170D0">
        <w:t>Email</w:t>
      </w:r>
      <w:proofErr w:type="spellEnd"/>
      <w:r w:rsidR="00F170D0">
        <w:t xml:space="preserve">: </w:t>
      </w:r>
      <w:hyperlink r:id="rId2" w:history="1">
        <w:r w:rsidR="00F170D0" w:rsidRPr="0060006A">
          <w:rPr>
            <w:rStyle w:val="Hyperlink"/>
          </w:rPr>
          <w:t>alex.boas@pucpr.br</w:t>
        </w:r>
      </w:hyperlink>
      <w:r w:rsidR="00F170D0">
        <w:t xml:space="preserve"> </w:t>
      </w:r>
    </w:p>
  </w:footnote>
  <w:footnote w:id="4">
    <w:p w:rsidR="00A34E5E" w:rsidRDefault="00A34E5E" w:rsidP="004041D4">
      <w:pPr>
        <w:pStyle w:val="Textodenotaderodap"/>
        <w:jc w:val="both"/>
      </w:pPr>
      <w:r>
        <w:rPr>
          <w:rStyle w:val="Refdenotaderodap"/>
        </w:rPr>
        <w:footnoteRef/>
      </w:r>
      <w:r>
        <w:t xml:space="preserve"> </w:t>
      </w:r>
      <w:r w:rsidR="00B278DB">
        <w:t xml:space="preserve">Veja-se o célebre texto de Bernardino de </w:t>
      </w:r>
      <w:proofErr w:type="spellStart"/>
      <w:r w:rsidR="00B278DB">
        <w:t>Sahagun</w:t>
      </w:r>
      <w:proofErr w:type="spellEnd"/>
      <w:r w:rsidR="00B278DB">
        <w:t>, História geral das coisas de Nova Espanha.</w:t>
      </w:r>
    </w:p>
  </w:footnote>
  <w:footnote w:id="5">
    <w:p w:rsidR="003D2585" w:rsidRDefault="003D2585" w:rsidP="004041D4">
      <w:pPr>
        <w:pStyle w:val="Textodenotaderodap"/>
        <w:jc w:val="both"/>
      </w:pPr>
      <w:r>
        <w:rPr>
          <w:rStyle w:val="Refdenotaderodap"/>
        </w:rPr>
        <w:footnoteRef/>
      </w:r>
      <w:r>
        <w:t xml:space="preserve"> No texto bíblico, o mandamento se desdobra em dois: amá-lo acima de tudo e não </w:t>
      </w:r>
      <w:r w:rsidR="00134472">
        <w:t xml:space="preserve">ter outros deuses ou </w:t>
      </w:r>
      <w:r>
        <w:t>fazer imagem dele</w:t>
      </w:r>
      <w:r w:rsidR="001259ED">
        <w:t xml:space="preserve"> (</w:t>
      </w:r>
      <w:proofErr w:type="spellStart"/>
      <w:r w:rsidR="001259ED">
        <w:t>Ex</w:t>
      </w:r>
      <w:proofErr w:type="spellEnd"/>
      <w:r w:rsidR="001259ED">
        <w:t xml:space="preserve"> 20,4-6)</w:t>
      </w:r>
      <w:r>
        <w:t xml:space="preserve">. </w:t>
      </w:r>
      <w:r w:rsidR="00317A8E">
        <w:t>Na linguagem catequética, unem-se</w:t>
      </w:r>
      <w:r>
        <w:t xml:space="preserve"> os dois preceitos em um único.</w:t>
      </w:r>
    </w:p>
  </w:footnote>
  <w:footnote w:id="6">
    <w:p w:rsidR="003D2585" w:rsidRDefault="003D2585" w:rsidP="004041D4">
      <w:pPr>
        <w:pStyle w:val="Textodenotaderodap"/>
        <w:jc w:val="both"/>
      </w:pPr>
      <w:r>
        <w:rPr>
          <w:rStyle w:val="Refdenotaderodap"/>
        </w:rPr>
        <w:footnoteRef/>
      </w:r>
      <w:r>
        <w:t xml:space="preserve"> O décimo mandamento ensina a não cobiçar, mandamento que a linguagem catequética divide em dois: a mulher do próximo e as coisas alheias</w:t>
      </w:r>
      <w:r w:rsidR="001259ED">
        <w:t xml:space="preserve"> (</w:t>
      </w:r>
      <w:proofErr w:type="spellStart"/>
      <w:r w:rsidR="001259ED">
        <w:t>Ex</w:t>
      </w:r>
      <w:proofErr w:type="spellEnd"/>
      <w:r w:rsidR="001259ED">
        <w:t xml:space="preserve"> 20,17)</w:t>
      </w:r>
      <w:r>
        <w:t>.</w:t>
      </w:r>
    </w:p>
  </w:footnote>
  <w:footnote w:id="7">
    <w:p w:rsidR="00D15D9B" w:rsidRDefault="00D15D9B" w:rsidP="004041D4">
      <w:pPr>
        <w:pStyle w:val="Textodenotaderodap"/>
        <w:jc w:val="both"/>
      </w:pPr>
      <w:r>
        <w:rPr>
          <w:rStyle w:val="Refdenotaderodap"/>
        </w:rPr>
        <w:footnoteRef/>
      </w:r>
      <w:r>
        <w:t xml:space="preserve"> </w:t>
      </w:r>
      <w:r w:rsidR="001259ED">
        <w:t xml:space="preserve">Discípulos e missionários de Jesus Cristo para que, nele, nossos povos tenham vida. Este é o tema da Conferência de Aparecida que </w:t>
      </w:r>
      <w:r w:rsidR="00134472">
        <w:t xml:space="preserve">elaborou </w:t>
      </w:r>
      <w:r w:rsidR="001259ED">
        <w:t xml:space="preserve">o Documento de </w:t>
      </w:r>
      <w:r>
        <w:t>Aparecida</w:t>
      </w:r>
      <w:r w:rsidR="001259ED">
        <w:t>, 2007.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E1"/>
    <w:rsid w:val="000A179F"/>
    <w:rsid w:val="00116922"/>
    <w:rsid w:val="001259ED"/>
    <w:rsid w:val="00134472"/>
    <w:rsid w:val="001F1406"/>
    <w:rsid w:val="001F7472"/>
    <w:rsid w:val="00277D75"/>
    <w:rsid w:val="00283340"/>
    <w:rsid w:val="00294591"/>
    <w:rsid w:val="002E2210"/>
    <w:rsid w:val="002F071E"/>
    <w:rsid w:val="0031661D"/>
    <w:rsid w:val="00317A8E"/>
    <w:rsid w:val="00335578"/>
    <w:rsid w:val="003640FC"/>
    <w:rsid w:val="00377647"/>
    <w:rsid w:val="003D2585"/>
    <w:rsid w:val="003D51B0"/>
    <w:rsid w:val="004041D4"/>
    <w:rsid w:val="004E66E1"/>
    <w:rsid w:val="00523D7D"/>
    <w:rsid w:val="00583AE0"/>
    <w:rsid w:val="00596F47"/>
    <w:rsid w:val="005E5E77"/>
    <w:rsid w:val="006500DF"/>
    <w:rsid w:val="00685A88"/>
    <w:rsid w:val="006C12EA"/>
    <w:rsid w:val="007213EF"/>
    <w:rsid w:val="00753D13"/>
    <w:rsid w:val="00757937"/>
    <w:rsid w:val="0079032A"/>
    <w:rsid w:val="007961CC"/>
    <w:rsid w:val="007A7E23"/>
    <w:rsid w:val="007F6951"/>
    <w:rsid w:val="007F709E"/>
    <w:rsid w:val="00800646"/>
    <w:rsid w:val="008C63A0"/>
    <w:rsid w:val="008D5B84"/>
    <w:rsid w:val="009926C5"/>
    <w:rsid w:val="009E4AF4"/>
    <w:rsid w:val="009F44E3"/>
    <w:rsid w:val="00A00949"/>
    <w:rsid w:val="00A23C98"/>
    <w:rsid w:val="00A34E5E"/>
    <w:rsid w:val="00A810EC"/>
    <w:rsid w:val="00AC67E2"/>
    <w:rsid w:val="00B278DB"/>
    <w:rsid w:val="00B46D2D"/>
    <w:rsid w:val="00B614C1"/>
    <w:rsid w:val="00B630AF"/>
    <w:rsid w:val="00B857B7"/>
    <w:rsid w:val="00B87A21"/>
    <w:rsid w:val="00B970B1"/>
    <w:rsid w:val="00BF3145"/>
    <w:rsid w:val="00C868B6"/>
    <w:rsid w:val="00CC4E7C"/>
    <w:rsid w:val="00CC7CA3"/>
    <w:rsid w:val="00D15D9B"/>
    <w:rsid w:val="00D61AC5"/>
    <w:rsid w:val="00D84F2A"/>
    <w:rsid w:val="00DB1FCF"/>
    <w:rsid w:val="00E812B6"/>
    <w:rsid w:val="00E9017A"/>
    <w:rsid w:val="00E97885"/>
    <w:rsid w:val="00EC04FD"/>
    <w:rsid w:val="00F170D0"/>
    <w:rsid w:val="00F2715C"/>
    <w:rsid w:val="00F34E03"/>
    <w:rsid w:val="00F6518A"/>
    <w:rsid w:val="00FC2B14"/>
    <w:rsid w:val="00FD1F6C"/>
    <w:rsid w:val="00FE3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D24D"/>
  <w15:chartTrackingRefBased/>
  <w15:docId w15:val="{9450ABBD-E495-4B31-8EB7-D480AECF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34E5E"/>
    <w:rPr>
      <w:sz w:val="20"/>
      <w:szCs w:val="20"/>
    </w:rPr>
  </w:style>
  <w:style w:type="character" w:customStyle="1" w:styleId="TextodenotaderodapChar">
    <w:name w:val="Texto de nota de rodapé Char"/>
    <w:basedOn w:val="Fontepargpadro"/>
    <w:link w:val="Textodenotaderodap"/>
    <w:uiPriority w:val="99"/>
    <w:semiHidden/>
    <w:rsid w:val="00A34E5E"/>
    <w:rPr>
      <w:sz w:val="20"/>
      <w:szCs w:val="20"/>
    </w:rPr>
  </w:style>
  <w:style w:type="character" w:styleId="Refdenotaderodap">
    <w:name w:val="footnote reference"/>
    <w:basedOn w:val="Fontepargpadro"/>
    <w:uiPriority w:val="99"/>
    <w:semiHidden/>
    <w:unhideWhenUsed/>
    <w:rsid w:val="00A34E5E"/>
    <w:rPr>
      <w:vertAlign w:val="superscript"/>
    </w:rPr>
  </w:style>
  <w:style w:type="paragraph" w:styleId="Pr-formataoHTML">
    <w:name w:val="HTML Preformatted"/>
    <w:basedOn w:val="Normal"/>
    <w:link w:val="Pr-formataoHTMLChar"/>
    <w:uiPriority w:val="99"/>
    <w:semiHidden/>
    <w:unhideWhenUsed/>
    <w:rsid w:val="0040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041D4"/>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7213EF"/>
    <w:rPr>
      <w:color w:val="0563C1" w:themeColor="hyperlink"/>
      <w:u w:val="single"/>
    </w:rPr>
  </w:style>
  <w:style w:type="character" w:styleId="MenoPendente">
    <w:name w:val="Unresolved Mention"/>
    <w:basedOn w:val="Fontepargpadro"/>
    <w:uiPriority w:val="99"/>
    <w:semiHidden/>
    <w:unhideWhenUsed/>
    <w:rsid w:val="007213EF"/>
    <w:rPr>
      <w:color w:val="605E5C"/>
      <w:shd w:val="clear" w:color="auto" w:fill="E1DFDD"/>
    </w:rPr>
  </w:style>
  <w:style w:type="character" w:customStyle="1" w:styleId="ts-alignment-element">
    <w:name w:val="ts-alignment-element"/>
    <w:basedOn w:val="Fontepargpadro"/>
    <w:rsid w:val="00F170D0"/>
  </w:style>
  <w:style w:type="character" w:customStyle="1" w:styleId="ts-alignment-element-highlighted">
    <w:name w:val="ts-alignment-element-highlighted"/>
    <w:basedOn w:val="Fontepargpadro"/>
    <w:rsid w:val="00F1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80834">
      <w:bodyDiv w:val="1"/>
      <w:marLeft w:val="0"/>
      <w:marRight w:val="0"/>
      <w:marTop w:val="0"/>
      <w:marBottom w:val="0"/>
      <w:divBdr>
        <w:top w:val="none" w:sz="0" w:space="0" w:color="auto"/>
        <w:left w:val="none" w:sz="0" w:space="0" w:color="auto"/>
        <w:bottom w:val="none" w:sz="0" w:space="0" w:color="auto"/>
        <w:right w:val="none" w:sz="0" w:space="0" w:color="auto"/>
      </w:divBdr>
    </w:div>
    <w:div w:id="1670792959">
      <w:bodyDiv w:val="1"/>
      <w:marLeft w:val="0"/>
      <w:marRight w:val="0"/>
      <w:marTop w:val="0"/>
      <w:marBottom w:val="0"/>
      <w:divBdr>
        <w:top w:val="none" w:sz="0" w:space="0" w:color="auto"/>
        <w:left w:val="none" w:sz="0" w:space="0" w:color="auto"/>
        <w:bottom w:val="none" w:sz="0" w:space="0" w:color="auto"/>
        <w:right w:val="none" w:sz="0" w:space="0" w:color="auto"/>
      </w:divBdr>
      <w:divsChild>
        <w:div w:id="733235564">
          <w:marLeft w:val="0"/>
          <w:marRight w:val="0"/>
          <w:marTop w:val="0"/>
          <w:marBottom w:val="0"/>
          <w:divBdr>
            <w:top w:val="none" w:sz="0" w:space="0" w:color="auto"/>
            <w:left w:val="none" w:sz="0" w:space="0" w:color="auto"/>
            <w:bottom w:val="none" w:sz="0" w:space="0" w:color="auto"/>
            <w:right w:val="none" w:sz="0" w:space="0" w:color="auto"/>
          </w:divBdr>
          <w:divsChild>
            <w:div w:id="1194340807">
              <w:marLeft w:val="0"/>
              <w:marRight w:val="0"/>
              <w:marTop w:val="0"/>
              <w:marBottom w:val="0"/>
              <w:divBdr>
                <w:top w:val="none" w:sz="0" w:space="0" w:color="auto"/>
                <w:left w:val="none" w:sz="0" w:space="0" w:color="auto"/>
                <w:bottom w:val="none" w:sz="0" w:space="0" w:color="auto"/>
                <w:right w:val="none" w:sz="0" w:space="0" w:color="auto"/>
              </w:divBdr>
              <w:divsChild>
                <w:div w:id="1329745000">
                  <w:marLeft w:val="0"/>
                  <w:marRight w:val="0"/>
                  <w:marTop w:val="0"/>
                  <w:marBottom w:val="0"/>
                  <w:divBdr>
                    <w:top w:val="none" w:sz="0" w:space="0" w:color="auto"/>
                    <w:left w:val="none" w:sz="0" w:space="0" w:color="auto"/>
                    <w:bottom w:val="none" w:sz="0" w:space="0" w:color="auto"/>
                    <w:right w:val="none" w:sz="0" w:space="0" w:color="auto"/>
                  </w:divBdr>
                  <w:divsChild>
                    <w:div w:id="558826024">
                      <w:marLeft w:val="0"/>
                      <w:marRight w:val="0"/>
                      <w:marTop w:val="0"/>
                      <w:marBottom w:val="0"/>
                      <w:divBdr>
                        <w:top w:val="none" w:sz="0" w:space="0" w:color="auto"/>
                        <w:left w:val="none" w:sz="0" w:space="0" w:color="auto"/>
                        <w:bottom w:val="none" w:sz="0" w:space="0" w:color="auto"/>
                        <w:right w:val="none" w:sz="0" w:space="0" w:color="auto"/>
                      </w:divBdr>
                      <w:divsChild>
                        <w:div w:id="2039163948">
                          <w:marLeft w:val="0"/>
                          <w:marRight w:val="0"/>
                          <w:marTop w:val="0"/>
                          <w:marBottom w:val="0"/>
                          <w:divBdr>
                            <w:top w:val="none" w:sz="0" w:space="0" w:color="auto"/>
                            <w:left w:val="none" w:sz="0" w:space="0" w:color="auto"/>
                            <w:bottom w:val="none" w:sz="0" w:space="0" w:color="auto"/>
                            <w:right w:val="none" w:sz="0" w:space="0" w:color="auto"/>
                          </w:divBdr>
                          <w:divsChild>
                            <w:div w:id="855659899">
                              <w:marLeft w:val="0"/>
                              <w:marRight w:val="0"/>
                              <w:marTop w:val="0"/>
                              <w:marBottom w:val="0"/>
                              <w:divBdr>
                                <w:top w:val="none" w:sz="0" w:space="0" w:color="auto"/>
                                <w:left w:val="none" w:sz="0" w:space="0" w:color="auto"/>
                                <w:bottom w:val="none" w:sz="0" w:space="0" w:color="auto"/>
                                <w:right w:val="none" w:sz="0" w:space="0" w:color="auto"/>
                              </w:divBdr>
                              <w:divsChild>
                                <w:div w:id="534853540">
                                  <w:marLeft w:val="0"/>
                                  <w:marRight w:val="0"/>
                                  <w:marTop w:val="0"/>
                                  <w:marBottom w:val="0"/>
                                  <w:divBdr>
                                    <w:top w:val="none" w:sz="0" w:space="0" w:color="auto"/>
                                    <w:left w:val="none" w:sz="0" w:space="0" w:color="auto"/>
                                    <w:bottom w:val="none" w:sz="0" w:space="0" w:color="auto"/>
                                    <w:right w:val="none" w:sz="0" w:space="0" w:color="auto"/>
                                  </w:divBdr>
                                  <w:divsChild>
                                    <w:div w:id="2054309176">
                                      <w:marLeft w:val="0"/>
                                      <w:marRight w:val="0"/>
                                      <w:marTop w:val="0"/>
                                      <w:marBottom w:val="0"/>
                                      <w:divBdr>
                                        <w:top w:val="none" w:sz="0" w:space="0" w:color="auto"/>
                                        <w:left w:val="none" w:sz="0" w:space="0" w:color="auto"/>
                                        <w:bottom w:val="none" w:sz="0" w:space="0" w:color="auto"/>
                                        <w:right w:val="none" w:sz="0" w:space="0" w:color="auto"/>
                                      </w:divBdr>
                                      <w:divsChild>
                                        <w:div w:id="1756171745">
                                          <w:marLeft w:val="0"/>
                                          <w:marRight w:val="0"/>
                                          <w:marTop w:val="0"/>
                                          <w:marBottom w:val="0"/>
                                          <w:divBdr>
                                            <w:top w:val="none" w:sz="0" w:space="0" w:color="auto"/>
                                            <w:left w:val="none" w:sz="0" w:space="0" w:color="auto"/>
                                            <w:bottom w:val="none" w:sz="0" w:space="0" w:color="auto"/>
                                            <w:right w:val="none" w:sz="0" w:space="0" w:color="auto"/>
                                          </w:divBdr>
                                          <w:divsChild>
                                            <w:div w:id="2044985920">
                                              <w:marLeft w:val="0"/>
                                              <w:marRight w:val="0"/>
                                              <w:marTop w:val="0"/>
                                              <w:marBottom w:val="0"/>
                                              <w:divBdr>
                                                <w:top w:val="none" w:sz="0" w:space="0" w:color="auto"/>
                                                <w:left w:val="none" w:sz="0" w:space="0" w:color="auto"/>
                                                <w:bottom w:val="none" w:sz="0" w:space="0" w:color="auto"/>
                                                <w:right w:val="none" w:sz="0" w:space="0" w:color="auto"/>
                                              </w:divBdr>
                                              <w:divsChild>
                                                <w:div w:id="1704206932">
                                                  <w:marLeft w:val="0"/>
                                                  <w:marRight w:val="0"/>
                                                  <w:marTop w:val="0"/>
                                                  <w:marBottom w:val="0"/>
                                                  <w:divBdr>
                                                    <w:top w:val="none" w:sz="0" w:space="0" w:color="auto"/>
                                                    <w:left w:val="none" w:sz="0" w:space="0" w:color="auto"/>
                                                    <w:bottom w:val="none" w:sz="0" w:space="0" w:color="auto"/>
                                                    <w:right w:val="none" w:sz="0" w:space="0" w:color="auto"/>
                                                  </w:divBdr>
                                                  <w:divsChild>
                                                    <w:div w:id="1121151379">
                                                      <w:marLeft w:val="0"/>
                                                      <w:marRight w:val="0"/>
                                                      <w:marTop w:val="0"/>
                                                      <w:marBottom w:val="0"/>
                                                      <w:divBdr>
                                                        <w:top w:val="none" w:sz="0" w:space="0" w:color="auto"/>
                                                        <w:left w:val="none" w:sz="0" w:space="0" w:color="auto"/>
                                                        <w:bottom w:val="none" w:sz="0" w:space="0" w:color="auto"/>
                                                        <w:right w:val="none" w:sz="0" w:space="0" w:color="auto"/>
                                                      </w:divBdr>
                                                      <w:divsChild>
                                                        <w:div w:id="119110082">
                                                          <w:marLeft w:val="0"/>
                                                          <w:marRight w:val="0"/>
                                                          <w:marTop w:val="0"/>
                                                          <w:marBottom w:val="0"/>
                                                          <w:divBdr>
                                                            <w:top w:val="none" w:sz="0" w:space="0" w:color="auto"/>
                                                            <w:left w:val="none" w:sz="0" w:space="0" w:color="auto"/>
                                                            <w:bottom w:val="none" w:sz="0" w:space="0" w:color="auto"/>
                                                            <w:right w:val="none" w:sz="0" w:space="0" w:color="auto"/>
                                                          </w:divBdr>
                                                          <w:divsChild>
                                                            <w:div w:id="6692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7570622">
      <w:bodyDiv w:val="1"/>
      <w:marLeft w:val="0"/>
      <w:marRight w:val="0"/>
      <w:marTop w:val="0"/>
      <w:marBottom w:val="0"/>
      <w:divBdr>
        <w:top w:val="none" w:sz="0" w:space="0" w:color="auto"/>
        <w:left w:val="none" w:sz="0" w:space="0" w:color="auto"/>
        <w:bottom w:val="none" w:sz="0" w:space="0" w:color="auto"/>
        <w:right w:val="none" w:sz="0" w:space="0" w:color="auto"/>
      </w:divBdr>
      <w:divsChild>
        <w:div w:id="1849438791">
          <w:marLeft w:val="0"/>
          <w:marRight w:val="0"/>
          <w:marTop w:val="0"/>
          <w:marBottom w:val="0"/>
          <w:divBdr>
            <w:top w:val="none" w:sz="0" w:space="0" w:color="auto"/>
            <w:left w:val="none" w:sz="0" w:space="0" w:color="auto"/>
            <w:bottom w:val="none" w:sz="0" w:space="0" w:color="auto"/>
            <w:right w:val="none" w:sz="0" w:space="0" w:color="auto"/>
          </w:divBdr>
          <w:divsChild>
            <w:div w:id="700086260">
              <w:marLeft w:val="0"/>
              <w:marRight w:val="0"/>
              <w:marTop w:val="0"/>
              <w:marBottom w:val="0"/>
              <w:divBdr>
                <w:top w:val="none" w:sz="0" w:space="0" w:color="auto"/>
                <w:left w:val="none" w:sz="0" w:space="0" w:color="auto"/>
                <w:bottom w:val="none" w:sz="0" w:space="0" w:color="auto"/>
                <w:right w:val="none" w:sz="0" w:space="0" w:color="auto"/>
              </w:divBdr>
              <w:divsChild>
                <w:div w:id="1582720552">
                  <w:marLeft w:val="0"/>
                  <w:marRight w:val="0"/>
                  <w:marTop w:val="0"/>
                  <w:marBottom w:val="0"/>
                  <w:divBdr>
                    <w:top w:val="none" w:sz="0" w:space="0" w:color="auto"/>
                    <w:left w:val="none" w:sz="0" w:space="0" w:color="auto"/>
                    <w:bottom w:val="none" w:sz="0" w:space="0" w:color="auto"/>
                    <w:right w:val="none" w:sz="0" w:space="0" w:color="auto"/>
                  </w:divBdr>
                  <w:divsChild>
                    <w:div w:id="590309966">
                      <w:marLeft w:val="0"/>
                      <w:marRight w:val="0"/>
                      <w:marTop w:val="0"/>
                      <w:marBottom w:val="0"/>
                      <w:divBdr>
                        <w:top w:val="none" w:sz="0" w:space="0" w:color="auto"/>
                        <w:left w:val="none" w:sz="0" w:space="0" w:color="auto"/>
                        <w:bottom w:val="none" w:sz="0" w:space="0" w:color="auto"/>
                        <w:right w:val="none" w:sz="0" w:space="0" w:color="auto"/>
                      </w:divBdr>
                      <w:divsChild>
                        <w:div w:id="440347048">
                          <w:marLeft w:val="0"/>
                          <w:marRight w:val="0"/>
                          <w:marTop w:val="0"/>
                          <w:marBottom w:val="0"/>
                          <w:divBdr>
                            <w:top w:val="none" w:sz="0" w:space="0" w:color="auto"/>
                            <w:left w:val="none" w:sz="0" w:space="0" w:color="auto"/>
                            <w:bottom w:val="none" w:sz="0" w:space="0" w:color="auto"/>
                            <w:right w:val="none" w:sz="0" w:space="0" w:color="auto"/>
                          </w:divBdr>
                          <w:divsChild>
                            <w:div w:id="751972302">
                              <w:marLeft w:val="0"/>
                              <w:marRight w:val="0"/>
                              <w:marTop w:val="0"/>
                              <w:marBottom w:val="0"/>
                              <w:divBdr>
                                <w:top w:val="none" w:sz="0" w:space="0" w:color="auto"/>
                                <w:left w:val="none" w:sz="0" w:space="0" w:color="auto"/>
                                <w:bottom w:val="none" w:sz="0" w:space="0" w:color="auto"/>
                                <w:right w:val="none" w:sz="0" w:space="0" w:color="auto"/>
                              </w:divBdr>
                              <w:divsChild>
                                <w:div w:id="1809779100">
                                  <w:marLeft w:val="0"/>
                                  <w:marRight w:val="0"/>
                                  <w:marTop w:val="0"/>
                                  <w:marBottom w:val="0"/>
                                  <w:divBdr>
                                    <w:top w:val="none" w:sz="0" w:space="0" w:color="auto"/>
                                    <w:left w:val="none" w:sz="0" w:space="0" w:color="auto"/>
                                    <w:bottom w:val="none" w:sz="0" w:space="0" w:color="auto"/>
                                    <w:right w:val="none" w:sz="0" w:space="0" w:color="auto"/>
                                  </w:divBdr>
                                  <w:divsChild>
                                    <w:div w:id="992873222">
                                      <w:marLeft w:val="0"/>
                                      <w:marRight w:val="0"/>
                                      <w:marTop w:val="0"/>
                                      <w:marBottom w:val="0"/>
                                      <w:divBdr>
                                        <w:top w:val="none" w:sz="0" w:space="0" w:color="auto"/>
                                        <w:left w:val="none" w:sz="0" w:space="0" w:color="auto"/>
                                        <w:bottom w:val="none" w:sz="0" w:space="0" w:color="auto"/>
                                        <w:right w:val="none" w:sz="0" w:space="0" w:color="auto"/>
                                      </w:divBdr>
                                      <w:divsChild>
                                        <w:div w:id="2039115245">
                                          <w:marLeft w:val="0"/>
                                          <w:marRight w:val="0"/>
                                          <w:marTop w:val="0"/>
                                          <w:marBottom w:val="0"/>
                                          <w:divBdr>
                                            <w:top w:val="none" w:sz="0" w:space="0" w:color="auto"/>
                                            <w:left w:val="none" w:sz="0" w:space="0" w:color="auto"/>
                                            <w:bottom w:val="none" w:sz="0" w:space="0" w:color="auto"/>
                                            <w:right w:val="none" w:sz="0" w:space="0" w:color="auto"/>
                                          </w:divBdr>
                                          <w:divsChild>
                                            <w:div w:id="1846750031">
                                              <w:marLeft w:val="0"/>
                                              <w:marRight w:val="0"/>
                                              <w:marTop w:val="0"/>
                                              <w:marBottom w:val="0"/>
                                              <w:divBdr>
                                                <w:top w:val="none" w:sz="0" w:space="0" w:color="auto"/>
                                                <w:left w:val="none" w:sz="0" w:space="0" w:color="auto"/>
                                                <w:bottom w:val="none" w:sz="0" w:space="0" w:color="auto"/>
                                                <w:right w:val="none" w:sz="0" w:space="0" w:color="auto"/>
                                              </w:divBdr>
                                              <w:divsChild>
                                                <w:div w:id="779682225">
                                                  <w:marLeft w:val="0"/>
                                                  <w:marRight w:val="0"/>
                                                  <w:marTop w:val="0"/>
                                                  <w:marBottom w:val="0"/>
                                                  <w:divBdr>
                                                    <w:top w:val="none" w:sz="0" w:space="0" w:color="auto"/>
                                                    <w:left w:val="none" w:sz="0" w:space="0" w:color="auto"/>
                                                    <w:bottom w:val="none" w:sz="0" w:space="0" w:color="auto"/>
                                                    <w:right w:val="none" w:sz="0" w:space="0" w:color="auto"/>
                                                  </w:divBdr>
                                                  <w:divsChild>
                                                    <w:div w:id="1329091744">
                                                      <w:marLeft w:val="0"/>
                                                      <w:marRight w:val="0"/>
                                                      <w:marTop w:val="0"/>
                                                      <w:marBottom w:val="0"/>
                                                      <w:divBdr>
                                                        <w:top w:val="none" w:sz="0" w:space="0" w:color="auto"/>
                                                        <w:left w:val="none" w:sz="0" w:space="0" w:color="auto"/>
                                                        <w:bottom w:val="none" w:sz="0" w:space="0" w:color="auto"/>
                                                        <w:right w:val="none" w:sz="0" w:space="0" w:color="auto"/>
                                                      </w:divBdr>
                                                      <w:divsChild>
                                                        <w:div w:id="2089425981">
                                                          <w:marLeft w:val="0"/>
                                                          <w:marRight w:val="0"/>
                                                          <w:marTop w:val="0"/>
                                                          <w:marBottom w:val="0"/>
                                                          <w:divBdr>
                                                            <w:top w:val="none" w:sz="0" w:space="0" w:color="auto"/>
                                                            <w:left w:val="none" w:sz="0" w:space="0" w:color="auto"/>
                                                            <w:bottom w:val="none" w:sz="0" w:space="0" w:color="auto"/>
                                                            <w:right w:val="none" w:sz="0" w:space="0" w:color="auto"/>
                                                          </w:divBdr>
                                                          <w:divsChild>
                                                            <w:div w:id="9115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alex.boas@pucpr.br" TargetMode="External"/><Relationship Id="rId1" Type="http://schemas.openxmlformats.org/officeDocument/2006/relationships/hyperlink" Target="mailto:amanzatto@pucs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DF83C-E5D9-4AFE-ABAB-12646BA5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20</Pages>
  <Words>7742</Words>
  <Characters>41810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Manzatto</dc:creator>
  <cp:keywords/>
  <dc:description/>
  <cp:lastModifiedBy>Alex Villas Boas</cp:lastModifiedBy>
  <cp:revision>10</cp:revision>
  <dcterms:created xsi:type="dcterms:W3CDTF">2018-03-06T16:25:00Z</dcterms:created>
  <dcterms:modified xsi:type="dcterms:W3CDTF">2018-12-14T16:30:00Z</dcterms:modified>
</cp:coreProperties>
</file>