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54" w:rsidRDefault="00EF1A54" w:rsidP="00EF1A54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Gráfico 1. Tasa de ganancia de la industria automotriz norteamericana, 1970-1984</w:t>
      </w:r>
    </w:p>
    <w:p w:rsidR="00EF1A54" w:rsidRDefault="00EF1A54" w:rsidP="00EF1A54">
      <w:pPr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16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s-AR"/>
        </w:rPr>
        <w:drawing>
          <wp:inline distT="0" distB="0" distL="0" distR="0">
            <wp:extent cx="4924425" cy="2066925"/>
            <wp:effectExtent l="19050" t="0" r="9525" b="0"/>
            <wp:docPr id="2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F1A54" w:rsidRDefault="00EF1A54" w:rsidP="00EF1A54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0C0339">
        <w:rPr>
          <w:rFonts w:ascii="Times New Roman" w:hAnsi="Times New Roman" w:cs="Times New Roman"/>
          <w:color w:val="000000" w:themeColor="text1"/>
          <w:szCs w:val="24"/>
        </w:rPr>
        <w:t>Fuente: elaboración propia en base a datos de la BEA</w:t>
      </w:r>
    </w:p>
    <w:p w:rsidR="00EF1A54" w:rsidRPr="000C0339" w:rsidRDefault="00EF1A54" w:rsidP="00EF1A54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Nota: tasa de ganancia calculada como ganancias de corporaciones luego de impuestos sobre capital adelantado. </w:t>
      </w:r>
    </w:p>
    <w:p w:rsidR="00EF1A54" w:rsidRDefault="00EF1A54"/>
    <w:p w:rsidR="005930E7" w:rsidRDefault="005930E7"/>
    <w:p w:rsidR="005930E7" w:rsidRDefault="005930E7" w:rsidP="005930E7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55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Utilidad anual por empresa terminal, en millones de dólares de 1982, 1979 y 1982</w:t>
      </w:r>
    </w:p>
    <w:p w:rsidR="005930E7" w:rsidRPr="00AA637E" w:rsidRDefault="005930E7" w:rsidP="005930E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54F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s-AR"/>
        </w:rPr>
        <w:drawing>
          <wp:inline distT="0" distB="0" distL="0" distR="0">
            <wp:extent cx="4800600" cy="2228850"/>
            <wp:effectExtent l="19050" t="0" r="19050" b="0"/>
            <wp:docPr id="1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930E7" w:rsidRDefault="005930E7" w:rsidP="005930E7">
      <w:pPr>
        <w:rPr>
          <w:rFonts w:ascii="Times New Roman" w:hAnsi="Times New Roman" w:cs="Times New Roman"/>
          <w:i/>
          <w:color w:val="000000" w:themeColor="text1"/>
          <w:szCs w:val="24"/>
        </w:rPr>
      </w:pPr>
      <w:r w:rsidRPr="003554F9">
        <w:rPr>
          <w:rFonts w:ascii="Times New Roman" w:hAnsi="Times New Roman" w:cs="Times New Roman"/>
          <w:color w:val="000000" w:themeColor="text1"/>
          <w:szCs w:val="24"/>
        </w:rPr>
        <w:t xml:space="preserve">Fuente: elaboración propia en base a datos de la revista </w:t>
      </w:r>
      <w:r w:rsidRPr="003554F9">
        <w:rPr>
          <w:rFonts w:ascii="Times New Roman" w:hAnsi="Times New Roman" w:cs="Times New Roman"/>
          <w:i/>
          <w:color w:val="000000" w:themeColor="text1"/>
          <w:szCs w:val="24"/>
        </w:rPr>
        <w:t>Mercado</w:t>
      </w:r>
    </w:p>
    <w:p w:rsidR="00003CA9" w:rsidRDefault="00003CA9" w:rsidP="005930E7">
      <w:pPr>
        <w:rPr>
          <w:rFonts w:ascii="Times New Roman" w:hAnsi="Times New Roman" w:cs="Times New Roman"/>
          <w:i/>
          <w:color w:val="000000" w:themeColor="text1"/>
          <w:szCs w:val="24"/>
        </w:rPr>
      </w:pPr>
    </w:p>
    <w:p w:rsidR="00003CA9" w:rsidRDefault="00003CA9" w:rsidP="00003CA9">
      <w:pPr>
        <w:spacing w:line="360" w:lineRule="auto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CA9" w:rsidRPr="00B732F9" w:rsidRDefault="00003CA9" w:rsidP="00003CA9">
      <w:pPr>
        <w:spacing w:line="360" w:lineRule="auto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32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B732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Exportaciones de vehículos de los principales países fabricantes, en miles de unidades, 1974-1983</w:t>
      </w:r>
    </w:p>
    <w:p w:rsidR="00003CA9" w:rsidRDefault="00003CA9" w:rsidP="00003CA9">
      <w:pPr>
        <w:spacing w:line="360" w:lineRule="auto"/>
        <w:ind w:firstLine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2F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AR"/>
        </w:rPr>
        <w:lastRenderedPageBreak/>
        <w:drawing>
          <wp:inline distT="0" distB="0" distL="0" distR="0">
            <wp:extent cx="4791075" cy="2333625"/>
            <wp:effectExtent l="19050" t="0" r="9525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03CA9" w:rsidRPr="00B732F9" w:rsidRDefault="00003CA9" w:rsidP="00003CA9">
      <w:pPr>
        <w:spacing w:line="360" w:lineRule="auto"/>
        <w:ind w:firstLine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Fuente: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Hosono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(1985) en base a JAMA</w:t>
      </w:r>
    </w:p>
    <w:p w:rsidR="00003CA9" w:rsidRDefault="00003CA9" w:rsidP="005930E7"/>
    <w:p w:rsidR="00463A32" w:rsidRPr="00544447" w:rsidRDefault="00463A32" w:rsidP="00463A32">
      <w:pPr>
        <w:spacing w:line="360" w:lineRule="auto"/>
        <w:ind w:firstLine="360"/>
        <w:jc w:val="center"/>
        <w:rPr>
          <w:b/>
          <w:bCs/>
        </w:rPr>
      </w:pPr>
      <w:r w:rsidRPr="0054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44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Producción de automóviles y comerciales livianos en países seleccionados de América Latina, miles de unidades, 1970-1984</w:t>
      </w:r>
    </w:p>
    <w:p w:rsidR="00463A32" w:rsidRPr="00D826FA" w:rsidRDefault="00463A32" w:rsidP="00463A32">
      <w:pPr>
        <w:pStyle w:val="Default"/>
        <w:spacing w:line="360" w:lineRule="auto"/>
        <w:jc w:val="center"/>
        <w:rPr>
          <w:b/>
          <w:bCs/>
          <w:lang w:val="es-AR"/>
        </w:rPr>
      </w:pPr>
      <w:r w:rsidRPr="00FC35D0">
        <w:rPr>
          <w:b/>
          <w:bCs/>
          <w:noProof/>
          <w:lang w:val="es-AR" w:eastAsia="es-AR"/>
        </w:rPr>
        <w:drawing>
          <wp:inline distT="0" distB="0" distL="0" distR="0">
            <wp:extent cx="4991100" cy="2219325"/>
            <wp:effectExtent l="19050" t="0" r="19050" b="0"/>
            <wp:docPr id="1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3A32" w:rsidRDefault="00463A32" w:rsidP="00463A32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Fuente: CEPAL, 1987.</w:t>
      </w:r>
    </w:p>
    <w:p w:rsidR="00463A32" w:rsidRDefault="00463A32" w:rsidP="005930E7"/>
    <w:p w:rsidR="00445656" w:rsidRPr="000E59EA" w:rsidRDefault="00445656" w:rsidP="00445656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9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59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Evolución interanual del parque automotor en Argentina y en el mundo, 1965-1989</w:t>
      </w:r>
    </w:p>
    <w:p w:rsidR="00445656" w:rsidRPr="000B478E" w:rsidRDefault="00445656" w:rsidP="00445656">
      <w:pPr>
        <w:spacing w:line="36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0B478E">
        <w:rPr>
          <w:rFonts w:ascii="Times New Roman" w:hAnsi="Times New Roman" w:cs="Times New Roman"/>
          <w:noProof/>
          <w:color w:val="FF0000"/>
          <w:sz w:val="24"/>
          <w:szCs w:val="24"/>
          <w:lang w:eastAsia="es-AR"/>
        </w:rPr>
        <w:lastRenderedPageBreak/>
        <w:drawing>
          <wp:inline distT="0" distB="0" distL="0" distR="0">
            <wp:extent cx="4572000" cy="2743200"/>
            <wp:effectExtent l="19050" t="0" r="19050" b="0"/>
            <wp:docPr id="1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5656" w:rsidRDefault="00445656" w:rsidP="00445656">
      <w:pPr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0E59EA">
        <w:rPr>
          <w:rFonts w:ascii="Times New Roman" w:hAnsi="Times New Roman" w:cs="Times New Roman"/>
          <w:color w:val="000000" w:themeColor="text1"/>
          <w:szCs w:val="24"/>
        </w:rPr>
        <w:t xml:space="preserve">Fuente: elaboración propia en base a información de </w:t>
      </w:r>
      <w:r w:rsidRPr="000E59EA">
        <w:rPr>
          <w:rFonts w:ascii="Times New Roman" w:hAnsi="Times New Roman" w:cs="Times New Roman"/>
          <w:i/>
          <w:color w:val="000000" w:themeColor="text1"/>
          <w:szCs w:val="24"/>
        </w:rPr>
        <w:t>Anuario ADEFA</w:t>
      </w:r>
      <w:r w:rsidRPr="000E59EA">
        <w:rPr>
          <w:rFonts w:ascii="Times New Roman" w:hAnsi="Times New Roman" w:cs="Times New Roman"/>
          <w:color w:val="000000" w:themeColor="text1"/>
          <w:szCs w:val="24"/>
        </w:rPr>
        <w:t xml:space="preserve"> (varios años)</w:t>
      </w:r>
    </w:p>
    <w:p w:rsidR="00EF4244" w:rsidRDefault="00EF4244" w:rsidP="00445656">
      <w:pPr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EF4244" w:rsidRDefault="00EF4244" w:rsidP="00EF424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4244" w:rsidRPr="001849CB" w:rsidRDefault="00EF4244" w:rsidP="00EF424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49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1849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Producción total en unidades, por firma, 1974-1990</w:t>
      </w:r>
    </w:p>
    <w:p w:rsidR="00EF4244" w:rsidRPr="001849CB" w:rsidRDefault="00EF4244" w:rsidP="00EF424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24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s-AR"/>
        </w:rPr>
        <w:drawing>
          <wp:inline distT="0" distB="0" distL="0" distR="0">
            <wp:extent cx="5563043" cy="1913860"/>
            <wp:effectExtent l="19050" t="0" r="18607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4244" w:rsidRPr="001849CB" w:rsidRDefault="00EF4244" w:rsidP="00EF4244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1849CB">
        <w:rPr>
          <w:rFonts w:ascii="Times New Roman" w:hAnsi="Times New Roman" w:cs="Times New Roman"/>
          <w:color w:val="000000" w:themeColor="text1"/>
          <w:szCs w:val="24"/>
        </w:rPr>
        <w:t xml:space="preserve">Fuente: elaboración propia en base a </w:t>
      </w:r>
      <w:r w:rsidRPr="001849CB">
        <w:rPr>
          <w:rFonts w:ascii="Times New Roman" w:hAnsi="Times New Roman" w:cs="Times New Roman"/>
          <w:i/>
          <w:color w:val="000000" w:themeColor="text1"/>
          <w:szCs w:val="24"/>
        </w:rPr>
        <w:t>Anuario ADEFA</w:t>
      </w:r>
      <w:r w:rsidRPr="001849CB">
        <w:rPr>
          <w:rFonts w:ascii="Times New Roman" w:hAnsi="Times New Roman" w:cs="Times New Roman"/>
          <w:color w:val="000000" w:themeColor="text1"/>
          <w:szCs w:val="24"/>
        </w:rPr>
        <w:t xml:space="preserve"> (varios años)</w:t>
      </w:r>
    </w:p>
    <w:sectPr w:rsidR="00EF4244" w:rsidRPr="001849CB" w:rsidSect="00B075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7156"/>
    <w:rsid w:val="00003CA9"/>
    <w:rsid w:val="000F7156"/>
    <w:rsid w:val="001157CE"/>
    <w:rsid w:val="00386517"/>
    <w:rsid w:val="00445656"/>
    <w:rsid w:val="00463A32"/>
    <w:rsid w:val="005930E7"/>
    <w:rsid w:val="005E4FB9"/>
    <w:rsid w:val="006960D6"/>
    <w:rsid w:val="007901C0"/>
    <w:rsid w:val="0084351A"/>
    <w:rsid w:val="008477C7"/>
    <w:rsid w:val="00857C7F"/>
    <w:rsid w:val="00937FD5"/>
    <w:rsid w:val="00B075D9"/>
    <w:rsid w:val="00B813F6"/>
    <w:rsid w:val="00C345DA"/>
    <w:rsid w:val="00D96490"/>
    <w:rsid w:val="00DD55CB"/>
    <w:rsid w:val="00E147A6"/>
    <w:rsid w:val="00EF1A54"/>
    <w:rsid w:val="00EF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1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A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3A3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&#225;n\Desktop\ESTADISTICAS%20USO%20cotidiano\Tg%20automotriz%20en%20EEUU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&#225;n\Desktop\Cosas%20del%20Escritorio\PUBLICACIONES%20en%20breve\Art&#237;culo%20XXV%20Jornadas%20Hist%20Ec%202016\Empresas%20que%20mas%20venden%20en%20mundo%201979-8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Articulo%20automotriz%20en%20los%2080\Otros%20datos%20complementarios%20(parque%20edad%20ipm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&#225;n\Desktop\Cosas%20del%20Escritorio\PUBLICACIONES%20en%20breve\Art%20Crisis%20Autom%2080%20para%20Projeto%20Hist\Gr&#225;ficos%20articulo%20crisis%20automotriz%201978-8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autoTitleDeleted val="1"/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Hoja1!$X$51:$AL$51</c:f>
              <c:strCache>
                <c:ptCount val="15"/>
                <c:pt idx="0">
                  <c:v>1970</c:v>
                </c:pt>
                <c:pt idx="1">
                  <c:v>1971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</c:strCache>
            </c:strRef>
          </c:cat>
          <c:val>
            <c:numRef>
              <c:f>Hoja1!$X$85:$AL$85</c:f>
              <c:numCache>
                <c:formatCode>0.0%</c:formatCode>
                <c:ptCount val="15"/>
                <c:pt idx="0">
                  <c:v>-2.5425406925321192E-2</c:v>
                </c:pt>
                <c:pt idx="1">
                  <c:v>0.12005911725530501</c:v>
                </c:pt>
                <c:pt idx="2">
                  <c:v>0.11784116078289561</c:v>
                </c:pt>
                <c:pt idx="3">
                  <c:v>8.7368578455890328E-2</c:v>
                </c:pt>
                <c:pt idx="4">
                  <c:v>-2.9389687626306411E-2</c:v>
                </c:pt>
                <c:pt idx="5">
                  <c:v>6.5038916728862514E-3</c:v>
                </c:pt>
                <c:pt idx="6">
                  <c:v>0.11343815487319768</c:v>
                </c:pt>
                <c:pt idx="7">
                  <c:v>0.19903470109876464</c:v>
                </c:pt>
                <c:pt idx="8">
                  <c:v>0.17351686566235491</c:v>
                </c:pt>
                <c:pt idx="9">
                  <c:v>9.7213596155353618E-2</c:v>
                </c:pt>
                <c:pt idx="10">
                  <c:v>-0.14239862135817763</c:v>
                </c:pt>
                <c:pt idx="11">
                  <c:v>-8.1729853305391748E-3</c:v>
                </c:pt>
                <c:pt idx="12">
                  <c:v>2.6960189683609206E-2</c:v>
                </c:pt>
                <c:pt idx="13">
                  <c:v>7.6442412323956793E-2</c:v>
                </c:pt>
                <c:pt idx="14">
                  <c:v>0.11003600491489482</c:v>
                </c:pt>
              </c:numCache>
            </c:numRef>
          </c:val>
        </c:ser>
        <c:marker val="1"/>
        <c:axId val="189516416"/>
        <c:axId val="189523072"/>
      </c:lineChart>
      <c:catAx>
        <c:axId val="189516416"/>
        <c:scaling>
          <c:orientation val="minMax"/>
        </c:scaling>
        <c:axPos val="b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es-AR"/>
          </a:p>
        </c:txPr>
        <c:crossAx val="189523072"/>
        <c:crosses val="autoZero"/>
        <c:auto val="1"/>
        <c:lblAlgn val="ctr"/>
        <c:lblOffset val="100"/>
      </c:catAx>
      <c:valAx>
        <c:axId val="189523072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18951641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A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v>1979</c:v>
          </c:tx>
          <c:spPr>
            <a:solidFill>
              <a:srgbClr val="00B050"/>
            </a:solidFill>
          </c:spPr>
          <c:cat>
            <c:strRef>
              <c:f>Hoja1!$J$5:$J$19</c:f>
              <c:strCache>
                <c:ptCount val="15"/>
                <c:pt idx="0">
                  <c:v>GM (EU)</c:v>
                </c:pt>
                <c:pt idx="1">
                  <c:v>Ford (EU)</c:v>
                </c:pt>
                <c:pt idx="2">
                  <c:v>Chrysler (EU)</c:v>
                </c:pt>
                <c:pt idx="3">
                  <c:v>Peugeot-Citroen (FRA)</c:v>
                </c:pt>
                <c:pt idx="4">
                  <c:v>Volkswagenwerk (RFA)</c:v>
                </c:pt>
                <c:pt idx="5">
                  <c:v>Renault (FRA)</c:v>
                </c:pt>
                <c:pt idx="6">
                  <c:v>D. Benz (RFA)</c:v>
                </c:pt>
                <c:pt idx="7">
                  <c:v>Toyota (JPN)</c:v>
                </c:pt>
                <c:pt idx="8">
                  <c:v>Nissan (JPN)</c:v>
                </c:pt>
                <c:pt idx="9">
                  <c:v>Ford (UK)</c:v>
                </c:pt>
                <c:pt idx="10">
                  <c:v>Ford (RFA)</c:v>
                </c:pt>
                <c:pt idx="11">
                  <c:v>Volvo (SWE)</c:v>
                </c:pt>
                <c:pt idx="12">
                  <c:v>Honda (JPN)</c:v>
                </c:pt>
                <c:pt idx="13">
                  <c:v>T. Kogyo (JPN)</c:v>
                </c:pt>
                <c:pt idx="14">
                  <c:v>B. Leyland (UK)</c:v>
                </c:pt>
              </c:strCache>
            </c:strRef>
          </c:cat>
          <c:val>
            <c:numRef>
              <c:f>Hoja1!$K$5:$K$19</c:f>
              <c:numCache>
                <c:formatCode>#,##0</c:formatCode>
                <c:ptCount val="15"/>
                <c:pt idx="0">
                  <c:v>3844.9800275482112</c:v>
                </c:pt>
                <c:pt idx="1">
                  <c:v>1554.2348484848478</c:v>
                </c:pt>
                <c:pt idx="2">
                  <c:v>-1458.5323691460053</c:v>
                </c:pt>
                <c:pt idx="3">
                  <c:v>338.01584022038571</c:v>
                </c:pt>
                <c:pt idx="4">
                  <c:v>493.79820936638998</c:v>
                </c:pt>
                <c:pt idx="5">
                  <c:v>321.00206611570405</c:v>
                </c:pt>
                <c:pt idx="6">
                  <c:v>462.1632231404958</c:v>
                </c:pt>
                <c:pt idx="7">
                  <c:v>678.15840220385803</c:v>
                </c:pt>
                <c:pt idx="8">
                  <c:v>440.23140495867466</c:v>
                </c:pt>
                <c:pt idx="9">
                  <c:v>978.69077134986685</c:v>
                </c:pt>
                <c:pt idx="10">
                  <c:v>350.51033057851163</c:v>
                </c:pt>
                <c:pt idx="11">
                  <c:v>129.06542699724571</c:v>
                </c:pt>
                <c:pt idx="12">
                  <c:v>92.512396694214857</c:v>
                </c:pt>
                <c:pt idx="13">
                  <c:v>46.256198347107564</c:v>
                </c:pt>
              </c:numCache>
            </c:numRef>
          </c:val>
        </c:ser>
        <c:ser>
          <c:idx val="1"/>
          <c:order val="1"/>
          <c:tx>
            <c:v>1982</c:v>
          </c:tx>
          <c:spPr>
            <a:solidFill>
              <a:srgbClr val="FF0000"/>
            </a:solidFill>
          </c:spPr>
          <c:cat>
            <c:strRef>
              <c:f>Hoja1!$J$5:$J$19</c:f>
              <c:strCache>
                <c:ptCount val="15"/>
                <c:pt idx="0">
                  <c:v>GM (EU)</c:v>
                </c:pt>
                <c:pt idx="1">
                  <c:v>Ford (EU)</c:v>
                </c:pt>
                <c:pt idx="2">
                  <c:v>Chrysler (EU)</c:v>
                </c:pt>
                <c:pt idx="3">
                  <c:v>Peugeot-Citroen (FRA)</c:v>
                </c:pt>
                <c:pt idx="4">
                  <c:v>Volkswagenwerk (RFA)</c:v>
                </c:pt>
                <c:pt idx="5">
                  <c:v>Renault (FRA)</c:v>
                </c:pt>
                <c:pt idx="6">
                  <c:v>D. Benz (RFA)</c:v>
                </c:pt>
                <c:pt idx="7">
                  <c:v>Toyota (JPN)</c:v>
                </c:pt>
                <c:pt idx="8">
                  <c:v>Nissan (JPN)</c:v>
                </c:pt>
                <c:pt idx="9">
                  <c:v>Ford (UK)</c:v>
                </c:pt>
                <c:pt idx="10">
                  <c:v>Ford (RFA)</c:v>
                </c:pt>
                <c:pt idx="11">
                  <c:v>Volvo (SWE)</c:v>
                </c:pt>
                <c:pt idx="12">
                  <c:v>Honda (JPN)</c:v>
                </c:pt>
                <c:pt idx="13">
                  <c:v>T. Kogyo (JPN)</c:v>
                </c:pt>
                <c:pt idx="14">
                  <c:v>B. Leyland (UK)</c:v>
                </c:pt>
              </c:strCache>
            </c:strRef>
          </c:cat>
          <c:val>
            <c:numRef>
              <c:f>Hoja1!$L$5:$L$19</c:f>
              <c:numCache>
                <c:formatCode>#,##0</c:formatCode>
                <c:ptCount val="15"/>
                <c:pt idx="0">
                  <c:v>962.7</c:v>
                </c:pt>
                <c:pt idx="1">
                  <c:v>-657.8</c:v>
                </c:pt>
                <c:pt idx="2">
                  <c:v>103.2</c:v>
                </c:pt>
                <c:pt idx="3">
                  <c:v>-326.60000000000002</c:v>
                </c:pt>
                <c:pt idx="4">
                  <c:v>-95.8</c:v>
                </c:pt>
                <c:pt idx="5">
                  <c:v>-194.7</c:v>
                </c:pt>
                <c:pt idx="6">
                  <c:v>388.9</c:v>
                </c:pt>
                <c:pt idx="7">
                  <c:v>605</c:v>
                </c:pt>
                <c:pt idx="8">
                  <c:v>444.4</c:v>
                </c:pt>
                <c:pt idx="9">
                  <c:v>335.8</c:v>
                </c:pt>
                <c:pt idx="10">
                  <c:v>133.5</c:v>
                </c:pt>
                <c:pt idx="11">
                  <c:v>78.8</c:v>
                </c:pt>
                <c:pt idx="12">
                  <c:v>292.2</c:v>
                </c:pt>
                <c:pt idx="13">
                  <c:v>110.7</c:v>
                </c:pt>
                <c:pt idx="14">
                  <c:v>-512.4</c:v>
                </c:pt>
              </c:numCache>
            </c:numRef>
          </c:val>
        </c:ser>
        <c:gapWidth val="75"/>
        <c:overlap val="-25"/>
        <c:axId val="190151296"/>
        <c:axId val="191333120"/>
      </c:barChart>
      <c:catAx>
        <c:axId val="190151296"/>
        <c:scaling>
          <c:orientation val="minMax"/>
        </c:scaling>
        <c:axPos val="b"/>
        <c:majorTickMark val="none"/>
        <c:tickLblPos val="nextTo"/>
        <c:crossAx val="191333120"/>
        <c:crosses val="autoZero"/>
        <c:auto val="1"/>
        <c:lblAlgn val="ctr"/>
        <c:lblOffset val="100"/>
      </c:catAx>
      <c:valAx>
        <c:axId val="191333120"/>
        <c:scaling>
          <c:orientation val="minMax"/>
          <c:max val="4000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crossAx val="19015129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A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expo!$B$1</c:f>
              <c:strCache>
                <c:ptCount val="1"/>
                <c:pt idx="0">
                  <c:v>EEUU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</c:spPr>
          <c:cat>
            <c:numRef>
              <c:f>expo!$A$2:$A$11</c:f>
              <c:numCache>
                <c:formatCode>General</c:formatCode>
                <c:ptCount val="10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</c:numCache>
            </c:numRef>
          </c:cat>
          <c:val>
            <c:numRef>
              <c:f>expo!$B$2:$B$11</c:f>
              <c:numCache>
                <c:formatCode>General</c:formatCode>
                <c:ptCount val="10"/>
                <c:pt idx="0">
                  <c:v>868</c:v>
                </c:pt>
                <c:pt idx="1">
                  <c:v>864</c:v>
                </c:pt>
                <c:pt idx="2">
                  <c:v>905</c:v>
                </c:pt>
                <c:pt idx="3">
                  <c:v>951</c:v>
                </c:pt>
                <c:pt idx="4">
                  <c:v>962</c:v>
                </c:pt>
                <c:pt idx="5">
                  <c:v>1037</c:v>
                </c:pt>
                <c:pt idx="6">
                  <c:v>763</c:v>
                </c:pt>
                <c:pt idx="7">
                  <c:v>693</c:v>
                </c:pt>
                <c:pt idx="8">
                  <c:v>480</c:v>
                </c:pt>
                <c:pt idx="9">
                  <c:v>692</c:v>
                </c:pt>
              </c:numCache>
            </c:numRef>
          </c:val>
        </c:ser>
        <c:ser>
          <c:idx val="1"/>
          <c:order val="1"/>
          <c:tx>
            <c:strRef>
              <c:f>expo!$C$1</c:f>
              <c:strCache>
                <c:ptCount val="1"/>
                <c:pt idx="0">
                  <c:v>Japón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expo!$A$2:$A$11</c:f>
              <c:numCache>
                <c:formatCode>General</c:formatCode>
                <c:ptCount val="10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</c:numCache>
            </c:numRef>
          </c:cat>
          <c:val>
            <c:numRef>
              <c:f>expo!$C$2:$C$11</c:f>
              <c:numCache>
                <c:formatCode>General</c:formatCode>
                <c:ptCount val="10"/>
                <c:pt idx="0">
                  <c:v>2618</c:v>
                </c:pt>
                <c:pt idx="1">
                  <c:v>2678</c:v>
                </c:pt>
                <c:pt idx="2">
                  <c:v>3710</c:v>
                </c:pt>
                <c:pt idx="3">
                  <c:v>4353</c:v>
                </c:pt>
                <c:pt idx="4">
                  <c:v>4601</c:v>
                </c:pt>
                <c:pt idx="5">
                  <c:v>4563</c:v>
                </c:pt>
                <c:pt idx="6">
                  <c:v>5967</c:v>
                </c:pt>
                <c:pt idx="7">
                  <c:v>6048</c:v>
                </c:pt>
                <c:pt idx="8">
                  <c:v>5591</c:v>
                </c:pt>
                <c:pt idx="9">
                  <c:v>5670</c:v>
                </c:pt>
              </c:numCache>
            </c:numRef>
          </c:val>
        </c:ser>
        <c:ser>
          <c:idx val="2"/>
          <c:order val="2"/>
          <c:tx>
            <c:strRef>
              <c:f>expo!$D$1</c:f>
              <c:strCache>
                <c:ptCount val="1"/>
                <c:pt idx="0">
                  <c:v>RFA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expo!$A$2:$A$11</c:f>
              <c:numCache>
                <c:formatCode>General</c:formatCode>
                <c:ptCount val="10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</c:numCache>
            </c:numRef>
          </c:cat>
          <c:val>
            <c:numRef>
              <c:f>expo!$D$2:$D$11</c:f>
              <c:numCache>
                <c:formatCode>General</c:formatCode>
                <c:ptCount val="10"/>
                <c:pt idx="0">
                  <c:v>1881</c:v>
                </c:pt>
                <c:pt idx="1">
                  <c:v>1653</c:v>
                </c:pt>
                <c:pt idx="2">
                  <c:v>2043</c:v>
                </c:pt>
                <c:pt idx="3">
                  <c:v>2128</c:v>
                </c:pt>
                <c:pt idx="4">
                  <c:v>2073</c:v>
                </c:pt>
                <c:pt idx="5">
                  <c:v>2176</c:v>
                </c:pt>
                <c:pt idx="6">
                  <c:v>2084</c:v>
                </c:pt>
                <c:pt idx="7">
                  <c:v>2153</c:v>
                </c:pt>
                <c:pt idx="8">
                  <c:v>2398</c:v>
                </c:pt>
                <c:pt idx="9">
                  <c:v>2369</c:v>
                </c:pt>
              </c:numCache>
            </c:numRef>
          </c:val>
        </c:ser>
        <c:ser>
          <c:idx val="3"/>
          <c:order val="3"/>
          <c:tx>
            <c:strRef>
              <c:f>expo!$E$1</c:f>
              <c:strCache>
                <c:ptCount val="1"/>
                <c:pt idx="0">
                  <c:v>UK</c:v>
                </c:pt>
              </c:strCache>
            </c:strRef>
          </c:tx>
          <c:cat>
            <c:numRef>
              <c:f>expo!$A$2:$A$11</c:f>
              <c:numCache>
                <c:formatCode>General</c:formatCode>
                <c:ptCount val="10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</c:numCache>
            </c:numRef>
          </c:cat>
          <c:val>
            <c:numRef>
              <c:f>expo!$E$2:$E$11</c:f>
              <c:numCache>
                <c:formatCode>General</c:formatCode>
                <c:ptCount val="10"/>
                <c:pt idx="0">
                  <c:v>726</c:v>
                </c:pt>
                <c:pt idx="1">
                  <c:v>696</c:v>
                </c:pt>
                <c:pt idx="2">
                  <c:v>684</c:v>
                </c:pt>
                <c:pt idx="3">
                  <c:v>667</c:v>
                </c:pt>
                <c:pt idx="4">
                  <c:v>608</c:v>
                </c:pt>
                <c:pt idx="5">
                  <c:v>551</c:v>
                </c:pt>
                <c:pt idx="6">
                  <c:v>481</c:v>
                </c:pt>
                <c:pt idx="7">
                  <c:v>418</c:v>
                </c:pt>
                <c:pt idx="8">
                  <c:v>404</c:v>
                </c:pt>
                <c:pt idx="9">
                  <c:v>365</c:v>
                </c:pt>
              </c:numCache>
            </c:numRef>
          </c:val>
        </c:ser>
        <c:ser>
          <c:idx val="4"/>
          <c:order val="4"/>
          <c:tx>
            <c:strRef>
              <c:f>expo!$F$1</c:f>
              <c:strCache>
                <c:ptCount val="1"/>
                <c:pt idx="0">
                  <c:v>Francia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expo!$A$2:$A$11</c:f>
              <c:numCache>
                <c:formatCode>General</c:formatCode>
                <c:ptCount val="10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</c:numCache>
            </c:numRef>
          </c:cat>
          <c:val>
            <c:numRef>
              <c:f>expo!$F$2:$F$11</c:f>
              <c:numCache>
                <c:formatCode>General</c:formatCode>
                <c:ptCount val="10"/>
                <c:pt idx="0">
                  <c:v>1949</c:v>
                </c:pt>
                <c:pt idx="1">
                  <c:v>1938</c:v>
                </c:pt>
                <c:pt idx="2">
                  <c:v>2087</c:v>
                </c:pt>
                <c:pt idx="3">
                  <c:v>1769</c:v>
                </c:pt>
                <c:pt idx="4">
                  <c:v>1733</c:v>
                </c:pt>
                <c:pt idx="5">
                  <c:v>1860</c:v>
                </c:pt>
                <c:pt idx="6">
                  <c:v>1708</c:v>
                </c:pt>
                <c:pt idx="7">
                  <c:v>1551</c:v>
                </c:pt>
                <c:pt idx="8">
                  <c:v>1603</c:v>
                </c:pt>
                <c:pt idx="9">
                  <c:v>1757</c:v>
                </c:pt>
              </c:numCache>
            </c:numRef>
          </c:val>
        </c:ser>
        <c:ser>
          <c:idx val="5"/>
          <c:order val="5"/>
          <c:tx>
            <c:strRef>
              <c:f>expo!$G$1</c:f>
              <c:strCache>
                <c:ptCount val="1"/>
                <c:pt idx="0">
                  <c:v>Italia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expo!$A$2:$A$11</c:f>
              <c:numCache>
                <c:formatCode>General</c:formatCode>
                <c:ptCount val="10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</c:numCache>
            </c:numRef>
          </c:cat>
          <c:val>
            <c:numRef>
              <c:f>expo!$G$2:$G$11</c:f>
              <c:numCache>
                <c:formatCode>General</c:formatCode>
                <c:ptCount val="10"/>
                <c:pt idx="0">
                  <c:v>734</c:v>
                </c:pt>
                <c:pt idx="1">
                  <c:v>710</c:v>
                </c:pt>
                <c:pt idx="2">
                  <c:v>745</c:v>
                </c:pt>
                <c:pt idx="3">
                  <c:v>714</c:v>
                </c:pt>
                <c:pt idx="4">
                  <c:v>715</c:v>
                </c:pt>
                <c:pt idx="5">
                  <c:v>725</c:v>
                </c:pt>
                <c:pt idx="6">
                  <c:v>592</c:v>
                </c:pt>
                <c:pt idx="7">
                  <c:v>515</c:v>
                </c:pt>
                <c:pt idx="8">
                  <c:v>528</c:v>
                </c:pt>
                <c:pt idx="9">
                  <c:v>601</c:v>
                </c:pt>
              </c:numCache>
            </c:numRef>
          </c:val>
        </c:ser>
        <c:gapWidth val="75"/>
        <c:axId val="195389312"/>
        <c:axId val="195514368"/>
      </c:barChart>
      <c:catAx>
        <c:axId val="195389312"/>
        <c:scaling>
          <c:orientation val="minMax"/>
        </c:scaling>
        <c:axPos val="b"/>
        <c:numFmt formatCode="General" sourceLinked="1"/>
        <c:majorTickMark val="none"/>
        <c:tickLblPos val="nextTo"/>
        <c:crossAx val="195514368"/>
        <c:crosses val="autoZero"/>
        <c:auto val="1"/>
        <c:lblAlgn val="ctr"/>
        <c:lblOffset val="100"/>
      </c:catAx>
      <c:valAx>
        <c:axId val="1955143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9538931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A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'[Prod en Am Lat 1970-1984.xlsx]Hoja1'!$B$2</c:f>
              <c:strCache>
                <c:ptCount val="1"/>
                <c:pt idx="0">
                  <c:v>Argentina</c:v>
                </c:pt>
              </c:strCache>
            </c:strRef>
          </c:tx>
          <c:spPr>
            <a:solidFill>
              <a:schemeClr val="accent5"/>
            </a:solidFill>
          </c:spPr>
          <c:cat>
            <c:numRef>
              <c:f>'[Prod en Am Lat 1970-1984.xlsx]Hoja1'!$A$3:$A$12</c:f>
              <c:numCache>
                <c:formatCode>General</c:formatCode>
                <c:ptCount val="10"/>
                <c:pt idx="0">
                  <c:v>1970</c:v>
                </c:pt>
                <c:pt idx="1">
                  <c:v>1975</c:v>
                </c:pt>
                <c:pt idx="2">
                  <c:v>1977</c:v>
                </c:pt>
                <c:pt idx="3">
                  <c:v>1978</c:v>
                </c:pt>
                <c:pt idx="4">
                  <c:v>1979</c:v>
                </c:pt>
                <c:pt idx="5">
                  <c:v>1980</c:v>
                </c:pt>
                <c:pt idx="6">
                  <c:v>1981</c:v>
                </c:pt>
                <c:pt idx="7">
                  <c:v>1982</c:v>
                </c:pt>
                <c:pt idx="8">
                  <c:v>1983</c:v>
                </c:pt>
                <c:pt idx="9">
                  <c:v>1984</c:v>
                </c:pt>
              </c:numCache>
            </c:numRef>
          </c:cat>
          <c:val>
            <c:numRef>
              <c:f>'[Prod en Am Lat 1970-1984.xlsx]Hoja1'!$B$3:$B$12</c:f>
              <c:numCache>
                <c:formatCode>General</c:formatCode>
                <c:ptCount val="10"/>
                <c:pt idx="0">
                  <c:v>218.6</c:v>
                </c:pt>
                <c:pt idx="1">
                  <c:v>238.7</c:v>
                </c:pt>
                <c:pt idx="2">
                  <c:v>236.10000000000002</c:v>
                </c:pt>
                <c:pt idx="3">
                  <c:v>180.5</c:v>
                </c:pt>
                <c:pt idx="4">
                  <c:v>253.2</c:v>
                </c:pt>
                <c:pt idx="5">
                  <c:v>281.8</c:v>
                </c:pt>
                <c:pt idx="6">
                  <c:v>172.4</c:v>
                </c:pt>
                <c:pt idx="7">
                  <c:v>132.1</c:v>
                </c:pt>
                <c:pt idx="8">
                  <c:v>159.9</c:v>
                </c:pt>
                <c:pt idx="9">
                  <c:v>170.9</c:v>
                </c:pt>
              </c:numCache>
            </c:numRef>
          </c:val>
        </c:ser>
        <c:ser>
          <c:idx val="1"/>
          <c:order val="1"/>
          <c:tx>
            <c:strRef>
              <c:f>'[Prod en Am Lat 1970-1984.xlsx]Hoja1'!$C$2</c:f>
              <c:strCache>
                <c:ptCount val="1"/>
                <c:pt idx="0">
                  <c:v>Brasil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'[Prod en Am Lat 1970-1984.xlsx]Hoja1'!$A$3:$A$12</c:f>
              <c:numCache>
                <c:formatCode>General</c:formatCode>
                <c:ptCount val="10"/>
                <c:pt idx="0">
                  <c:v>1970</c:v>
                </c:pt>
                <c:pt idx="1">
                  <c:v>1975</c:v>
                </c:pt>
                <c:pt idx="2">
                  <c:v>1977</c:v>
                </c:pt>
                <c:pt idx="3">
                  <c:v>1978</c:v>
                </c:pt>
                <c:pt idx="4">
                  <c:v>1979</c:v>
                </c:pt>
                <c:pt idx="5">
                  <c:v>1980</c:v>
                </c:pt>
                <c:pt idx="6">
                  <c:v>1981</c:v>
                </c:pt>
                <c:pt idx="7">
                  <c:v>1982</c:v>
                </c:pt>
                <c:pt idx="8">
                  <c:v>1983</c:v>
                </c:pt>
                <c:pt idx="9">
                  <c:v>1984</c:v>
                </c:pt>
              </c:numCache>
            </c:numRef>
          </c:cat>
          <c:val>
            <c:numRef>
              <c:f>'[Prod en Am Lat 1970-1984.xlsx]Hoja1'!$C$3:$C$12</c:f>
              <c:numCache>
                <c:formatCode>General</c:formatCode>
                <c:ptCount val="10"/>
                <c:pt idx="0">
                  <c:v>416.5</c:v>
                </c:pt>
                <c:pt idx="1">
                  <c:v>920.80000000000007</c:v>
                </c:pt>
                <c:pt idx="2">
                  <c:v>906.3</c:v>
                </c:pt>
                <c:pt idx="3">
                  <c:v>1054.4000000000001</c:v>
                </c:pt>
                <c:pt idx="4">
                  <c:v>1111</c:v>
                </c:pt>
                <c:pt idx="5">
                  <c:v>1168</c:v>
                </c:pt>
                <c:pt idx="6">
                  <c:v>774.8</c:v>
                </c:pt>
                <c:pt idx="7">
                  <c:v>840.4</c:v>
                </c:pt>
                <c:pt idx="8">
                  <c:v>896.4</c:v>
                </c:pt>
                <c:pt idx="9">
                  <c:v>864.59999999999991</c:v>
                </c:pt>
              </c:numCache>
            </c:numRef>
          </c:val>
        </c:ser>
        <c:ser>
          <c:idx val="2"/>
          <c:order val="2"/>
          <c:tx>
            <c:strRef>
              <c:f>'[Prod en Am Lat 1970-1984.xlsx]Hoja1'!$D$2</c:f>
              <c:strCache>
                <c:ptCount val="1"/>
                <c:pt idx="0">
                  <c:v>Colombia</c:v>
                </c:pt>
              </c:strCache>
            </c:strRef>
          </c:tx>
          <c:spPr>
            <a:solidFill>
              <a:srgbClr val="FFC000"/>
            </a:solidFill>
          </c:spPr>
          <c:cat>
            <c:numRef>
              <c:f>'[Prod en Am Lat 1970-1984.xlsx]Hoja1'!$A$3:$A$12</c:f>
              <c:numCache>
                <c:formatCode>General</c:formatCode>
                <c:ptCount val="10"/>
                <c:pt idx="0">
                  <c:v>1970</c:v>
                </c:pt>
                <c:pt idx="1">
                  <c:v>1975</c:v>
                </c:pt>
                <c:pt idx="2">
                  <c:v>1977</c:v>
                </c:pt>
                <c:pt idx="3">
                  <c:v>1978</c:v>
                </c:pt>
                <c:pt idx="4">
                  <c:v>1979</c:v>
                </c:pt>
                <c:pt idx="5">
                  <c:v>1980</c:v>
                </c:pt>
                <c:pt idx="6">
                  <c:v>1981</c:v>
                </c:pt>
                <c:pt idx="7">
                  <c:v>1982</c:v>
                </c:pt>
                <c:pt idx="8">
                  <c:v>1983</c:v>
                </c:pt>
                <c:pt idx="9">
                  <c:v>1984</c:v>
                </c:pt>
              </c:numCache>
            </c:numRef>
          </c:cat>
          <c:val>
            <c:numRef>
              <c:f>'[Prod en Am Lat 1970-1984.xlsx]Hoja1'!$D$3:$D$12</c:f>
              <c:numCache>
                <c:formatCode>General</c:formatCode>
                <c:ptCount val="10"/>
                <c:pt idx="0">
                  <c:v>19.600000000000001</c:v>
                </c:pt>
                <c:pt idx="1">
                  <c:v>29.4</c:v>
                </c:pt>
                <c:pt idx="2">
                  <c:v>37</c:v>
                </c:pt>
                <c:pt idx="3">
                  <c:v>44.5</c:v>
                </c:pt>
                <c:pt idx="4">
                  <c:v>48.7</c:v>
                </c:pt>
                <c:pt idx="5">
                  <c:v>42.9</c:v>
                </c:pt>
                <c:pt idx="6">
                  <c:v>35.1</c:v>
                </c:pt>
                <c:pt idx="7">
                  <c:v>35.800000000000004</c:v>
                </c:pt>
                <c:pt idx="8">
                  <c:v>27.4</c:v>
                </c:pt>
                <c:pt idx="9">
                  <c:v>45.2</c:v>
                </c:pt>
              </c:numCache>
            </c:numRef>
          </c:val>
        </c:ser>
        <c:ser>
          <c:idx val="3"/>
          <c:order val="3"/>
          <c:tx>
            <c:strRef>
              <c:f>'[Prod en Am Lat 1970-1984.xlsx]Hoja1'!$E$2</c:f>
              <c:strCache>
                <c:ptCount val="1"/>
                <c:pt idx="0">
                  <c:v>Chile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'[Prod en Am Lat 1970-1984.xlsx]Hoja1'!$A$3:$A$12</c:f>
              <c:numCache>
                <c:formatCode>General</c:formatCode>
                <c:ptCount val="10"/>
                <c:pt idx="0">
                  <c:v>1970</c:v>
                </c:pt>
                <c:pt idx="1">
                  <c:v>1975</c:v>
                </c:pt>
                <c:pt idx="2">
                  <c:v>1977</c:v>
                </c:pt>
                <c:pt idx="3">
                  <c:v>1978</c:v>
                </c:pt>
                <c:pt idx="4">
                  <c:v>1979</c:v>
                </c:pt>
                <c:pt idx="5">
                  <c:v>1980</c:v>
                </c:pt>
                <c:pt idx="6">
                  <c:v>1981</c:v>
                </c:pt>
                <c:pt idx="7">
                  <c:v>1982</c:v>
                </c:pt>
                <c:pt idx="8">
                  <c:v>1983</c:v>
                </c:pt>
                <c:pt idx="9">
                  <c:v>1984</c:v>
                </c:pt>
              </c:numCache>
            </c:numRef>
          </c:cat>
          <c:val>
            <c:numRef>
              <c:f>'[Prod en Am Lat 1970-1984.xlsx]Hoja1'!$E$3:$E$12</c:f>
              <c:numCache>
                <c:formatCode>General</c:formatCode>
                <c:ptCount val="10"/>
                <c:pt idx="0">
                  <c:v>24.599999999999987</c:v>
                </c:pt>
                <c:pt idx="1">
                  <c:v>7.5</c:v>
                </c:pt>
                <c:pt idx="2">
                  <c:v>13.100000000000001</c:v>
                </c:pt>
                <c:pt idx="3">
                  <c:v>20</c:v>
                </c:pt>
                <c:pt idx="4">
                  <c:v>20.100000000000001</c:v>
                </c:pt>
                <c:pt idx="5">
                  <c:v>29.299999999999986</c:v>
                </c:pt>
                <c:pt idx="6">
                  <c:v>25.900000000000002</c:v>
                </c:pt>
                <c:pt idx="7">
                  <c:v>10.200000000000001</c:v>
                </c:pt>
                <c:pt idx="8">
                  <c:v>4.5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'[Prod en Am Lat 1970-1984.xlsx]Hoja1'!$F$2</c:f>
              <c:strCache>
                <c:ptCount val="1"/>
                <c:pt idx="0">
                  <c:v>México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'[Prod en Am Lat 1970-1984.xlsx]Hoja1'!$A$3:$A$12</c:f>
              <c:numCache>
                <c:formatCode>General</c:formatCode>
                <c:ptCount val="10"/>
                <c:pt idx="0">
                  <c:v>1970</c:v>
                </c:pt>
                <c:pt idx="1">
                  <c:v>1975</c:v>
                </c:pt>
                <c:pt idx="2">
                  <c:v>1977</c:v>
                </c:pt>
                <c:pt idx="3">
                  <c:v>1978</c:v>
                </c:pt>
                <c:pt idx="4">
                  <c:v>1979</c:v>
                </c:pt>
                <c:pt idx="5">
                  <c:v>1980</c:v>
                </c:pt>
                <c:pt idx="6">
                  <c:v>1981</c:v>
                </c:pt>
                <c:pt idx="7">
                  <c:v>1982</c:v>
                </c:pt>
                <c:pt idx="8">
                  <c:v>1983</c:v>
                </c:pt>
                <c:pt idx="9">
                  <c:v>1984</c:v>
                </c:pt>
              </c:numCache>
            </c:numRef>
          </c:cat>
          <c:val>
            <c:numRef>
              <c:f>'[Prod en Am Lat 1970-1984.xlsx]Hoja1'!$F$3:$F$12</c:f>
              <c:numCache>
                <c:formatCode>General</c:formatCode>
                <c:ptCount val="10"/>
                <c:pt idx="0">
                  <c:v>190.5</c:v>
                </c:pt>
                <c:pt idx="1">
                  <c:v>339.5</c:v>
                </c:pt>
                <c:pt idx="2">
                  <c:v>258.8</c:v>
                </c:pt>
                <c:pt idx="3">
                  <c:v>341.7</c:v>
                </c:pt>
                <c:pt idx="4">
                  <c:v>391.4</c:v>
                </c:pt>
                <c:pt idx="5">
                  <c:v>426.4</c:v>
                </c:pt>
                <c:pt idx="6">
                  <c:v>488.4</c:v>
                </c:pt>
                <c:pt idx="7">
                  <c:v>404.5</c:v>
                </c:pt>
                <c:pt idx="8">
                  <c:v>266.39999999999969</c:v>
                </c:pt>
                <c:pt idx="9">
                  <c:v>358</c:v>
                </c:pt>
              </c:numCache>
            </c:numRef>
          </c:val>
        </c:ser>
        <c:ser>
          <c:idx val="5"/>
          <c:order val="5"/>
          <c:tx>
            <c:strRef>
              <c:f>'[Prod en Am Lat 1970-1984.xlsx]Hoja1'!$G$2</c:f>
              <c:strCache>
                <c:ptCount val="1"/>
                <c:pt idx="0">
                  <c:v>Venezuela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cat>
            <c:numRef>
              <c:f>'[Prod en Am Lat 1970-1984.xlsx]Hoja1'!$A$3:$A$12</c:f>
              <c:numCache>
                <c:formatCode>General</c:formatCode>
                <c:ptCount val="10"/>
                <c:pt idx="0">
                  <c:v>1970</c:v>
                </c:pt>
                <c:pt idx="1">
                  <c:v>1975</c:v>
                </c:pt>
                <c:pt idx="2">
                  <c:v>1977</c:v>
                </c:pt>
                <c:pt idx="3">
                  <c:v>1978</c:v>
                </c:pt>
                <c:pt idx="4">
                  <c:v>1979</c:v>
                </c:pt>
                <c:pt idx="5">
                  <c:v>1980</c:v>
                </c:pt>
                <c:pt idx="6">
                  <c:v>1981</c:v>
                </c:pt>
                <c:pt idx="7">
                  <c:v>1982</c:v>
                </c:pt>
                <c:pt idx="8">
                  <c:v>1983</c:v>
                </c:pt>
                <c:pt idx="9">
                  <c:v>1984</c:v>
                </c:pt>
              </c:numCache>
            </c:numRef>
          </c:cat>
          <c:val>
            <c:numRef>
              <c:f>'[Prod en Am Lat 1970-1984.xlsx]Hoja1'!$G$3:$G$12</c:f>
              <c:numCache>
                <c:formatCode>General</c:formatCode>
                <c:ptCount val="10"/>
                <c:pt idx="0">
                  <c:v>68</c:v>
                </c:pt>
                <c:pt idx="1">
                  <c:v>144</c:v>
                </c:pt>
                <c:pt idx="2">
                  <c:v>163</c:v>
                </c:pt>
                <c:pt idx="3">
                  <c:v>183</c:v>
                </c:pt>
                <c:pt idx="4">
                  <c:v>161</c:v>
                </c:pt>
                <c:pt idx="5">
                  <c:v>155</c:v>
                </c:pt>
                <c:pt idx="6">
                  <c:v>154</c:v>
                </c:pt>
                <c:pt idx="7">
                  <c:v>155</c:v>
                </c:pt>
                <c:pt idx="8">
                  <c:v>112</c:v>
                </c:pt>
                <c:pt idx="9">
                  <c:v>111.80000000000001</c:v>
                </c:pt>
              </c:numCache>
            </c:numRef>
          </c:val>
        </c:ser>
        <c:gapWidth val="75"/>
        <c:overlap val="100"/>
        <c:axId val="195947520"/>
        <c:axId val="196158208"/>
      </c:barChart>
      <c:catAx>
        <c:axId val="195947520"/>
        <c:scaling>
          <c:orientation val="minMax"/>
        </c:scaling>
        <c:axPos val="b"/>
        <c:numFmt formatCode="General" sourceLinked="1"/>
        <c:majorTickMark val="none"/>
        <c:tickLblPos val="nextTo"/>
        <c:crossAx val="196158208"/>
        <c:crosses val="autoZero"/>
        <c:auto val="1"/>
        <c:lblAlgn val="ctr"/>
        <c:lblOffset val="100"/>
      </c:catAx>
      <c:valAx>
        <c:axId val="1961582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9594752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A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autoTitleDeleted val="1"/>
    <c:plotArea>
      <c:layout/>
      <c:lineChart>
        <c:grouping val="standard"/>
        <c:ser>
          <c:idx val="0"/>
          <c:order val="0"/>
          <c:tx>
            <c:v>Argentina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Hoja1!$A$9:$A$33</c:f>
              <c:numCache>
                <c:formatCode>General</c:formatCode>
                <c:ptCount val="25"/>
                <c:pt idx="0">
                  <c:v>1965</c:v>
                </c:pt>
                <c:pt idx="1">
                  <c:v>1966</c:v>
                </c:pt>
                <c:pt idx="2">
                  <c:v>1967</c:v>
                </c:pt>
                <c:pt idx="3">
                  <c:v>1968</c:v>
                </c:pt>
                <c:pt idx="4">
                  <c:v>1969</c:v>
                </c:pt>
                <c:pt idx="5">
                  <c:v>1970</c:v>
                </c:pt>
                <c:pt idx="6">
                  <c:v>1971</c:v>
                </c:pt>
                <c:pt idx="7">
                  <c:v>1972</c:v>
                </c:pt>
                <c:pt idx="8">
                  <c:v>1973</c:v>
                </c:pt>
                <c:pt idx="9">
                  <c:v>1974</c:v>
                </c:pt>
                <c:pt idx="10">
                  <c:v>1975</c:v>
                </c:pt>
                <c:pt idx="11">
                  <c:v>1976</c:v>
                </c:pt>
                <c:pt idx="12">
                  <c:v>1977</c:v>
                </c:pt>
                <c:pt idx="13">
                  <c:v>1978</c:v>
                </c:pt>
                <c:pt idx="14">
                  <c:v>1979</c:v>
                </c:pt>
                <c:pt idx="15">
                  <c:v>1980</c:v>
                </c:pt>
                <c:pt idx="16">
                  <c:v>1981</c:v>
                </c:pt>
                <c:pt idx="17">
                  <c:v>1982</c:v>
                </c:pt>
                <c:pt idx="18">
                  <c:v>1983</c:v>
                </c:pt>
                <c:pt idx="19">
                  <c:v>1984</c:v>
                </c:pt>
                <c:pt idx="20">
                  <c:v>1985</c:v>
                </c:pt>
                <c:pt idx="21">
                  <c:v>1986</c:v>
                </c:pt>
                <c:pt idx="22">
                  <c:v>1987</c:v>
                </c:pt>
                <c:pt idx="23">
                  <c:v>1988</c:v>
                </c:pt>
                <c:pt idx="24">
                  <c:v>1989</c:v>
                </c:pt>
              </c:numCache>
            </c:numRef>
          </c:cat>
          <c:val>
            <c:numRef>
              <c:f>Hoja1!$G$9:$G$33</c:f>
              <c:numCache>
                <c:formatCode>0.0%</c:formatCode>
                <c:ptCount val="25"/>
                <c:pt idx="0">
                  <c:v>0.13514311885157393</c:v>
                </c:pt>
                <c:pt idx="1">
                  <c:v>0.12696566066535597</c:v>
                </c:pt>
                <c:pt idx="2">
                  <c:v>0.10472320699176679</c:v>
                </c:pt>
                <c:pt idx="3">
                  <c:v>0.11671596541827321</c:v>
                </c:pt>
                <c:pt idx="4">
                  <c:v>0.10178972940537152</c:v>
                </c:pt>
                <c:pt idx="5">
                  <c:v>5.7806707105547188E-2</c:v>
                </c:pt>
                <c:pt idx="6">
                  <c:v>0.12898504467433741</c:v>
                </c:pt>
                <c:pt idx="7">
                  <c:v>0.11175927741145752</c:v>
                </c:pt>
                <c:pt idx="8">
                  <c:v>2.8797686121027066E-2</c:v>
                </c:pt>
                <c:pt idx="9">
                  <c:v>0.11852087585687222</c:v>
                </c:pt>
                <c:pt idx="10">
                  <c:v>7.9593899048473096E-2</c:v>
                </c:pt>
                <c:pt idx="11">
                  <c:v>7.0555041067672949E-2</c:v>
                </c:pt>
                <c:pt idx="12">
                  <c:v>5.2216374410839823E-2</c:v>
                </c:pt>
                <c:pt idx="13">
                  <c:v>7.2088899269929368E-2</c:v>
                </c:pt>
                <c:pt idx="14">
                  <c:v>3.2006467227054816E-2</c:v>
                </c:pt>
                <c:pt idx="15">
                  <c:v>8.0575873800264153E-2</c:v>
                </c:pt>
                <c:pt idx="16">
                  <c:v>6.6572516962210004E-2</c:v>
                </c:pt>
                <c:pt idx="17">
                  <c:v>5.9496999767719036E-2</c:v>
                </c:pt>
                <c:pt idx="18">
                  <c:v>2.9421098248144206E-2</c:v>
                </c:pt>
                <c:pt idx="19">
                  <c:v>3.8431365832880801E-2</c:v>
                </c:pt>
                <c:pt idx="20">
                  <c:v>3.1634951293091795E-2</c:v>
                </c:pt>
                <c:pt idx="21">
                  <c:v>4.0807591260901922E-2</c:v>
                </c:pt>
                <c:pt idx="22">
                  <c:v>2.4677004472427148E-2</c:v>
                </c:pt>
                <c:pt idx="23">
                  <c:v>-1.5848427995319301E-2</c:v>
                </c:pt>
                <c:pt idx="24">
                  <c:v>4.2822023161872584E-3</c:v>
                </c:pt>
              </c:numCache>
            </c:numRef>
          </c:val>
        </c:ser>
        <c:ser>
          <c:idx val="1"/>
          <c:order val="1"/>
          <c:tx>
            <c:v>Mundo</c:v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val>
            <c:numRef>
              <c:f>Hoja1!$H$9:$H$33</c:f>
              <c:numCache>
                <c:formatCode>0.0%</c:formatCode>
                <c:ptCount val="25"/>
                <c:pt idx="0">
                  <c:v>7.1618150224336721E-2</c:v>
                </c:pt>
                <c:pt idx="1">
                  <c:v>6.9018362398005184E-2</c:v>
                </c:pt>
                <c:pt idx="2">
                  <c:v>8.08169353585107E-2</c:v>
                </c:pt>
                <c:pt idx="3">
                  <c:v>5.3679241727640603E-2</c:v>
                </c:pt>
                <c:pt idx="4">
                  <c:v>7.0838094832934323E-2</c:v>
                </c:pt>
                <c:pt idx="5">
                  <c:v>6.1796367036817387E-2</c:v>
                </c:pt>
                <c:pt idx="6">
                  <c:v>6.4073289361226832E-2</c:v>
                </c:pt>
                <c:pt idx="7">
                  <c:v>6.5058576223566283E-2</c:v>
                </c:pt>
                <c:pt idx="8">
                  <c:v>6.6556728965274425E-2</c:v>
                </c:pt>
                <c:pt idx="9">
                  <c:v>5.5517661236641772E-2</c:v>
                </c:pt>
                <c:pt idx="10">
                  <c:v>4.3091160287153957E-2</c:v>
                </c:pt>
                <c:pt idx="11">
                  <c:v>4.2135996491866404E-2</c:v>
                </c:pt>
                <c:pt idx="12">
                  <c:v>6.1152887656914963E-2</c:v>
                </c:pt>
                <c:pt idx="13">
                  <c:v>4.8195257189981092E-2</c:v>
                </c:pt>
                <c:pt idx="14">
                  <c:v>4.2088846302961815E-2</c:v>
                </c:pt>
                <c:pt idx="15">
                  <c:v>3.8323459497983769E-2</c:v>
                </c:pt>
                <c:pt idx="16">
                  <c:v>3.67772618863502E-2</c:v>
                </c:pt>
                <c:pt idx="17">
                  <c:v>2.9726458522442378E-2</c:v>
                </c:pt>
                <c:pt idx="18">
                  <c:v>3.894773401560838E-2</c:v>
                </c:pt>
                <c:pt idx="19">
                  <c:v>3.7814626564412396E-2</c:v>
                </c:pt>
                <c:pt idx="20">
                  <c:v>3.0042749228180291E-2</c:v>
                </c:pt>
                <c:pt idx="21">
                  <c:v>2.5225313764413893E-2</c:v>
                </c:pt>
                <c:pt idx="22">
                  <c:v>3.0991762257749852E-2</c:v>
                </c:pt>
                <c:pt idx="23">
                  <c:v>4.7349714795445814E-2</c:v>
                </c:pt>
                <c:pt idx="24">
                  <c:v>-6.9371656184549534E-3</c:v>
                </c:pt>
              </c:numCache>
            </c:numRef>
          </c:val>
        </c:ser>
        <c:marker val="1"/>
        <c:axId val="200101248"/>
        <c:axId val="200108288"/>
      </c:lineChart>
      <c:catAx>
        <c:axId val="2001012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s-ES"/>
            </a:pPr>
            <a:endParaRPr lang="es-AR"/>
          </a:p>
        </c:txPr>
        <c:crossAx val="200108288"/>
        <c:crosses val="autoZero"/>
        <c:auto val="1"/>
        <c:lblAlgn val="ctr"/>
        <c:lblOffset val="100"/>
      </c:catAx>
      <c:valAx>
        <c:axId val="200108288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s-ES"/>
            </a:pPr>
            <a:endParaRPr lang="es-AR"/>
          </a:p>
        </c:txPr>
        <c:crossAx val="200101248"/>
        <c:crosses val="autoZero"/>
        <c:crossBetween val="between"/>
      </c:valAx>
    </c:plotArea>
    <c:legend>
      <c:legendPos val="b"/>
      <c:txPr>
        <a:bodyPr/>
        <a:lstStyle/>
        <a:p>
          <a:pPr>
            <a:defRPr lang="es-ES"/>
          </a:pPr>
          <a:endParaRPr lang="es-AR"/>
        </a:p>
      </c:txPr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s-A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AR"/>
  <c:chart>
    <c:autoTitleDeleted val="1"/>
    <c:plotArea>
      <c:layout>
        <c:manualLayout>
          <c:layoutTarget val="inner"/>
          <c:xMode val="edge"/>
          <c:yMode val="edge"/>
          <c:x val="9.1206224221972249E-2"/>
          <c:y val="5.5555555555555455E-2"/>
          <c:w val="0.8802223472065992"/>
          <c:h val="0.6196675415573053"/>
        </c:manualLayout>
      </c:layout>
      <c:barChart>
        <c:barDir val="col"/>
        <c:grouping val="stacked"/>
        <c:ser>
          <c:idx val="11"/>
          <c:order val="0"/>
          <c:tx>
            <c:v>Fiat</c:v>
          </c:tx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6'!$C$5:$C$21</c:f>
              <c:numCache>
                <c:formatCode>#,##0</c:formatCode>
                <c:ptCount val="17"/>
                <c:pt idx="0">
                  <c:v>74287</c:v>
                </c:pt>
                <c:pt idx="1">
                  <c:v>58231</c:v>
                </c:pt>
                <c:pt idx="2">
                  <c:v>44444</c:v>
                </c:pt>
                <c:pt idx="3">
                  <c:v>47834</c:v>
                </c:pt>
                <c:pt idx="4">
                  <c:v>25604</c:v>
                </c:pt>
                <c:pt idx="5">
                  <c:v>38359</c:v>
                </c:pt>
              </c:numCache>
            </c:numRef>
          </c:val>
        </c:ser>
        <c:ser>
          <c:idx val="10"/>
          <c:order val="1"/>
          <c:tx>
            <c:v>Peugeot</c:v>
          </c:tx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6'!$B$5:$B$21</c:f>
              <c:numCache>
                <c:formatCode>#,##0</c:formatCode>
                <c:ptCount val="17"/>
                <c:pt idx="0">
                  <c:v>28271</c:v>
                </c:pt>
                <c:pt idx="1">
                  <c:v>21511</c:v>
                </c:pt>
                <c:pt idx="2">
                  <c:v>16121</c:v>
                </c:pt>
                <c:pt idx="3">
                  <c:v>20170</c:v>
                </c:pt>
                <c:pt idx="4">
                  <c:v>22555</c:v>
                </c:pt>
                <c:pt idx="5">
                  <c:v>26360</c:v>
                </c:pt>
              </c:numCache>
            </c:numRef>
          </c:val>
        </c:ser>
        <c:ser>
          <c:idx val="0"/>
          <c:order val="2"/>
          <c:tx>
            <c:v>Sevel</c:v>
          </c:tx>
          <c:spPr>
            <a:solidFill>
              <a:schemeClr val="tx1"/>
            </a:solidFill>
          </c:spPr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6'!$D$5:$D$21</c:f>
              <c:numCache>
                <c:formatCode>General</c:formatCode>
                <c:ptCount val="17"/>
                <c:pt idx="6" formatCode="#,##0">
                  <c:v>65789</c:v>
                </c:pt>
                <c:pt idx="7" formatCode="#,##0">
                  <c:v>27213</c:v>
                </c:pt>
                <c:pt idx="8" formatCode="#,##0">
                  <c:v>29796</c:v>
                </c:pt>
                <c:pt idx="9" formatCode="#,##0">
                  <c:v>39136</c:v>
                </c:pt>
                <c:pt idx="10" formatCode="#,##0">
                  <c:v>42924</c:v>
                </c:pt>
                <c:pt idx="11" formatCode="#,##0">
                  <c:v>41831</c:v>
                </c:pt>
                <c:pt idx="12" formatCode="#,##0">
                  <c:v>59313</c:v>
                </c:pt>
                <c:pt idx="13" formatCode="#,##0">
                  <c:v>72226</c:v>
                </c:pt>
                <c:pt idx="14" formatCode="#,##0">
                  <c:v>62289</c:v>
                </c:pt>
                <c:pt idx="15" formatCode="#,##0">
                  <c:v>50740</c:v>
                </c:pt>
                <c:pt idx="16">
                  <c:v>41307</c:v>
                </c:pt>
              </c:numCache>
            </c:numRef>
          </c:val>
        </c:ser>
        <c:ser>
          <c:idx val="1"/>
          <c:order val="3"/>
          <c:tx>
            <c:v>Renault</c:v>
          </c:tx>
          <c:spPr>
            <a:solidFill>
              <a:srgbClr val="FF0000"/>
            </a:solidFill>
          </c:spPr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6'!$E$5:$E$21</c:f>
              <c:numCache>
                <c:formatCode>#,##0</c:formatCode>
                <c:ptCount val="17"/>
                <c:pt idx="0">
                  <c:v>39724</c:v>
                </c:pt>
                <c:pt idx="1">
                  <c:v>38096</c:v>
                </c:pt>
                <c:pt idx="2">
                  <c:v>38896</c:v>
                </c:pt>
                <c:pt idx="3">
                  <c:v>34744</c:v>
                </c:pt>
                <c:pt idx="4">
                  <c:v>28886</c:v>
                </c:pt>
                <c:pt idx="5">
                  <c:v>41221</c:v>
                </c:pt>
                <c:pt idx="6">
                  <c:v>58304</c:v>
                </c:pt>
                <c:pt idx="7">
                  <c:v>44422</c:v>
                </c:pt>
                <c:pt idx="8">
                  <c:v>34278</c:v>
                </c:pt>
                <c:pt idx="9">
                  <c:v>41603</c:v>
                </c:pt>
                <c:pt idx="10">
                  <c:v>43165</c:v>
                </c:pt>
                <c:pt idx="11">
                  <c:v>41294</c:v>
                </c:pt>
                <c:pt idx="12">
                  <c:v>48180</c:v>
                </c:pt>
                <c:pt idx="13">
                  <c:v>57193</c:v>
                </c:pt>
                <c:pt idx="14">
                  <c:v>45886</c:v>
                </c:pt>
                <c:pt idx="15">
                  <c:v>37083</c:v>
                </c:pt>
                <c:pt idx="16" formatCode="General">
                  <c:v>26696</c:v>
                </c:pt>
              </c:numCache>
            </c:numRef>
          </c:val>
        </c:ser>
        <c:ser>
          <c:idx val="2"/>
          <c:order val="4"/>
          <c:tx>
            <c:v>Ford</c:v>
          </c:tx>
          <c:spPr>
            <a:solidFill>
              <a:srgbClr val="00B050"/>
            </a:solidFill>
          </c:spPr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6'!$F$5:$F$21</c:f>
              <c:numCache>
                <c:formatCode>#,##0</c:formatCode>
                <c:ptCount val="17"/>
                <c:pt idx="0">
                  <c:v>53938</c:v>
                </c:pt>
                <c:pt idx="1">
                  <c:v>38085</c:v>
                </c:pt>
                <c:pt idx="2">
                  <c:v>33954</c:v>
                </c:pt>
                <c:pt idx="3">
                  <c:v>56795</c:v>
                </c:pt>
                <c:pt idx="4">
                  <c:v>50287</c:v>
                </c:pt>
                <c:pt idx="5">
                  <c:v>86320</c:v>
                </c:pt>
                <c:pt idx="6">
                  <c:v>112592</c:v>
                </c:pt>
                <c:pt idx="7">
                  <c:v>75566</c:v>
                </c:pt>
                <c:pt idx="8">
                  <c:v>50390</c:v>
                </c:pt>
                <c:pt idx="9">
                  <c:v>56047</c:v>
                </c:pt>
                <c:pt idx="10">
                  <c:v>49554</c:v>
                </c:pt>
                <c:pt idx="11">
                  <c:v>29441</c:v>
                </c:pt>
                <c:pt idx="12">
                  <c:v>32908</c:v>
                </c:pt>
              </c:numCache>
            </c:numRef>
          </c:val>
        </c:ser>
        <c:ser>
          <c:idx val="3"/>
          <c:order val="5"/>
          <c:tx>
            <c:v>Volskwagen</c:v>
          </c:tx>
          <c:spPr>
            <a:solidFill>
              <a:schemeClr val="accent4"/>
            </a:solidFill>
          </c:spPr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6'!$G$5:$G$21</c:f>
              <c:numCache>
                <c:formatCode>#,##0</c:formatCode>
                <c:ptCount val="17"/>
                <c:pt idx="0">
                  <c:v>26587</c:v>
                </c:pt>
                <c:pt idx="1">
                  <c:v>22181</c:v>
                </c:pt>
                <c:pt idx="2">
                  <c:v>29986</c:v>
                </c:pt>
                <c:pt idx="3">
                  <c:v>23434</c:v>
                </c:pt>
                <c:pt idx="4">
                  <c:v>21164</c:v>
                </c:pt>
                <c:pt idx="5">
                  <c:v>32040</c:v>
                </c:pt>
                <c:pt idx="6">
                  <c:v>31610</c:v>
                </c:pt>
                <c:pt idx="7">
                  <c:v>18528</c:v>
                </c:pt>
                <c:pt idx="8">
                  <c:v>12855</c:v>
                </c:pt>
                <c:pt idx="9">
                  <c:v>18110</c:v>
                </c:pt>
                <c:pt idx="10">
                  <c:v>25497</c:v>
                </c:pt>
                <c:pt idx="11">
                  <c:v>20059</c:v>
                </c:pt>
                <c:pt idx="12">
                  <c:v>23117</c:v>
                </c:pt>
              </c:numCache>
            </c:numRef>
          </c:val>
        </c:ser>
        <c:ser>
          <c:idx val="4"/>
          <c:order val="6"/>
          <c:tx>
            <c:v>Autolatina</c:v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6'!$I$5:$I$21</c:f>
              <c:numCache>
                <c:formatCode>General</c:formatCode>
                <c:ptCount val="17"/>
                <c:pt idx="13" formatCode="#,##0">
                  <c:v>53248</c:v>
                </c:pt>
                <c:pt idx="14">
                  <c:v>47708</c:v>
                </c:pt>
                <c:pt idx="15">
                  <c:v>34474</c:v>
                </c:pt>
                <c:pt idx="16">
                  <c:v>27458</c:v>
                </c:pt>
              </c:numCache>
            </c:numRef>
          </c:val>
        </c:ser>
        <c:ser>
          <c:idx val="8"/>
          <c:order val="7"/>
          <c:tx>
            <c:v>Mercedes Benz</c:v>
          </c:tx>
          <c:spPr>
            <a:solidFill>
              <a:srgbClr val="FFFF00"/>
            </a:solidFill>
          </c:spPr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6'!$L$5:$L$21</c:f>
              <c:numCache>
                <c:formatCode>#,##0</c:formatCode>
                <c:ptCount val="17"/>
                <c:pt idx="0">
                  <c:v>6849</c:v>
                </c:pt>
                <c:pt idx="1">
                  <c:v>6720</c:v>
                </c:pt>
                <c:pt idx="2">
                  <c:v>6682</c:v>
                </c:pt>
                <c:pt idx="3">
                  <c:v>7845</c:v>
                </c:pt>
                <c:pt idx="4">
                  <c:v>7825</c:v>
                </c:pt>
                <c:pt idx="5">
                  <c:v>8752</c:v>
                </c:pt>
                <c:pt idx="6">
                  <c:v>9797</c:v>
                </c:pt>
                <c:pt idx="7">
                  <c:v>5941</c:v>
                </c:pt>
                <c:pt idx="8">
                  <c:v>4173</c:v>
                </c:pt>
                <c:pt idx="9">
                  <c:v>3851</c:v>
                </c:pt>
                <c:pt idx="10">
                  <c:v>4281</c:v>
                </c:pt>
                <c:pt idx="11">
                  <c:v>3344</c:v>
                </c:pt>
                <c:pt idx="12">
                  <c:v>4958</c:v>
                </c:pt>
                <c:pt idx="13">
                  <c:v>5525</c:v>
                </c:pt>
                <c:pt idx="14">
                  <c:v>4191</c:v>
                </c:pt>
                <c:pt idx="15">
                  <c:v>3087</c:v>
                </c:pt>
                <c:pt idx="16">
                  <c:v>2759</c:v>
                </c:pt>
              </c:numCache>
            </c:numRef>
          </c:val>
        </c:ser>
        <c:ser>
          <c:idx val="5"/>
          <c:order val="8"/>
          <c:tx>
            <c:v>Ex Citroen - IES</c:v>
          </c:tx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6'!$J$5:$J$21</c:f>
              <c:numCache>
                <c:formatCode>#,##0</c:formatCode>
                <c:ptCount val="17"/>
                <c:pt idx="0">
                  <c:v>18344</c:v>
                </c:pt>
                <c:pt idx="1">
                  <c:v>18653</c:v>
                </c:pt>
                <c:pt idx="2">
                  <c:v>15839</c:v>
                </c:pt>
                <c:pt idx="3">
                  <c:v>14044</c:v>
                </c:pt>
                <c:pt idx="4">
                  <c:v>8226</c:v>
                </c:pt>
                <c:pt idx="13">
                  <c:v>2566</c:v>
                </c:pt>
                <c:pt idx="14" formatCode="General">
                  <c:v>1848</c:v>
                </c:pt>
                <c:pt idx="15" formatCode="General">
                  <c:v>424</c:v>
                </c:pt>
              </c:numCache>
            </c:numRef>
          </c:val>
        </c:ser>
        <c:ser>
          <c:idx val="6"/>
          <c:order val="9"/>
          <c:tx>
            <c:v>Saab-Scania</c:v>
          </c:tx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6'!$M$5:$M$21</c:f>
              <c:numCache>
                <c:formatCode>General</c:formatCode>
                <c:ptCount val="17"/>
                <c:pt idx="3" formatCode="#,##0">
                  <c:v>474</c:v>
                </c:pt>
                <c:pt idx="4" formatCode="#,##0">
                  <c:v>436</c:v>
                </c:pt>
                <c:pt idx="5" formatCode="#,##0">
                  <c:v>623</c:v>
                </c:pt>
                <c:pt idx="6" formatCode="#,##0">
                  <c:v>788</c:v>
                </c:pt>
                <c:pt idx="7" formatCode="#,##0">
                  <c:v>393</c:v>
                </c:pt>
                <c:pt idx="8" formatCode="#,##0">
                  <c:v>388</c:v>
                </c:pt>
                <c:pt idx="9" formatCode="#,##0">
                  <c:v>675</c:v>
                </c:pt>
                <c:pt idx="10" formatCode="#,##0">
                  <c:v>918</c:v>
                </c:pt>
                <c:pt idx="11" formatCode="#,##0">
                  <c:v>865</c:v>
                </c:pt>
                <c:pt idx="12" formatCode="#,##0">
                  <c:v>945</c:v>
                </c:pt>
                <c:pt idx="13" formatCode="#,##0">
                  <c:v>1274</c:v>
                </c:pt>
                <c:pt idx="14" formatCode="#,##0">
                  <c:v>886</c:v>
                </c:pt>
                <c:pt idx="15" formatCode="#,##0">
                  <c:v>863</c:v>
                </c:pt>
                <c:pt idx="16" formatCode="#,##0">
                  <c:v>701</c:v>
                </c:pt>
              </c:numCache>
            </c:numRef>
          </c:val>
        </c:ser>
        <c:ser>
          <c:idx val="7"/>
          <c:order val="10"/>
          <c:tx>
            <c:v>Fiat V.I.</c:v>
          </c:tx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6'!$N$5:$N$21</c:f>
              <c:numCache>
                <c:formatCode>General</c:formatCode>
                <c:ptCount val="17"/>
                <c:pt idx="6" formatCode="#,##0">
                  <c:v>753</c:v>
                </c:pt>
                <c:pt idx="7" formatCode="#,##0">
                  <c:v>242</c:v>
                </c:pt>
                <c:pt idx="8" formatCode="#,##0">
                  <c:v>211</c:v>
                </c:pt>
                <c:pt idx="9" formatCode="#,##0">
                  <c:v>404</c:v>
                </c:pt>
                <c:pt idx="10" formatCode="#,##0">
                  <c:v>916</c:v>
                </c:pt>
                <c:pt idx="11" formatCode="#,##0">
                  <c:v>806</c:v>
                </c:pt>
                <c:pt idx="12" formatCode="#,##0">
                  <c:v>1004</c:v>
                </c:pt>
                <c:pt idx="13" formatCode="#,##0">
                  <c:v>1175</c:v>
                </c:pt>
                <c:pt idx="14" formatCode="#,##0">
                  <c:v>1155</c:v>
                </c:pt>
                <c:pt idx="15" formatCode="#,##0">
                  <c:v>995</c:v>
                </c:pt>
                <c:pt idx="16" formatCode="#,##0">
                  <c:v>574</c:v>
                </c:pt>
              </c:numCache>
            </c:numRef>
          </c:val>
        </c:ser>
        <c:ser>
          <c:idx val="9"/>
          <c:order val="11"/>
          <c:tx>
            <c:v>IME</c:v>
          </c:tx>
          <c:cat>
            <c:numRef>
              <c:f>'Gráfico 6'!$A$5:$A$21</c:f>
              <c:numCache>
                <c:formatCode>General</c:formatCode>
                <c:ptCount val="17"/>
                <c:pt idx="0">
                  <c:v>1974</c:v>
                </c:pt>
                <c:pt idx="1">
                  <c:v>1975</c:v>
                </c:pt>
                <c:pt idx="2">
                  <c:v>1976</c:v>
                </c:pt>
                <c:pt idx="3">
                  <c:v>1977</c:v>
                </c:pt>
                <c:pt idx="4">
                  <c:v>1978</c:v>
                </c:pt>
                <c:pt idx="5">
                  <c:v>1979</c:v>
                </c:pt>
                <c:pt idx="6">
                  <c:v>1980</c:v>
                </c:pt>
                <c:pt idx="7">
                  <c:v>1981</c:v>
                </c:pt>
                <c:pt idx="8">
                  <c:v>1982</c:v>
                </c:pt>
                <c:pt idx="9">
                  <c:v>1983</c:v>
                </c:pt>
                <c:pt idx="10">
                  <c:v>1984</c:v>
                </c:pt>
                <c:pt idx="11">
                  <c:v>1985</c:v>
                </c:pt>
                <c:pt idx="12">
                  <c:v>1986</c:v>
                </c:pt>
                <c:pt idx="13">
                  <c:v>1987</c:v>
                </c:pt>
                <c:pt idx="14">
                  <c:v>1988</c:v>
                </c:pt>
                <c:pt idx="15">
                  <c:v>1989</c:v>
                </c:pt>
                <c:pt idx="16">
                  <c:v>1990</c:v>
                </c:pt>
              </c:numCache>
            </c:numRef>
          </c:cat>
          <c:val>
            <c:numRef>
              <c:f>'Gráfico 6'!$K$5:$K$21</c:f>
              <c:numCache>
                <c:formatCode>#,##0</c:formatCode>
                <c:ptCount val="17"/>
                <c:pt idx="0">
                  <c:v>10505</c:v>
                </c:pt>
                <c:pt idx="1">
                  <c:v>12500</c:v>
                </c:pt>
                <c:pt idx="2">
                  <c:v>7155</c:v>
                </c:pt>
                <c:pt idx="3">
                  <c:v>9036</c:v>
                </c:pt>
                <c:pt idx="4">
                  <c:v>8212</c:v>
                </c:pt>
                <c:pt idx="6">
                  <c:v>2041</c:v>
                </c:pt>
              </c:numCache>
            </c:numRef>
          </c:val>
        </c:ser>
        <c:gapWidth val="75"/>
        <c:overlap val="100"/>
        <c:axId val="189536512"/>
        <c:axId val="191356928"/>
      </c:barChart>
      <c:catAx>
        <c:axId val="1895365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 lang="es-AR"/>
            </a:pPr>
            <a:endParaRPr lang="es-AR"/>
          </a:p>
        </c:txPr>
        <c:crossAx val="191356928"/>
        <c:crosses val="autoZero"/>
        <c:auto val="1"/>
        <c:lblAlgn val="ctr"/>
        <c:lblOffset val="100"/>
      </c:catAx>
      <c:valAx>
        <c:axId val="191356928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s-AR"/>
            </a:pPr>
            <a:endParaRPr lang="es-AR"/>
          </a:p>
        </c:txPr>
        <c:crossAx val="1895365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388095238095238E-2"/>
          <c:y val="0.8485897059245826"/>
          <c:w val="0.89999991271678692"/>
          <c:h val="6.9064170276433481E-2"/>
        </c:manualLayout>
      </c:layout>
      <c:txPr>
        <a:bodyPr/>
        <a:lstStyle/>
        <a:p>
          <a:pPr>
            <a:defRPr lang="es-AR"/>
          </a:pPr>
          <a:endParaRPr lang="es-AR"/>
        </a:p>
      </c:txPr>
    </c:legend>
    <c:plotVisOnly val="1"/>
    <c:dispBlanksAs val="gap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AR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Damián</dc:creator>
  <cp:lastModifiedBy>Damián</cp:lastModifiedBy>
  <cp:revision>10</cp:revision>
  <dcterms:created xsi:type="dcterms:W3CDTF">2017-01-30T05:06:00Z</dcterms:created>
  <dcterms:modified xsi:type="dcterms:W3CDTF">2017-01-31T17:04:00Z</dcterms:modified>
</cp:coreProperties>
</file>