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0263" w14:textId="7590125B" w:rsidR="000920CF" w:rsidRPr="000920CF" w:rsidRDefault="005C230C" w:rsidP="00D029A0">
      <w:pPr>
        <w:spacing w:before="120" w:after="120" w:line="240" w:lineRule="auto"/>
        <w:contextualSpacing/>
        <w:jc w:val="center"/>
        <w:rPr>
          <w:rFonts w:ascii="Times New Roman" w:hAnsi="Times New Roman" w:cs="Times New Roman"/>
          <w:color w:val="000000"/>
          <w:sz w:val="24"/>
          <w:szCs w:val="24"/>
          <w:shd w:val="clear" w:color="auto" w:fill="FFFFFF"/>
        </w:rPr>
      </w:pPr>
      <w:r w:rsidRPr="006D7A8C">
        <w:rPr>
          <w:rFonts w:ascii="Times New Roman" w:hAnsi="Times New Roman" w:cs="Times New Roman"/>
          <w:b/>
          <w:sz w:val="24"/>
          <w:szCs w:val="24"/>
          <w:shd w:val="clear" w:color="auto" w:fill="FFFFFF"/>
        </w:rPr>
        <w:t xml:space="preserve">Indústria Extrativa </w:t>
      </w:r>
      <w:r w:rsidR="00B42EE0">
        <w:rPr>
          <w:rFonts w:ascii="Times New Roman" w:hAnsi="Times New Roman" w:cs="Times New Roman"/>
          <w:b/>
          <w:sz w:val="24"/>
          <w:szCs w:val="24"/>
          <w:shd w:val="clear" w:color="auto" w:fill="FFFFFF"/>
        </w:rPr>
        <w:t>M</w:t>
      </w:r>
      <w:r w:rsidRPr="006D7A8C">
        <w:rPr>
          <w:rFonts w:ascii="Times New Roman" w:hAnsi="Times New Roman" w:cs="Times New Roman"/>
          <w:b/>
          <w:sz w:val="24"/>
          <w:szCs w:val="24"/>
          <w:shd w:val="clear" w:color="auto" w:fill="FFFFFF"/>
        </w:rPr>
        <w:t xml:space="preserve">ineral no Brasil: Uma </w:t>
      </w:r>
      <w:r w:rsidR="00B42EE0">
        <w:rPr>
          <w:rFonts w:ascii="Times New Roman" w:hAnsi="Times New Roman" w:cs="Times New Roman"/>
          <w:b/>
          <w:sz w:val="24"/>
          <w:szCs w:val="24"/>
          <w:shd w:val="clear" w:color="auto" w:fill="FFFFFF"/>
        </w:rPr>
        <w:t>A</w:t>
      </w:r>
      <w:r w:rsidRPr="006D7A8C">
        <w:rPr>
          <w:rFonts w:ascii="Times New Roman" w:hAnsi="Times New Roman" w:cs="Times New Roman"/>
          <w:b/>
          <w:sz w:val="24"/>
          <w:szCs w:val="24"/>
          <w:shd w:val="clear" w:color="auto" w:fill="FFFFFF"/>
        </w:rPr>
        <w:t xml:space="preserve">nálise a </w:t>
      </w:r>
      <w:r w:rsidR="00B42EE0">
        <w:rPr>
          <w:rFonts w:ascii="Times New Roman" w:hAnsi="Times New Roman" w:cs="Times New Roman"/>
          <w:b/>
          <w:sz w:val="24"/>
          <w:szCs w:val="24"/>
          <w:shd w:val="clear" w:color="auto" w:fill="FFFFFF"/>
        </w:rPr>
        <w:t>P</w:t>
      </w:r>
      <w:r w:rsidR="006D7A8C" w:rsidRPr="006D7A8C">
        <w:rPr>
          <w:rFonts w:ascii="Times New Roman" w:hAnsi="Times New Roman" w:cs="Times New Roman"/>
          <w:b/>
          <w:sz w:val="24"/>
          <w:szCs w:val="24"/>
          <w:shd w:val="clear" w:color="auto" w:fill="FFFFFF"/>
        </w:rPr>
        <w:t>artir do</w:t>
      </w:r>
      <w:r w:rsidRPr="006D7A8C">
        <w:rPr>
          <w:rFonts w:ascii="Times New Roman" w:hAnsi="Times New Roman" w:cs="Times New Roman"/>
          <w:b/>
          <w:sz w:val="24"/>
          <w:szCs w:val="24"/>
          <w:shd w:val="clear" w:color="auto" w:fill="FFFFFF"/>
        </w:rPr>
        <w:t xml:space="preserve"> </w:t>
      </w:r>
      <w:r w:rsidR="00B029EC">
        <w:rPr>
          <w:rFonts w:ascii="Times New Roman" w:hAnsi="Times New Roman" w:cs="Times New Roman"/>
          <w:b/>
          <w:sz w:val="24"/>
          <w:szCs w:val="24"/>
          <w:shd w:val="clear" w:color="auto" w:fill="FFFFFF"/>
        </w:rPr>
        <w:t>Paradigma</w:t>
      </w:r>
      <w:r w:rsidRPr="006D7A8C">
        <w:rPr>
          <w:rFonts w:ascii="Times New Roman" w:hAnsi="Times New Roman" w:cs="Times New Roman"/>
          <w:b/>
          <w:sz w:val="24"/>
          <w:szCs w:val="24"/>
          <w:shd w:val="clear" w:color="auto" w:fill="FFFFFF"/>
        </w:rPr>
        <w:t xml:space="preserve"> Estrutura-Conduta-Desempenho (ECD)</w:t>
      </w:r>
      <w:bookmarkStart w:id="0" w:name="_GoBack"/>
      <w:bookmarkEnd w:id="0"/>
    </w:p>
    <w:p w14:paraId="143B0E44" w14:textId="061E2EFB" w:rsidR="000920CF" w:rsidRDefault="000920CF" w:rsidP="000168DC">
      <w:pPr>
        <w:spacing w:before="120" w:after="120" w:line="240" w:lineRule="auto"/>
        <w:contextualSpacing/>
        <w:rPr>
          <w:rFonts w:ascii="Times New Roman" w:hAnsi="Times New Roman" w:cs="Times New Roman"/>
          <w:b/>
          <w:color w:val="000000"/>
          <w:sz w:val="24"/>
          <w:szCs w:val="24"/>
          <w:u w:val="single"/>
          <w:shd w:val="clear" w:color="auto" w:fill="FFFFFF"/>
        </w:rPr>
      </w:pPr>
    </w:p>
    <w:p w14:paraId="389F020C" w14:textId="77777777" w:rsidR="000920CF" w:rsidRPr="006D7A8C" w:rsidRDefault="000920CF" w:rsidP="000168DC">
      <w:pPr>
        <w:spacing w:before="120" w:after="120" w:line="240" w:lineRule="auto"/>
        <w:contextualSpacing/>
        <w:rPr>
          <w:rFonts w:ascii="Times New Roman" w:hAnsi="Times New Roman" w:cs="Times New Roman"/>
          <w:b/>
          <w:color w:val="000000"/>
          <w:sz w:val="24"/>
          <w:szCs w:val="24"/>
          <w:shd w:val="clear" w:color="auto" w:fill="FFFFFF"/>
        </w:rPr>
      </w:pPr>
    </w:p>
    <w:p w14:paraId="705FD4F4" w14:textId="3F344F78" w:rsidR="006D7A8C" w:rsidRPr="006D7A8C" w:rsidRDefault="006D7A8C" w:rsidP="0064723A">
      <w:pPr>
        <w:spacing w:before="120" w:after="120" w:line="240" w:lineRule="auto"/>
        <w:jc w:val="both"/>
        <w:rPr>
          <w:rFonts w:ascii="Times New Roman" w:eastAsiaTheme="minorHAnsi" w:hAnsi="Times New Roman" w:cs="Times New Roman"/>
          <w:b/>
          <w:sz w:val="24"/>
          <w:szCs w:val="24"/>
          <w:lang w:eastAsia="en-US"/>
        </w:rPr>
      </w:pPr>
      <w:r w:rsidRPr="006D7A8C">
        <w:rPr>
          <w:rFonts w:ascii="Times New Roman" w:eastAsiaTheme="minorHAnsi" w:hAnsi="Times New Roman" w:cs="Times New Roman"/>
          <w:b/>
          <w:sz w:val="24"/>
          <w:szCs w:val="24"/>
          <w:lang w:eastAsia="en-US"/>
        </w:rPr>
        <w:t>Resumo</w:t>
      </w:r>
    </w:p>
    <w:p w14:paraId="1A1FA47B" w14:textId="7A272AAE" w:rsidR="009017D8" w:rsidRPr="006D7A8C" w:rsidRDefault="005C230C"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A Indústria extrativa mineral é hoje uma das principais atividades econômicas brasileiras, sobretudo pela sua importância para a balança comercial. Como será analisado, o setor tem uma diversificação de sua atividade com relação às substâncias extraídas, no entanto o minério de ferro é o produto que concentra mais de 60% da produção setor, bem como 91% das exportações de minério, o que </w:t>
      </w:r>
      <w:r w:rsidR="0064723A">
        <w:rPr>
          <w:rFonts w:ascii="Times New Roman" w:eastAsiaTheme="minorHAnsi" w:hAnsi="Times New Roman" w:cs="Times New Roman"/>
          <w:sz w:val="24"/>
          <w:szCs w:val="24"/>
          <w:lang w:eastAsia="en-US"/>
        </w:rPr>
        <w:t xml:space="preserve">torna </w:t>
      </w:r>
      <w:r w:rsidRPr="006D7A8C">
        <w:rPr>
          <w:rFonts w:ascii="Times New Roman" w:eastAsiaTheme="minorHAnsi" w:hAnsi="Times New Roman" w:cs="Times New Roman"/>
          <w:sz w:val="24"/>
          <w:szCs w:val="24"/>
          <w:lang w:eastAsia="en-US"/>
        </w:rPr>
        <w:t>o</w:t>
      </w:r>
      <w:r w:rsidR="0064723A">
        <w:rPr>
          <w:rFonts w:ascii="Times New Roman" w:eastAsiaTheme="minorHAnsi" w:hAnsi="Times New Roman" w:cs="Times New Roman"/>
          <w:sz w:val="24"/>
          <w:szCs w:val="24"/>
          <w:lang w:eastAsia="en-US"/>
        </w:rPr>
        <w:t xml:space="preserve"> País o</w:t>
      </w:r>
      <w:r w:rsidRPr="006D7A8C">
        <w:rPr>
          <w:rFonts w:ascii="Times New Roman" w:eastAsiaTheme="minorHAnsi" w:hAnsi="Times New Roman" w:cs="Times New Roman"/>
          <w:sz w:val="24"/>
          <w:szCs w:val="24"/>
          <w:lang w:eastAsia="en-US"/>
        </w:rPr>
        <w:t xml:space="preserve"> segundo maior de produtor mundial do minério. Neste sentido, o objetivo do presente artigo é analisar o setor à luz do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ECD. </w:t>
      </w:r>
      <w:r w:rsidR="009017D8" w:rsidRPr="006D7A8C">
        <w:rPr>
          <w:rFonts w:ascii="Times New Roman" w:eastAsiaTheme="minorHAnsi" w:hAnsi="Times New Roman" w:cs="Times New Roman"/>
          <w:sz w:val="24"/>
          <w:szCs w:val="24"/>
          <w:lang w:eastAsia="en-US"/>
        </w:rPr>
        <w:t xml:space="preserve">O setor se mostra, em termos de estrutura, concentrado e com elevadas barreiras à entrada de novos concorrentes. Quanto às condutas, identificou-se uma forte influência das empresas na oferta global dos minérios, que afetam o preço no mercado internacional. Em termos de desempenho, o estudo aponta para uma elevada competitividade de boa parte das substâncias extraídas em território nacional. Ademais, cabe destacar </w:t>
      </w:r>
      <w:r w:rsidR="0064723A">
        <w:rPr>
          <w:rFonts w:ascii="Times New Roman" w:eastAsiaTheme="minorHAnsi" w:hAnsi="Times New Roman" w:cs="Times New Roman"/>
          <w:sz w:val="24"/>
          <w:szCs w:val="24"/>
          <w:lang w:eastAsia="en-US"/>
        </w:rPr>
        <w:t xml:space="preserve">uma </w:t>
      </w:r>
      <w:r w:rsidR="009017D8" w:rsidRPr="006D7A8C">
        <w:rPr>
          <w:rFonts w:ascii="Times New Roman" w:eastAsiaTheme="minorHAnsi" w:hAnsi="Times New Roman" w:cs="Times New Roman"/>
          <w:sz w:val="24"/>
          <w:szCs w:val="24"/>
          <w:lang w:eastAsia="en-US"/>
        </w:rPr>
        <w:t xml:space="preserve">forte atuação das políticas regulatórias sobre o setor, que influenciam todos os elementos do </w:t>
      </w:r>
      <w:r w:rsidR="00B029EC">
        <w:rPr>
          <w:rFonts w:ascii="Times New Roman" w:eastAsiaTheme="minorHAnsi" w:hAnsi="Times New Roman" w:cs="Times New Roman"/>
          <w:sz w:val="24"/>
          <w:szCs w:val="24"/>
          <w:lang w:eastAsia="en-US"/>
        </w:rPr>
        <w:t>paradigma</w:t>
      </w:r>
      <w:r w:rsidR="009017D8" w:rsidRPr="006D7A8C">
        <w:rPr>
          <w:rFonts w:ascii="Times New Roman" w:eastAsiaTheme="minorHAnsi" w:hAnsi="Times New Roman" w:cs="Times New Roman"/>
          <w:sz w:val="24"/>
          <w:szCs w:val="24"/>
          <w:lang w:eastAsia="en-US"/>
        </w:rPr>
        <w:t xml:space="preserve"> ECD.</w:t>
      </w:r>
    </w:p>
    <w:p w14:paraId="3118CEE8" w14:textId="29C752A6" w:rsidR="005C230C" w:rsidRDefault="006D7A8C" w:rsidP="0064723A">
      <w:pPr>
        <w:spacing w:before="120" w:after="120" w:line="240" w:lineRule="auto"/>
        <w:jc w:val="both"/>
        <w:rPr>
          <w:rFonts w:ascii="Times New Roman" w:hAnsi="Times New Roman" w:cs="Times New Roman"/>
          <w:sz w:val="24"/>
          <w:szCs w:val="24"/>
        </w:rPr>
      </w:pPr>
      <w:r w:rsidRPr="006D7A8C">
        <w:rPr>
          <w:rFonts w:ascii="Times New Roman" w:hAnsi="Times New Roman" w:cs="Times New Roman"/>
          <w:b/>
          <w:sz w:val="24"/>
          <w:szCs w:val="24"/>
        </w:rPr>
        <w:t>Palavras Chave:</w:t>
      </w:r>
      <w:r w:rsidR="00B029EC">
        <w:rPr>
          <w:rFonts w:ascii="Times New Roman" w:hAnsi="Times New Roman" w:cs="Times New Roman"/>
          <w:b/>
          <w:sz w:val="24"/>
          <w:szCs w:val="24"/>
        </w:rPr>
        <w:t xml:space="preserve"> </w:t>
      </w:r>
      <w:r w:rsidR="00B029EC" w:rsidRPr="00B029EC">
        <w:rPr>
          <w:rFonts w:ascii="Times New Roman" w:hAnsi="Times New Roman" w:cs="Times New Roman"/>
          <w:sz w:val="24"/>
          <w:szCs w:val="24"/>
        </w:rPr>
        <w:t>Paradigma</w:t>
      </w:r>
      <w:r>
        <w:rPr>
          <w:rFonts w:ascii="Times New Roman" w:hAnsi="Times New Roman" w:cs="Times New Roman"/>
          <w:sz w:val="24"/>
          <w:szCs w:val="24"/>
        </w:rPr>
        <w:t xml:space="preserve"> Estrutura-Cond</w:t>
      </w:r>
      <w:r w:rsidR="0024433C">
        <w:rPr>
          <w:rFonts w:ascii="Times New Roman" w:hAnsi="Times New Roman" w:cs="Times New Roman"/>
          <w:sz w:val="24"/>
          <w:szCs w:val="24"/>
        </w:rPr>
        <w:t>u</w:t>
      </w:r>
      <w:r>
        <w:rPr>
          <w:rFonts w:ascii="Times New Roman" w:hAnsi="Times New Roman" w:cs="Times New Roman"/>
          <w:sz w:val="24"/>
          <w:szCs w:val="24"/>
        </w:rPr>
        <w:t>ta-Desempenho, Indústria Extrativa Mineral, Competitividade</w:t>
      </w:r>
      <w:r w:rsidR="0064723A">
        <w:rPr>
          <w:rFonts w:ascii="Times New Roman" w:hAnsi="Times New Roman" w:cs="Times New Roman"/>
          <w:sz w:val="24"/>
          <w:szCs w:val="24"/>
        </w:rPr>
        <w:t>.</w:t>
      </w:r>
    </w:p>
    <w:p w14:paraId="395EACC9" w14:textId="77777777" w:rsidR="00B029EC" w:rsidRDefault="00B029EC" w:rsidP="0064723A">
      <w:pPr>
        <w:spacing w:before="120" w:after="120" w:line="240" w:lineRule="auto"/>
        <w:jc w:val="both"/>
        <w:rPr>
          <w:rFonts w:ascii="Times New Roman" w:hAnsi="Times New Roman" w:cs="Times New Roman"/>
          <w:b/>
          <w:sz w:val="24"/>
          <w:szCs w:val="24"/>
        </w:rPr>
      </w:pPr>
    </w:p>
    <w:p w14:paraId="54D97E8B" w14:textId="749F8C36" w:rsidR="006D7A8C" w:rsidRDefault="006D7A8C" w:rsidP="0064723A">
      <w:pPr>
        <w:spacing w:before="120" w:after="120" w:line="240" w:lineRule="auto"/>
        <w:jc w:val="both"/>
        <w:rPr>
          <w:rFonts w:ascii="Times New Roman" w:hAnsi="Times New Roman" w:cs="Times New Roman"/>
          <w:b/>
          <w:sz w:val="24"/>
          <w:szCs w:val="24"/>
        </w:rPr>
      </w:pPr>
      <w:r w:rsidRPr="006D7A8C">
        <w:rPr>
          <w:rFonts w:ascii="Times New Roman" w:hAnsi="Times New Roman" w:cs="Times New Roman"/>
          <w:b/>
          <w:sz w:val="24"/>
          <w:szCs w:val="24"/>
        </w:rPr>
        <w:t>Abstract</w:t>
      </w:r>
    </w:p>
    <w:p w14:paraId="27D2EA88" w14:textId="4A034994" w:rsidR="006D7A8C" w:rsidRPr="0024433C" w:rsidRDefault="0064723A" w:rsidP="0064723A">
      <w:pPr>
        <w:spacing w:before="120" w:after="120" w:line="240" w:lineRule="auto"/>
        <w:jc w:val="both"/>
        <w:rPr>
          <w:rFonts w:ascii="Times New Roman" w:hAnsi="Times New Roman" w:cs="Times New Roman"/>
          <w:sz w:val="24"/>
          <w:szCs w:val="24"/>
        </w:rPr>
      </w:pPr>
      <w:r w:rsidRPr="0024433C">
        <w:rPr>
          <w:rFonts w:ascii="Times New Roman" w:hAnsi="Times New Roman" w:cs="Times New Roman"/>
          <w:sz w:val="24"/>
          <w:szCs w:val="24"/>
        </w:rPr>
        <w:t xml:space="preserve">Mineral </w:t>
      </w:r>
      <w:proofErr w:type="spellStart"/>
      <w:r w:rsidRPr="0024433C">
        <w:rPr>
          <w:rFonts w:ascii="Times New Roman" w:hAnsi="Times New Roman" w:cs="Times New Roman"/>
          <w:sz w:val="24"/>
          <w:szCs w:val="24"/>
        </w:rPr>
        <w:t>extractive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industry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today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one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main</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economic</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activities</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Brazil</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mainly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because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its </w:t>
      </w:r>
      <w:proofErr w:type="spellStart"/>
      <w:r w:rsidRPr="0024433C">
        <w:rPr>
          <w:rFonts w:ascii="Times New Roman" w:hAnsi="Times New Roman" w:cs="Times New Roman"/>
          <w:sz w:val="24"/>
          <w:szCs w:val="24"/>
        </w:rPr>
        <w:t>importance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trade balance. As </w:t>
      </w:r>
      <w:proofErr w:type="spellStart"/>
      <w:r w:rsidRPr="0024433C">
        <w:rPr>
          <w:rFonts w:ascii="Times New Roman" w:hAnsi="Times New Roman" w:cs="Times New Roman"/>
          <w:sz w:val="24"/>
          <w:szCs w:val="24"/>
        </w:rPr>
        <w:t>will</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be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analyzed</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sector </w:t>
      </w:r>
      <w:proofErr w:type="spellStart"/>
      <w:r w:rsidRPr="0024433C">
        <w:rPr>
          <w:rFonts w:ascii="Times New Roman" w:hAnsi="Times New Roman" w:cs="Times New Roman"/>
          <w:sz w:val="24"/>
          <w:szCs w:val="24"/>
        </w:rPr>
        <w:t>has</w:t>
      </w:r>
      <w:proofErr w:type="spellEnd"/>
      <w:r w:rsidRPr="0024433C">
        <w:rPr>
          <w:rFonts w:ascii="Times New Roman" w:hAnsi="Times New Roman" w:cs="Times New Roman"/>
          <w:sz w:val="24"/>
          <w:szCs w:val="24"/>
        </w:rPr>
        <w:t xml:space="preserve"> a </w:t>
      </w:r>
      <w:proofErr w:type="spellStart"/>
      <w:r w:rsidRPr="0024433C">
        <w:rPr>
          <w:rFonts w:ascii="Times New Roman" w:hAnsi="Times New Roman" w:cs="Times New Roman"/>
          <w:sz w:val="24"/>
          <w:szCs w:val="24"/>
        </w:rPr>
        <w:t>diversification</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its </w:t>
      </w:r>
      <w:proofErr w:type="spellStart"/>
      <w:r w:rsidRPr="0024433C">
        <w:rPr>
          <w:rFonts w:ascii="Times New Roman" w:hAnsi="Times New Roman" w:cs="Times New Roman"/>
          <w:sz w:val="24"/>
          <w:szCs w:val="24"/>
        </w:rPr>
        <w:t>activity</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relation</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substances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extracted</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however</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iron</w:t>
      </w:r>
      <w:proofErr w:type="spellEnd"/>
      <w:r w:rsidRPr="0024433C">
        <w:rPr>
          <w:rFonts w:ascii="Times New Roman" w:hAnsi="Times New Roman" w:cs="Times New Roman"/>
          <w:sz w:val="24"/>
          <w:szCs w:val="24"/>
        </w:rPr>
        <w:t xml:space="preserve"> ore </w:t>
      </w:r>
      <w:proofErr w:type="spellStart"/>
      <w:r w:rsidRPr="0024433C">
        <w:rPr>
          <w:rFonts w:ascii="Times New Roman" w:hAnsi="Times New Roman" w:cs="Times New Roman"/>
          <w:sz w:val="24"/>
          <w:szCs w:val="24"/>
        </w:rPr>
        <w:t>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product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that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concentrates</w:t>
      </w:r>
      <w:proofErr w:type="spellEnd"/>
      <w:r w:rsidRPr="0024433C">
        <w:rPr>
          <w:rFonts w:ascii="Times New Roman" w:hAnsi="Times New Roman" w:cs="Times New Roman"/>
          <w:sz w:val="24"/>
          <w:szCs w:val="24"/>
        </w:rPr>
        <w:t xml:space="preserve"> more </w:t>
      </w:r>
      <w:proofErr w:type="spellStart"/>
      <w:r w:rsidRPr="0024433C">
        <w:rPr>
          <w:rFonts w:ascii="Times New Roman" w:hAnsi="Times New Roman" w:cs="Times New Roman"/>
          <w:sz w:val="24"/>
          <w:szCs w:val="24"/>
        </w:rPr>
        <w:t>than</w:t>
      </w:r>
      <w:proofErr w:type="spellEnd"/>
      <w:r w:rsidRPr="0024433C">
        <w:rPr>
          <w:rFonts w:ascii="Times New Roman" w:hAnsi="Times New Roman" w:cs="Times New Roman"/>
          <w:sz w:val="24"/>
          <w:szCs w:val="24"/>
        </w:rPr>
        <w:t xml:space="preserve"> 60%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sector </w:t>
      </w:r>
      <w:proofErr w:type="spellStart"/>
      <w:r w:rsidRPr="0024433C">
        <w:rPr>
          <w:rFonts w:ascii="Times New Roman" w:hAnsi="Times New Roman" w:cs="Times New Roman"/>
          <w:sz w:val="24"/>
          <w:szCs w:val="24"/>
        </w:rPr>
        <w:t>production</w:t>
      </w:r>
      <w:proofErr w:type="spellEnd"/>
      <w:r w:rsidRPr="0024433C">
        <w:rPr>
          <w:rFonts w:ascii="Times New Roman" w:hAnsi="Times New Roman" w:cs="Times New Roman"/>
          <w:sz w:val="24"/>
          <w:szCs w:val="24"/>
        </w:rPr>
        <w:t xml:space="preserve">, as </w:t>
      </w:r>
      <w:proofErr w:type="spellStart"/>
      <w:r w:rsidRPr="0024433C">
        <w:rPr>
          <w:rFonts w:ascii="Times New Roman" w:hAnsi="Times New Roman" w:cs="Times New Roman"/>
          <w:sz w:val="24"/>
          <w:szCs w:val="24"/>
        </w:rPr>
        <w:t>well</w:t>
      </w:r>
      <w:proofErr w:type="spellEnd"/>
      <w:r w:rsidRPr="0024433C">
        <w:rPr>
          <w:rFonts w:ascii="Times New Roman" w:hAnsi="Times New Roman" w:cs="Times New Roman"/>
          <w:sz w:val="24"/>
          <w:szCs w:val="24"/>
        </w:rPr>
        <w:t xml:space="preserve"> as 91%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ore </w:t>
      </w:r>
      <w:proofErr w:type="spellStart"/>
      <w:r w:rsidRPr="0024433C">
        <w:rPr>
          <w:rFonts w:ascii="Times New Roman" w:hAnsi="Times New Roman" w:cs="Times New Roman"/>
          <w:sz w:val="24"/>
          <w:szCs w:val="24"/>
        </w:rPr>
        <w:t>exports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which</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makes</w:t>
      </w:r>
      <w:proofErr w:type="spellEnd"/>
      <w:r w:rsidRPr="0024433C">
        <w:rPr>
          <w:rFonts w:ascii="Times New Roman" w:hAnsi="Times New Roman" w:cs="Times New Roman"/>
          <w:sz w:val="24"/>
          <w:szCs w:val="24"/>
        </w:rPr>
        <w:t xml:space="preserve"> </w:t>
      </w:r>
      <w:proofErr w:type="spellStart"/>
      <w:r w:rsidR="0024433C" w:rsidRPr="0024433C">
        <w:rPr>
          <w:rFonts w:ascii="Times New Roman" w:hAnsi="Times New Roman" w:cs="Times New Roman"/>
          <w:sz w:val="24"/>
          <w:szCs w:val="24"/>
        </w:rPr>
        <w:t>the</w:t>
      </w:r>
      <w:proofErr w:type="spellEnd"/>
      <w:r w:rsidR="0024433C" w:rsidRPr="0024433C">
        <w:rPr>
          <w:rFonts w:ascii="Times New Roman" w:hAnsi="Times New Roman" w:cs="Times New Roman"/>
          <w:sz w:val="24"/>
          <w:szCs w:val="24"/>
        </w:rPr>
        <w:t xml:space="preserve"> country</w:t>
      </w:r>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world's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second</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largest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producer</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ore. In </w:t>
      </w:r>
      <w:proofErr w:type="spellStart"/>
      <w:r w:rsidRPr="0024433C">
        <w:rPr>
          <w:rFonts w:ascii="Times New Roman" w:hAnsi="Times New Roman" w:cs="Times New Roman"/>
          <w:sz w:val="24"/>
          <w:szCs w:val="24"/>
        </w:rPr>
        <w:t>this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sense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objective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article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analyze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sector in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light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SCP </w:t>
      </w:r>
      <w:proofErr w:type="spellStart"/>
      <w:r w:rsidRPr="0024433C">
        <w:rPr>
          <w:rFonts w:ascii="Times New Roman" w:hAnsi="Times New Roman" w:cs="Times New Roman"/>
          <w:sz w:val="24"/>
          <w:szCs w:val="24"/>
        </w:rPr>
        <w:t>paradigm</w:t>
      </w:r>
      <w:proofErr w:type="spellEnd"/>
      <w:r w:rsidRPr="0024433C">
        <w:rPr>
          <w:rFonts w:ascii="Times New Roman" w:hAnsi="Times New Roman" w:cs="Times New Roman"/>
          <w:sz w:val="24"/>
          <w:szCs w:val="24"/>
        </w:rPr>
        <w:t xml:space="preserve">. The sector </w:t>
      </w:r>
      <w:proofErr w:type="spellStart"/>
      <w:r w:rsidRPr="0024433C">
        <w:rPr>
          <w:rFonts w:ascii="Times New Roman" w:hAnsi="Times New Roman" w:cs="Times New Roman"/>
          <w:sz w:val="24"/>
          <w:szCs w:val="24"/>
        </w:rPr>
        <w:t>is</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terms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structure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concentrated</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and</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with</w:t>
      </w:r>
      <w:proofErr w:type="spellEnd"/>
      <w:r w:rsidRPr="0024433C">
        <w:rPr>
          <w:rFonts w:ascii="Times New Roman" w:hAnsi="Times New Roman" w:cs="Times New Roman"/>
          <w:sz w:val="24"/>
          <w:szCs w:val="24"/>
        </w:rPr>
        <w:t xml:space="preserve"> high </w:t>
      </w:r>
      <w:proofErr w:type="spellStart"/>
      <w:r w:rsidRPr="0024433C">
        <w:rPr>
          <w:rFonts w:ascii="Times New Roman" w:hAnsi="Times New Roman" w:cs="Times New Roman"/>
          <w:sz w:val="24"/>
          <w:szCs w:val="24"/>
        </w:rPr>
        <w:t>barriers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entry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new </w:t>
      </w:r>
      <w:proofErr w:type="spellStart"/>
      <w:r w:rsidRPr="0024433C">
        <w:rPr>
          <w:rFonts w:ascii="Times New Roman" w:hAnsi="Times New Roman" w:cs="Times New Roman"/>
          <w:sz w:val="24"/>
          <w:szCs w:val="24"/>
        </w:rPr>
        <w:t>competitors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Concerning</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pipelines, a </w:t>
      </w:r>
      <w:proofErr w:type="spellStart"/>
      <w:r w:rsidRPr="0024433C">
        <w:rPr>
          <w:rFonts w:ascii="Times New Roman" w:hAnsi="Times New Roman" w:cs="Times New Roman"/>
          <w:sz w:val="24"/>
          <w:szCs w:val="24"/>
        </w:rPr>
        <w:t>strong</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influence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companies</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global </w:t>
      </w:r>
      <w:proofErr w:type="spellStart"/>
      <w:r w:rsidRPr="0024433C">
        <w:rPr>
          <w:rFonts w:ascii="Times New Roman" w:hAnsi="Times New Roman" w:cs="Times New Roman"/>
          <w:sz w:val="24"/>
          <w:szCs w:val="24"/>
        </w:rPr>
        <w:t>supply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ores, </w:t>
      </w:r>
      <w:proofErr w:type="spellStart"/>
      <w:r w:rsidRPr="0024433C">
        <w:rPr>
          <w:rFonts w:ascii="Times New Roman" w:hAnsi="Times New Roman" w:cs="Times New Roman"/>
          <w:sz w:val="24"/>
          <w:szCs w:val="24"/>
        </w:rPr>
        <w:t>that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affect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price</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international</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market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was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identified</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terms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performance,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study</w:t>
      </w:r>
      <w:proofErr w:type="spellEnd"/>
      <w:r w:rsidRPr="0024433C">
        <w:rPr>
          <w:rFonts w:ascii="Times New Roman" w:hAnsi="Times New Roman" w:cs="Times New Roman"/>
          <w:sz w:val="24"/>
          <w:szCs w:val="24"/>
        </w:rPr>
        <w:t xml:space="preserve"> points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a high </w:t>
      </w:r>
      <w:proofErr w:type="spellStart"/>
      <w:r w:rsidRPr="0024433C">
        <w:rPr>
          <w:rFonts w:ascii="Times New Roman" w:hAnsi="Times New Roman" w:cs="Times New Roman"/>
          <w:sz w:val="24"/>
          <w:szCs w:val="24"/>
        </w:rPr>
        <w:t>competitiveness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many</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substances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extracted</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national</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territory</w:t>
      </w:r>
      <w:proofErr w:type="spellEnd"/>
      <w:r w:rsidRPr="0024433C">
        <w:rPr>
          <w:rFonts w:ascii="Times New Roman" w:hAnsi="Times New Roman" w:cs="Times New Roman"/>
          <w:sz w:val="24"/>
          <w:szCs w:val="24"/>
        </w:rPr>
        <w:t xml:space="preserve">. In </w:t>
      </w:r>
      <w:proofErr w:type="spellStart"/>
      <w:r w:rsidRPr="0024433C">
        <w:rPr>
          <w:rFonts w:ascii="Times New Roman" w:hAnsi="Times New Roman" w:cs="Times New Roman"/>
          <w:sz w:val="24"/>
          <w:szCs w:val="24"/>
        </w:rPr>
        <w:t>addition</w:t>
      </w:r>
      <w:proofErr w:type="spellEnd"/>
      <w:r w:rsidRPr="0024433C">
        <w:rPr>
          <w:rFonts w:ascii="Times New Roman" w:hAnsi="Times New Roman" w:cs="Times New Roman"/>
          <w:sz w:val="24"/>
          <w:szCs w:val="24"/>
        </w:rPr>
        <w:t xml:space="preserve">, it </w:t>
      </w:r>
      <w:proofErr w:type="spellStart"/>
      <w:r w:rsidRPr="0024433C">
        <w:rPr>
          <w:rFonts w:ascii="Times New Roman" w:hAnsi="Times New Roman" w:cs="Times New Roman"/>
          <w:sz w:val="24"/>
          <w:szCs w:val="24"/>
        </w:rPr>
        <w:t>is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important</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to</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highlight</w:t>
      </w:r>
      <w:proofErr w:type="spellEnd"/>
      <w:r w:rsidRPr="0024433C">
        <w:rPr>
          <w:rFonts w:ascii="Times New Roman" w:hAnsi="Times New Roman" w:cs="Times New Roman"/>
          <w:sz w:val="24"/>
          <w:szCs w:val="24"/>
        </w:rPr>
        <w:t xml:space="preserve"> a </w:t>
      </w:r>
      <w:proofErr w:type="spellStart"/>
      <w:r w:rsidRPr="0024433C">
        <w:rPr>
          <w:rFonts w:ascii="Times New Roman" w:hAnsi="Times New Roman" w:cs="Times New Roman"/>
          <w:sz w:val="24"/>
          <w:szCs w:val="24"/>
        </w:rPr>
        <w:t>strong</w:t>
      </w:r>
      <w:proofErr w:type="spellEnd"/>
      <w:r w:rsidRPr="0024433C">
        <w:rPr>
          <w:rFonts w:ascii="Times New Roman" w:hAnsi="Times New Roman" w:cs="Times New Roman"/>
          <w:sz w:val="24"/>
          <w:szCs w:val="24"/>
        </w:rPr>
        <w:t xml:space="preserve"> performance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regulatory</w:t>
      </w:r>
      <w:proofErr w:type="spellEnd"/>
      <w:r w:rsidRPr="0024433C">
        <w:rPr>
          <w:rFonts w:ascii="Times New Roman" w:hAnsi="Times New Roman" w:cs="Times New Roman"/>
          <w:sz w:val="24"/>
          <w:szCs w:val="24"/>
        </w:rPr>
        <w:t xml:space="preserve"> policies </w:t>
      </w:r>
      <w:proofErr w:type="spellStart"/>
      <w:r w:rsidRPr="0024433C">
        <w:rPr>
          <w:rFonts w:ascii="Times New Roman" w:hAnsi="Times New Roman" w:cs="Times New Roman"/>
          <w:sz w:val="24"/>
          <w:szCs w:val="24"/>
        </w:rPr>
        <w:t>on</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sector, </w:t>
      </w:r>
      <w:proofErr w:type="spellStart"/>
      <w:r w:rsidRPr="0024433C">
        <w:rPr>
          <w:rFonts w:ascii="Times New Roman" w:hAnsi="Times New Roman" w:cs="Times New Roman"/>
          <w:sz w:val="24"/>
          <w:szCs w:val="24"/>
        </w:rPr>
        <w:t>which</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influence</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all</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elements</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of</w:t>
      </w:r>
      <w:proofErr w:type="spellEnd"/>
      <w:r w:rsidRPr="0024433C">
        <w:rPr>
          <w:rFonts w:ascii="Times New Roman" w:hAnsi="Times New Roman" w:cs="Times New Roman"/>
          <w:sz w:val="24"/>
          <w:szCs w:val="24"/>
        </w:rPr>
        <w:t xml:space="preserve"> </w:t>
      </w:r>
      <w:proofErr w:type="spellStart"/>
      <w:r w:rsidRPr="0024433C">
        <w:rPr>
          <w:rFonts w:ascii="Times New Roman" w:hAnsi="Times New Roman" w:cs="Times New Roman"/>
          <w:sz w:val="24"/>
          <w:szCs w:val="24"/>
        </w:rPr>
        <w:t>the</w:t>
      </w:r>
      <w:proofErr w:type="spellEnd"/>
      <w:r w:rsidRPr="0024433C">
        <w:rPr>
          <w:rFonts w:ascii="Times New Roman" w:hAnsi="Times New Roman" w:cs="Times New Roman"/>
          <w:sz w:val="24"/>
          <w:szCs w:val="24"/>
        </w:rPr>
        <w:t xml:space="preserve"> SCP </w:t>
      </w:r>
      <w:proofErr w:type="spellStart"/>
      <w:r w:rsidRPr="0024433C">
        <w:rPr>
          <w:rFonts w:ascii="Times New Roman" w:hAnsi="Times New Roman" w:cs="Times New Roman"/>
          <w:sz w:val="24"/>
          <w:szCs w:val="24"/>
        </w:rPr>
        <w:t>paradigm</w:t>
      </w:r>
      <w:proofErr w:type="spellEnd"/>
      <w:r w:rsidRPr="0024433C">
        <w:rPr>
          <w:rFonts w:ascii="Times New Roman" w:hAnsi="Times New Roman" w:cs="Times New Roman"/>
          <w:sz w:val="24"/>
          <w:szCs w:val="24"/>
        </w:rPr>
        <w:t>.</w:t>
      </w:r>
    </w:p>
    <w:p w14:paraId="720D9C2F" w14:textId="3B2E3B57" w:rsidR="006D7A8C" w:rsidRDefault="006D7A8C" w:rsidP="0064723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proofErr w:type="spellStart"/>
      <w:r w:rsidR="00B029EC" w:rsidRPr="008112C8">
        <w:rPr>
          <w:rFonts w:ascii="Times New Roman" w:hAnsi="Times New Roman" w:cs="Times New Roman"/>
          <w:sz w:val="24"/>
          <w:szCs w:val="24"/>
        </w:rPr>
        <w:t>Structure</w:t>
      </w:r>
      <w:proofErr w:type="spellEnd"/>
      <w:r w:rsidR="00B029EC" w:rsidRPr="008112C8">
        <w:rPr>
          <w:rFonts w:ascii="Times New Roman" w:hAnsi="Times New Roman" w:cs="Times New Roman"/>
          <w:sz w:val="24"/>
          <w:szCs w:val="24"/>
        </w:rPr>
        <w:t>-</w:t>
      </w:r>
      <w:proofErr w:type="spellStart"/>
      <w:r w:rsidR="00B029EC" w:rsidRPr="008112C8">
        <w:rPr>
          <w:rFonts w:ascii="Times New Roman" w:hAnsi="Times New Roman" w:cs="Times New Roman"/>
          <w:sz w:val="24"/>
          <w:szCs w:val="24"/>
        </w:rPr>
        <w:t>Condition</w:t>
      </w:r>
      <w:proofErr w:type="spellEnd"/>
      <w:r w:rsidR="00B029EC" w:rsidRPr="008112C8">
        <w:rPr>
          <w:rFonts w:ascii="Times New Roman" w:hAnsi="Times New Roman" w:cs="Times New Roman"/>
          <w:sz w:val="24"/>
          <w:szCs w:val="24"/>
        </w:rPr>
        <w:t xml:space="preserve">-Performance </w:t>
      </w:r>
      <w:proofErr w:type="spellStart"/>
      <w:r w:rsidR="00B029EC" w:rsidRPr="008112C8">
        <w:rPr>
          <w:rFonts w:ascii="Times New Roman" w:hAnsi="Times New Roman" w:cs="Times New Roman"/>
          <w:sz w:val="24"/>
          <w:szCs w:val="24"/>
        </w:rPr>
        <w:t>Paradigm</w:t>
      </w:r>
      <w:proofErr w:type="spellEnd"/>
      <w:r w:rsidR="00B029EC" w:rsidRPr="008112C8">
        <w:rPr>
          <w:rFonts w:ascii="Times New Roman" w:hAnsi="Times New Roman" w:cs="Times New Roman"/>
          <w:sz w:val="24"/>
          <w:szCs w:val="24"/>
        </w:rPr>
        <w:t xml:space="preserve">, Mineral </w:t>
      </w:r>
      <w:proofErr w:type="spellStart"/>
      <w:r w:rsidR="00B029EC" w:rsidRPr="008112C8">
        <w:rPr>
          <w:rFonts w:ascii="Times New Roman" w:hAnsi="Times New Roman" w:cs="Times New Roman"/>
          <w:sz w:val="24"/>
          <w:szCs w:val="24"/>
        </w:rPr>
        <w:t>Extractive</w:t>
      </w:r>
      <w:proofErr w:type="spellEnd"/>
      <w:r w:rsidR="00B029EC" w:rsidRPr="008112C8">
        <w:rPr>
          <w:rFonts w:ascii="Times New Roman" w:hAnsi="Times New Roman" w:cs="Times New Roman"/>
          <w:sz w:val="24"/>
          <w:szCs w:val="24"/>
        </w:rPr>
        <w:t xml:space="preserve"> </w:t>
      </w:r>
      <w:proofErr w:type="spellStart"/>
      <w:r w:rsidR="00B029EC" w:rsidRPr="008112C8">
        <w:rPr>
          <w:rFonts w:ascii="Times New Roman" w:hAnsi="Times New Roman" w:cs="Times New Roman"/>
          <w:sz w:val="24"/>
          <w:szCs w:val="24"/>
        </w:rPr>
        <w:t>Industry</w:t>
      </w:r>
      <w:proofErr w:type="spellEnd"/>
      <w:r w:rsidR="00B029EC" w:rsidRPr="008112C8">
        <w:rPr>
          <w:rFonts w:ascii="Times New Roman" w:hAnsi="Times New Roman" w:cs="Times New Roman"/>
          <w:sz w:val="24"/>
          <w:szCs w:val="24"/>
        </w:rPr>
        <w:t xml:space="preserve">, </w:t>
      </w:r>
      <w:proofErr w:type="spellStart"/>
      <w:r w:rsidR="00B029EC" w:rsidRPr="008112C8">
        <w:rPr>
          <w:rFonts w:ascii="Times New Roman" w:hAnsi="Times New Roman" w:cs="Times New Roman"/>
          <w:sz w:val="24"/>
          <w:szCs w:val="24"/>
        </w:rPr>
        <w:t>Competitiveness</w:t>
      </w:r>
      <w:proofErr w:type="spellEnd"/>
      <w:r w:rsidR="0064723A">
        <w:rPr>
          <w:rFonts w:ascii="Times New Roman" w:hAnsi="Times New Roman" w:cs="Times New Roman"/>
          <w:sz w:val="24"/>
          <w:szCs w:val="24"/>
        </w:rPr>
        <w:t>.</w:t>
      </w:r>
    </w:p>
    <w:p w14:paraId="157E4118" w14:textId="77777777" w:rsidR="00B42EE0" w:rsidRDefault="00B42EE0" w:rsidP="0064723A">
      <w:pPr>
        <w:spacing w:before="120" w:after="120" w:line="240" w:lineRule="auto"/>
        <w:jc w:val="both"/>
        <w:rPr>
          <w:rFonts w:ascii="Times New Roman" w:hAnsi="Times New Roman" w:cs="Times New Roman"/>
          <w:b/>
          <w:sz w:val="24"/>
          <w:szCs w:val="24"/>
        </w:rPr>
      </w:pPr>
    </w:p>
    <w:p w14:paraId="2793FC0A" w14:textId="4889B894" w:rsidR="00B42EE0" w:rsidRPr="00EB36F3" w:rsidRDefault="00B42EE0" w:rsidP="0064723A">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JEL: </w:t>
      </w:r>
      <w:r w:rsidR="00EB36F3" w:rsidRPr="00EB36F3">
        <w:rPr>
          <w:rFonts w:ascii="Times New Roman" w:hAnsi="Times New Roman" w:cs="Times New Roman"/>
          <w:sz w:val="24"/>
          <w:szCs w:val="24"/>
        </w:rPr>
        <w:t>L1, L61 e L72.</w:t>
      </w:r>
    </w:p>
    <w:p w14:paraId="617C2112" w14:textId="77777777" w:rsidR="006D7A8C" w:rsidRPr="006D7A8C" w:rsidRDefault="006D7A8C" w:rsidP="0064723A">
      <w:pPr>
        <w:spacing w:before="120" w:after="120" w:line="240" w:lineRule="auto"/>
        <w:jc w:val="both"/>
        <w:rPr>
          <w:rFonts w:ascii="Times New Roman" w:hAnsi="Times New Roman" w:cs="Times New Roman"/>
          <w:b/>
          <w:sz w:val="24"/>
          <w:szCs w:val="24"/>
        </w:rPr>
      </w:pPr>
    </w:p>
    <w:p w14:paraId="64D227C0" w14:textId="0A976A20" w:rsidR="007363EF" w:rsidRPr="006D7A8C" w:rsidRDefault="006D7A8C" w:rsidP="0064723A">
      <w:pPr>
        <w:pStyle w:val="PargrafodaLista"/>
        <w:spacing w:before="120" w:after="120" w:line="240"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1. </w:t>
      </w:r>
      <w:r w:rsidR="00B029EC">
        <w:rPr>
          <w:rFonts w:ascii="Times New Roman" w:eastAsiaTheme="minorHAnsi" w:hAnsi="Times New Roman" w:cs="Times New Roman"/>
          <w:b/>
          <w:sz w:val="24"/>
          <w:szCs w:val="24"/>
          <w:lang w:eastAsia="en-US"/>
        </w:rPr>
        <w:t>Paradigma</w:t>
      </w:r>
      <w:r w:rsidR="005C230C" w:rsidRPr="006D7A8C">
        <w:rPr>
          <w:rFonts w:ascii="Times New Roman" w:eastAsiaTheme="minorHAnsi" w:hAnsi="Times New Roman" w:cs="Times New Roman"/>
          <w:b/>
          <w:sz w:val="24"/>
          <w:szCs w:val="24"/>
          <w:lang w:eastAsia="en-US"/>
        </w:rPr>
        <w:t xml:space="preserve"> Estrutura-Conduta-Desempenho</w:t>
      </w:r>
    </w:p>
    <w:p w14:paraId="0ACBE0AB" w14:textId="4E224406" w:rsidR="006E3B9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w:t>
      </w:r>
      <w:r w:rsidR="006E3B98" w:rsidRPr="006D7A8C">
        <w:rPr>
          <w:rFonts w:ascii="Times New Roman" w:eastAsiaTheme="minorHAnsi" w:hAnsi="Times New Roman" w:cs="Times New Roman"/>
          <w:sz w:val="24"/>
          <w:szCs w:val="24"/>
          <w:lang w:eastAsia="en-US"/>
        </w:rPr>
        <w:t>Estrutura Conduta Desempenho (</w:t>
      </w:r>
      <w:r w:rsidRPr="006D7A8C">
        <w:rPr>
          <w:rFonts w:ascii="Times New Roman" w:eastAsiaTheme="minorHAnsi" w:hAnsi="Times New Roman" w:cs="Times New Roman"/>
          <w:sz w:val="24"/>
          <w:szCs w:val="24"/>
          <w:lang w:eastAsia="en-US"/>
        </w:rPr>
        <w:t>ECD</w:t>
      </w:r>
      <w:r w:rsidR="006E3B98" w:rsidRPr="006D7A8C">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constitui </w:t>
      </w:r>
      <w:r w:rsidR="005C230C" w:rsidRPr="006D7A8C">
        <w:rPr>
          <w:rFonts w:ascii="Times New Roman" w:eastAsiaTheme="minorHAnsi" w:hAnsi="Times New Roman" w:cs="Times New Roman"/>
          <w:sz w:val="24"/>
          <w:szCs w:val="24"/>
          <w:lang w:eastAsia="en-US"/>
        </w:rPr>
        <w:t xml:space="preserve">uma das </w:t>
      </w:r>
      <w:r w:rsidRPr="006D7A8C">
        <w:rPr>
          <w:rFonts w:ascii="Times New Roman" w:eastAsiaTheme="minorHAnsi" w:hAnsi="Times New Roman" w:cs="Times New Roman"/>
          <w:sz w:val="24"/>
          <w:szCs w:val="24"/>
          <w:lang w:eastAsia="en-US"/>
        </w:rPr>
        <w:t xml:space="preserve">vertentes de estudo da </w:t>
      </w:r>
      <w:r w:rsidR="006E3B98" w:rsidRPr="006D7A8C">
        <w:rPr>
          <w:rFonts w:ascii="Times New Roman" w:eastAsiaTheme="minorHAnsi" w:hAnsi="Times New Roman" w:cs="Times New Roman"/>
          <w:sz w:val="24"/>
          <w:szCs w:val="24"/>
          <w:lang w:eastAsia="en-US"/>
        </w:rPr>
        <w:t>O</w:t>
      </w:r>
      <w:r w:rsidRPr="006D7A8C">
        <w:rPr>
          <w:rFonts w:ascii="Times New Roman" w:eastAsiaTheme="minorHAnsi" w:hAnsi="Times New Roman" w:cs="Times New Roman"/>
          <w:sz w:val="24"/>
          <w:szCs w:val="24"/>
          <w:lang w:eastAsia="en-US"/>
        </w:rPr>
        <w:t xml:space="preserve">rganização </w:t>
      </w:r>
      <w:r w:rsidR="006E3B98" w:rsidRPr="006D7A8C">
        <w:rPr>
          <w:rFonts w:ascii="Times New Roman" w:eastAsiaTheme="minorHAnsi" w:hAnsi="Times New Roman" w:cs="Times New Roman"/>
          <w:sz w:val="24"/>
          <w:szCs w:val="24"/>
          <w:lang w:eastAsia="en-US"/>
        </w:rPr>
        <w:t>I</w:t>
      </w:r>
      <w:r w:rsidRPr="006D7A8C">
        <w:rPr>
          <w:rFonts w:ascii="Times New Roman" w:eastAsiaTheme="minorHAnsi" w:hAnsi="Times New Roman" w:cs="Times New Roman"/>
          <w:sz w:val="24"/>
          <w:szCs w:val="24"/>
          <w:lang w:eastAsia="en-US"/>
        </w:rPr>
        <w:t>ndustrial</w:t>
      </w:r>
      <w:r w:rsidR="006E3B98" w:rsidRPr="006D7A8C">
        <w:rPr>
          <w:rFonts w:ascii="Times New Roman" w:eastAsiaTheme="minorHAnsi" w:hAnsi="Times New Roman" w:cs="Times New Roman"/>
          <w:sz w:val="24"/>
          <w:szCs w:val="24"/>
          <w:lang w:eastAsia="en-US"/>
        </w:rPr>
        <w:t xml:space="preserve"> (OI)</w:t>
      </w:r>
      <w:r w:rsidRPr="006D7A8C">
        <w:rPr>
          <w:rFonts w:ascii="Times New Roman" w:eastAsiaTheme="minorHAnsi" w:hAnsi="Times New Roman" w:cs="Times New Roman"/>
          <w:sz w:val="24"/>
          <w:szCs w:val="24"/>
          <w:lang w:eastAsia="en-US"/>
        </w:rPr>
        <w:t xml:space="preserve">, </w:t>
      </w:r>
      <w:r w:rsidR="006E3B98" w:rsidRPr="006D7A8C">
        <w:rPr>
          <w:rFonts w:ascii="Times New Roman" w:eastAsiaTheme="minorHAnsi" w:hAnsi="Times New Roman" w:cs="Times New Roman"/>
          <w:sz w:val="24"/>
          <w:szCs w:val="24"/>
          <w:lang w:eastAsia="en-US"/>
        </w:rPr>
        <w:t>qu</w:t>
      </w:r>
      <w:r w:rsidRPr="006D7A8C">
        <w:rPr>
          <w:rFonts w:ascii="Times New Roman" w:eastAsiaTheme="minorHAnsi" w:hAnsi="Times New Roman" w:cs="Times New Roman"/>
          <w:sz w:val="24"/>
          <w:szCs w:val="24"/>
          <w:lang w:eastAsia="en-US"/>
        </w:rPr>
        <w:t xml:space="preserve">e </w:t>
      </w:r>
      <w:r w:rsidR="006E3B98" w:rsidRPr="006D7A8C">
        <w:rPr>
          <w:rFonts w:ascii="Times New Roman" w:eastAsiaTheme="minorHAnsi" w:hAnsi="Times New Roman" w:cs="Times New Roman"/>
          <w:sz w:val="24"/>
          <w:szCs w:val="24"/>
          <w:lang w:eastAsia="en-US"/>
        </w:rPr>
        <w:t>se tornou</w:t>
      </w:r>
      <w:r w:rsidRPr="006D7A8C">
        <w:rPr>
          <w:rFonts w:ascii="Times New Roman" w:eastAsiaTheme="minorHAnsi" w:hAnsi="Times New Roman" w:cs="Times New Roman"/>
          <w:sz w:val="24"/>
          <w:szCs w:val="24"/>
          <w:lang w:eastAsia="en-US"/>
        </w:rPr>
        <w:t xml:space="preserve"> indispensável para a compreensão </w:t>
      </w:r>
      <w:r w:rsidR="006E3B98" w:rsidRPr="006D7A8C">
        <w:rPr>
          <w:rFonts w:ascii="Times New Roman" w:eastAsiaTheme="minorHAnsi" w:hAnsi="Times New Roman" w:cs="Times New Roman"/>
          <w:sz w:val="24"/>
          <w:szCs w:val="24"/>
          <w:lang w:eastAsia="en-US"/>
        </w:rPr>
        <w:t xml:space="preserve">e avaliação dos </w:t>
      </w:r>
      <w:r w:rsidRPr="006D7A8C">
        <w:rPr>
          <w:rFonts w:ascii="Times New Roman" w:eastAsiaTheme="minorHAnsi" w:hAnsi="Times New Roman" w:cs="Times New Roman"/>
          <w:sz w:val="24"/>
          <w:szCs w:val="24"/>
          <w:lang w:eastAsia="en-US"/>
        </w:rPr>
        <w:t xml:space="preserve">diversos setores </w:t>
      </w:r>
      <w:r w:rsidR="006E3B98" w:rsidRPr="006D7A8C">
        <w:rPr>
          <w:rFonts w:ascii="Times New Roman" w:eastAsiaTheme="minorHAnsi" w:hAnsi="Times New Roman" w:cs="Times New Roman"/>
          <w:sz w:val="24"/>
          <w:szCs w:val="24"/>
          <w:lang w:eastAsia="en-US"/>
        </w:rPr>
        <w:t xml:space="preserve">produtivos </w:t>
      </w:r>
      <w:r w:rsidRPr="006D7A8C">
        <w:rPr>
          <w:rFonts w:ascii="Times New Roman" w:eastAsiaTheme="minorHAnsi" w:hAnsi="Times New Roman" w:cs="Times New Roman"/>
          <w:sz w:val="24"/>
          <w:szCs w:val="24"/>
          <w:lang w:eastAsia="en-US"/>
        </w:rPr>
        <w:t xml:space="preserve">da economia. </w:t>
      </w:r>
      <w:r w:rsidR="0064723A">
        <w:rPr>
          <w:rFonts w:ascii="Times New Roman" w:eastAsiaTheme="minorHAnsi" w:hAnsi="Times New Roman" w:cs="Times New Roman"/>
          <w:sz w:val="24"/>
          <w:szCs w:val="24"/>
          <w:lang w:eastAsia="en-US"/>
        </w:rPr>
        <w:t>Originalmente</w:t>
      </w:r>
      <w:r w:rsidRPr="006D7A8C">
        <w:rPr>
          <w:rFonts w:ascii="Times New Roman" w:eastAsiaTheme="minorHAnsi" w:hAnsi="Times New Roman" w:cs="Times New Roman"/>
          <w:sz w:val="24"/>
          <w:szCs w:val="24"/>
          <w:lang w:eastAsia="en-US"/>
        </w:rPr>
        <w:t>, esta abordagem visa</w:t>
      </w:r>
      <w:r w:rsidR="0064723A">
        <w:rPr>
          <w:rFonts w:ascii="Times New Roman" w:eastAsiaTheme="minorHAnsi" w:hAnsi="Times New Roman" w:cs="Times New Roman"/>
          <w:sz w:val="24"/>
          <w:szCs w:val="24"/>
          <w:lang w:eastAsia="en-US"/>
        </w:rPr>
        <w:t>va</w:t>
      </w:r>
      <w:r w:rsidRPr="006D7A8C">
        <w:rPr>
          <w:rFonts w:ascii="Times New Roman" w:eastAsiaTheme="minorHAnsi" w:hAnsi="Times New Roman" w:cs="Times New Roman"/>
          <w:sz w:val="24"/>
          <w:szCs w:val="24"/>
          <w:lang w:eastAsia="en-US"/>
        </w:rPr>
        <w:t xml:space="preserve"> compreender de maneira linear como a estrutura de um setor, que </w:t>
      </w:r>
      <w:r w:rsidRPr="006D7A8C">
        <w:rPr>
          <w:rFonts w:ascii="Times New Roman" w:eastAsiaTheme="minorHAnsi" w:hAnsi="Times New Roman" w:cs="Times New Roman"/>
          <w:sz w:val="24"/>
          <w:szCs w:val="24"/>
          <w:lang w:eastAsia="en-US"/>
        </w:rPr>
        <w:lastRenderedPageBreak/>
        <w:t>depende de condições básicas como tecnologia e demanda, afeta</w:t>
      </w:r>
      <w:r w:rsidR="005C230C" w:rsidRPr="006D7A8C">
        <w:rPr>
          <w:rFonts w:ascii="Times New Roman" w:eastAsiaTheme="minorHAnsi" w:hAnsi="Times New Roman" w:cs="Times New Roman"/>
          <w:sz w:val="24"/>
          <w:szCs w:val="24"/>
          <w:lang w:eastAsia="en-US"/>
        </w:rPr>
        <w:t>m</w:t>
      </w:r>
      <w:r w:rsidRPr="006D7A8C">
        <w:rPr>
          <w:rFonts w:ascii="Times New Roman" w:eastAsiaTheme="minorHAnsi" w:hAnsi="Times New Roman" w:cs="Times New Roman"/>
          <w:sz w:val="24"/>
          <w:szCs w:val="24"/>
          <w:lang w:eastAsia="en-US"/>
        </w:rPr>
        <w:t xml:space="preserve"> </w:t>
      </w:r>
      <w:r w:rsidR="005C230C" w:rsidRPr="006D7A8C">
        <w:rPr>
          <w:rFonts w:ascii="Times New Roman" w:eastAsiaTheme="minorHAnsi" w:hAnsi="Times New Roman" w:cs="Times New Roman"/>
          <w:sz w:val="24"/>
          <w:szCs w:val="24"/>
          <w:lang w:eastAsia="en-US"/>
        </w:rPr>
        <w:t xml:space="preserve">a </w:t>
      </w:r>
      <w:r w:rsidRPr="006D7A8C">
        <w:rPr>
          <w:rFonts w:ascii="Times New Roman" w:eastAsiaTheme="minorHAnsi" w:hAnsi="Times New Roman" w:cs="Times New Roman"/>
          <w:sz w:val="24"/>
          <w:szCs w:val="24"/>
          <w:lang w:eastAsia="en-US"/>
        </w:rPr>
        <w:t xml:space="preserve">conduta </w:t>
      </w:r>
      <w:r w:rsidR="005C230C" w:rsidRPr="006D7A8C">
        <w:rPr>
          <w:rFonts w:ascii="Times New Roman" w:eastAsiaTheme="minorHAnsi" w:hAnsi="Times New Roman" w:cs="Times New Roman"/>
          <w:sz w:val="24"/>
          <w:szCs w:val="24"/>
          <w:lang w:eastAsia="en-US"/>
        </w:rPr>
        <w:t xml:space="preserve">dos </w:t>
      </w:r>
      <w:r w:rsidR="005C230C" w:rsidRPr="006D7A8C">
        <w:rPr>
          <w:rFonts w:ascii="Times New Roman" w:eastAsiaTheme="minorHAnsi" w:hAnsi="Times New Roman" w:cs="Times New Roman"/>
          <w:i/>
          <w:sz w:val="24"/>
          <w:szCs w:val="24"/>
          <w:lang w:eastAsia="en-US"/>
        </w:rPr>
        <w:t>players</w:t>
      </w:r>
      <w:r w:rsidR="006E3B98" w:rsidRPr="006D7A8C">
        <w:rPr>
          <w:rFonts w:ascii="Times New Roman" w:eastAsiaTheme="minorHAnsi" w:hAnsi="Times New Roman" w:cs="Times New Roman"/>
          <w:sz w:val="24"/>
          <w:szCs w:val="24"/>
          <w:lang w:eastAsia="en-US"/>
        </w:rPr>
        <w:t xml:space="preserve">, </w:t>
      </w:r>
      <w:r w:rsidR="005C230C" w:rsidRPr="006D7A8C">
        <w:rPr>
          <w:rFonts w:ascii="Times New Roman" w:eastAsiaTheme="minorHAnsi" w:hAnsi="Times New Roman" w:cs="Times New Roman"/>
          <w:sz w:val="24"/>
          <w:szCs w:val="24"/>
          <w:lang w:eastAsia="en-US"/>
        </w:rPr>
        <w:t xml:space="preserve">que </w:t>
      </w:r>
      <w:r w:rsidR="006E3B98" w:rsidRPr="006D7A8C">
        <w:rPr>
          <w:rFonts w:ascii="Times New Roman" w:eastAsiaTheme="minorHAnsi" w:hAnsi="Times New Roman" w:cs="Times New Roman"/>
          <w:sz w:val="24"/>
          <w:szCs w:val="24"/>
          <w:lang w:eastAsia="en-US"/>
        </w:rPr>
        <w:t>por sua vez,</w:t>
      </w:r>
      <w:r w:rsidRPr="006D7A8C">
        <w:rPr>
          <w:rFonts w:ascii="Times New Roman" w:eastAsiaTheme="minorHAnsi" w:hAnsi="Times New Roman" w:cs="Times New Roman"/>
          <w:sz w:val="24"/>
          <w:szCs w:val="24"/>
          <w:lang w:eastAsia="en-US"/>
        </w:rPr>
        <w:t xml:space="preserve"> </w:t>
      </w:r>
      <w:r w:rsidR="008537D9" w:rsidRPr="006D7A8C">
        <w:rPr>
          <w:rFonts w:ascii="Times New Roman" w:eastAsiaTheme="minorHAnsi" w:hAnsi="Times New Roman" w:cs="Times New Roman"/>
          <w:sz w:val="24"/>
          <w:szCs w:val="24"/>
          <w:lang w:eastAsia="en-US"/>
        </w:rPr>
        <w:t>influencia</w:t>
      </w:r>
      <w:r w:rsidR="006E3B98" w:rsidRPr="006D7A8C">
        <w:rPr>
          <w:rFonts w:ascii="Times New Roman" w:eastAsiaTheme="minorHAnsi" w:hAnsi="Times New Roman" w:cs="Times New Roman"/>
          <w:sz w:val="24"/>
          <w:szCs w:val="24"/>
          <w:lang w:eastAsia="en-US"/>
        </w:rPr>
        <w:t xml:space="preserve"> </w:t>
      </w:r>
      <w:r w:rsidR="005C230C" w:rsidRPr="006D7A8C">
        <w:rPr>
          <w:rFonts w:ascii="Times New Roman" w:eastAsiaTheme="minorHAnsi" w:hAnsi="Times New Roman" w:cs="Times New Roman"/>
          <w:sz w:val="24"/>
          <w:szCs w:val="24"/>
          <w:lang w:eastAsia="en-US"/>
        </w:rPr>
        <w:t>seu desempenho.</w:t>
      </w:r>
    </w:p>
    <w:p w14:paraId="4A76A669" w14:textId="35F17776" w:rsidR="007F3DB7" w:rsidRPr="006D7A8C" w:rsidRDefault="007F3DB7" w:rsidP="0064723A">
      <w:pPr>
        <w:spacing w:before="120" w:after="120" w:line="240" w:lineRule="auto"/>
        <w:jc w:val="both"/>
        <w:rPr>
          <w:rFonts w:ascii="Times New Roman" w:eastAsiaTheme="minorHAnsi" w:hAnsi="Times New Roman" w:cs="Times New Roman"/>
          <w:sz w:val="24"/>
          <w:szCs w:val="24"/>
          <w:lang w:eastAsia="en-US"/>
        </w:rPr>
      </w:pPr>
      <w:proofErr w:type="spellStart"/>
      <w:r w:rsidRPr="006D7A8C">
        <w:rPr>
          <w:rFonts w:ascii="Times New Roman" w:eastAsiaTheme="minorHAnsi" w:hAnsi="Times New Roman" w:cs="Times New Roman"/>
          <w:sz w:val="24"/>
          <w:szCs w:val="24"/>
          <w:lang w:eastAsia="en-US"/>
        </w:rPr>
        <w:t>Bain</w:t>
      </w:r>
      <w:proofErr w:type="spellEnd"/>
      <w:r w:rsidRPr="006D7A8C">
        <w:rPr>
          <w:rFonts w:ascii="Times New Roman" w:eastAsiaTheme="minorHAnsi" w:hAnsi="Times New Roman" w:cs="Times New Roman"/>
          <w:sz w:val="24"/>
          <w:szCs w:val="24"/>
          <w:lang w:eastAsia="en-US"/>
        </w:rPr>
        <w:t xml:space="preserve"> (1956</w:t>
      </w:r>
      <w:r w:rsidR="008537D9" w:rsidRPr="006D7A8C">
        <w:rPr>
          <w:rFonts w:ascii="Times New Roman" w:eastAsiaTheme="minorHAnsi" w:hAnsi="Times New Roman" w:cs="Times New Roman"/>
          <w:sz w:val="24"/>
          <w:szCs w:val="24"/>
          <w:lang w:eastAsia="en-US"/>
        </w:rPr>
        <w:t xml:space="preserve"> </w:t>
      </w:r>
      <w:r w:rsidR="008537D9" w:rsidRPr="006D7A8C">
        <w:rPr>
          <w:rFonts w:ascii="Times New Roman" w:eastAsiaTheme="minorHAnsi" w:hAnsi="Times New Roman" w:cs="Times New Roman"/>
          <w:i/>
          <w:sz w:val="24"/>
          <w:szCs w:val="24"/>
          <w:lang w:eastAsia="en-US"/>
        </w:rPr>
        <w:t>apud</w:t>
      </w:r>
      <w:r w:rsidR="008537D9" w:rsidRPr="006D7A8C">
        <w:rPr>
          <w:rFonts w:ascii="Times New Roman" w:eastAsiaTheme="minorHAnsi" w:hAnsi="Times New Roman" w:cs="Times New Roman"/>
          <w:sz w:val="24"/>
          <w:szCs w:val="24"/>
          <w:lang w:eastAsia="en-US"/>
        </w:rPr>
        <w:t xml:space="preserve"> FAGUNDES; PONDE, 199</w:t>
      </w:r>
      <w:r w:rsidR="001615DE" w:rsidRPr="006D7A8C">
        <w:rPr>
          <w:rFonts w:ascii="Times New Roman" w:eastAsiaTheme="minorHAnsi" w:hAnsi="Times New Roman" w:cs="Times New Roman"/>
          <w:sz w:val="24"/>
          <w:szCs w:val="24"/>
          <w:lang w:eastAsia="en-US"/>
        </w:rPr>
        <w:t>8</w:t>
      </w:r>
      <w:r w:rsidRPr="006D7A8C">
        <w:rPr>
          <w:rFonts w:ascii="Times New Roman" w:eastAsiaTheme="minorHAnsi" w:hAnsi="Times New Roman" w:cs="Times New Roman"/>
          <w:sz w:val="24"/>
          <w:szCs w:val="24"/>
          <w:lang w:eastAsia="en-US"/>
        </w:rPr>
        <w:t>) é considerado o precursor dos estudos sobre a atividade industrial. O autor partiu da hipótese básica</w:t>
      </w:r>
      <w:r w:rsidR="0064723A">
        <w:rPr>
          <w:rFonts w:ascii="Times New Roman" w:eastAsiaTheme="minorHAnsi" w:hAnsi="Times New Roman" w:cs="Times New Roman"/>
          <w:sz w:val="24"/>
          <w:szCs w:val="24"/>
          <w:lang w:eastAsia="en-US"/>
        </w:rPr>
        <w:t xml:space="preserve">, </w:t>
      </w:r>
      <w:r w:rsidRPr="006D7A8C">
        <w:rPr>
          <w:rFonts w:ascii="Times New Roman" w:eastAsiaTheme="minorHAnsi" w:hAnsi="Times New Roman" w:cs="Times New Roman"/>
          <w:sz w:val="24"/>
          <w:szCs w:val="24"/>
          <w:lang w:eastAsia="en-US"/>
        </w:rPr>
        <w:t>do paradigma ECD</w:t>
      </w:r>
      <w:r w:rsidR="0064723A">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de que a estrutura de um mercado determina os padrões de conduta das firmas e que, por sua vez, acaba </w:t>
      </w:r>
      <w:r w:rsidR="005C230C" w:rsidRPr="006D7A8C">
        <w:rPr>
          <w:rFonts w:ascii="Times New Roman" w:eastAsiaTheme="minorHAnsi" w:hAnsi="Times New Roman" w:cs="Times New Roman"/>
          <w:sz w:val="24"/>
          <w:szCs w:val="24"/>
          <w:lang w:eastAsia="en-US"/>
        </w:rPr>
        <w:t xml:space="preserve">por </w:t>
      </w:r>
      <w:r w:rsidRPr="006D7A8C">
        <w:rPr>
          <w:rFonts w:ascii="Times New Roman" w:eastAsiaTheme="minorHAnsi" w:hAnsi="Times New Roman" w:cs="Times New Roman"/>
          <w:sz w:val="24"/>
          <w:szCs w:val="24"/>
          <w:lang w:eastAsia="en-US"/>
        </w:rPr>
        <w:t>afeta</w:t>
      </w:r>
      <w:r w:rsidR="005C230C" w:rsidRPr="006D7A8C">
        <w:rPr>
          <w:rFonts w:ascii="Times New Roman" w:eastAsiaTheme="minorHAnsi" w:hAnsi="Times New Roman" w:cs="Times New Roman"/>
          <w:sz w:val="24"/>
          <w:szCs w:val="24"/>
          <w:lang w:eastAsia="en-US"/>
        </w:rPr>
        <w:t>r</w:t>
      </w:r>
      <w:r w:rsidRPr="006D7A8C">
        <w:rPr>
          <w:rFonts w:ascii="Times New Roman" w:eastAsiaTheme="minorHAnsi" w:hAnsi="Times New Roman" w:cs="Times New Roman"/>
          <w:sz w:val="24"/>
          <w:szCs w:val="24"/>
          <w:lang w:eastAsia="en-US"/>
        </w:rPr>
        <w:t xml:space="preserve"> o seu desempenho. Dessa forma, 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ECD destaca a importância do elemento estrutural no conjunto da indústria, sendo determinante na conduta exercida pelas empresas que, consequentemente, impactam ou acabam por definir o desempenho apresentado. </w:t>
      </w:r>
    </w:p>
    <w:p w14:paraId="1B5DB840" w14:textId="21C71E20" w:rsidR="00B32F08" w:rsidRPr="006D7A8C" w:rsidRDefault="00ED699F"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hAnsi="Times New Roman" w:cs="Times New Roman"/>
          <w:sz w:val="24"/>
          <w:szCs w:val="24"/>
        </w:rPr>
        <w:t xml:space="preserve">Segundo Farina (1997), o </w:t>
      </w:r>
      <w:r w:rsidR="00B029EC">
        <w:rPr>
          <w:rFonts w:ascii="Times New Roman" w:hAnsi="Times New Roman" w:cs="Times New Roman"/>
          <w:sz w:val="24"/>
          <w:szCs w:val="24"/>
        </w:rPr>
        <w:t>paradigma</w:t>
      </w:r>
      <w:r w:rsidRPr="006D7A8C">
        <w:rPr>
          <w:rFonts w:ascii="Times New Roman" w:hAnsi="Times New Roman" w:cs="Times New Roman"/>
          <w:sz w:val="24"/>
          <w:szCs w:val="24"/>
        </w:rPr>
        <w:t xml:space="preserve"> permite identificar as forças responsáveis pela organização da indústria e das firmas e como estas têm se alterado ao longo do tempo. </w:t>
      </w:r>
      <w:r w:rsidR="0064723A">
        <w:rPr>
          <w:rFonts w:ascii="Times New Roman" w:hAnsi="Times New Roman" w:cs="Times New Roman"/>
          <w:sz w:val="24"/>
          <w:szCs w:val="24"/>
        </w:rPr>
        <w:t xml:space="preserve">Partindo de uma visão atualizado </w:t>
      </w:r>
      <w:r w:rsidR="007F3DB7" w:rsidRPr="006D7A8C">
        <w:rPr>
          <w:rFonts w:ascii="Times New Roman" w:eastAsiaTheme="minorHAnsi" w:hAnsi="Times New Roman" w:cs="Times New Roman"/>
          <w:sz w:val="24"/>
          <w:szCs w:val="24"/>
          <w:lang w:eastAsia="en-US"/>
        </w:rPr>
        <w:t xml:space="preserve">Scherer e Ross (1990) </w:t>
      </w:r>
      <w:r w:rsidR="0064723A">
        <w:rPr>
          <w:rFonts w:ascii="Times New Roman" w:eastAsiaTheme="minorHAnsi" w:hAnsi="Times New Roman" w:cs="Times New Roman"/>
          <w:sz w:val="24"/>
          <w:szCs w:val="24"/>
          <w:lang w:eastAsia="en-US"/>
        </w:rPr>
        <w:t xml:space="preserve">apontam que </w:t>
      </w:r>
      <w:r w:rsidR="007F3DB7" w:rsidRPr="006D7A8C">
        <w:rPr>
          <w:rFonts w:ascii="Times New Roman" w:eastAsiaTheme="minorHAnsi" w:hAnsi="Times New Roman" w:cs="Times New Roman"/>
          <w:sz w:val="24"/>
          <w:szCs w:val="24"/>
          <w:lang w:eastAsia="en-US"/>
        </w:rPr>
        <w:t>o</w:t>
      </w:r>
      <w:r w:rsidR="00B32F08" w:rsidRPr="006D7A8C">
        <w:rPr>
          <w:rFonts w:ascii="Times New Roman" w:eastAsiaTheme="minorHAnsi" w:hAnsi="Times New Roman" w:cs="Times New Roman"/>
          <w:sz w:val="24"/>
          <w:szCs w:val="24"/>
          <w:lang w:eastAsia="en-US"/>
        </w:rPr>
        <w:t xml:space="preserve"> objetivo </w:t>
      </w:r>
      <w:r w:rsidR="007F3DB7" w:rsidRPr="006D7A8C">
        <w:rPr>
          <w:rFonts w:ascii="Times New Roman" w:eastAsiaTheme="minorHAnsi" w:hAnsi="Times New Roman" w:cs="Times New Roman"/>
          <w:sz w:val="24"/>
          <w:szCs w:val="24"/>
          <w:lang w:eastAsia="en-US"/>
        </w:rPr>
        <w:t xml:space="preserve">principal </w:t>
      </w:r>
      <w:r w:rsidR="00B32F08" w:rsidRPr="006D7A8C">
        <w:rPr>
          <w:rFonts w:ascii="Times New Roman" w:eastAsiaTheme="minorHAnsi" w:hAnsi="Times New Roman" w:cs="Times New Roman"/>
          <w:sz w:val="24"/>
          <w:szCs w:val="24"/>
          <w:lang w:eastAsia="en-US"/>
        </w:rPr>
        <w:t xml:space="preserve">do </w:t>
      </w:r>
      <w:r w:rsidR="00B029EC">
        <w:rPr>
          <w:rFonts w:ascii="Times New Roman" w:eastAsiaTheme="minorHAnsi" w:hAnsi="Times New Roman" w:cs="Times New Roman"/>
          <w:sz w:val="24"/>
          <w:szCs w:val="24"/>
          <w:lang w:eastAsia="en-US"/>
        </w:rPr>
        <w:t>paradigma</w:t>
      </w:r>
      <w:r w:rsidR="006E3B98" w:rsidRPr="006D7A8C">
        <w:rPr>
          <w:rFonts w:ascii="Times New Roman" w:eastAsiaTheme="minorHAnsi" w:hAnsi="Times New Roman" w:cs="Times New Roman"/>
          <w:sz w:val="24"/>
          <w:szCs w:val="24"/>
          <w:lang w:eastAsia="en-US"/>
        </w:rPr>
        <w:t xml:space="preserve"> </w:t>
      </w:r>
      <w:r w:rsidR="00B32F08" w:rsidRPr="006D7A8C">
        <w:rPr>
          <w:rFonts w:ascii="Times New Roman" w:eastAsiaTheme="minorHAnsi" w:hAnsi="Times New Roman" w:cs="Times New Roman"/>
          <w:sz w:val="24"/>
          <w:szCs w:val="24"/>
          <w:lang w:eastAsia="en-US"/>
        </w:rPr>
        <w:t>ECD</w:t>
      </w:r>
      <w:r w:rsidR="007F3DB7" w:rsidRPr="006D7A8C">
        <w:rPr>
          <w:rFonts w:ascii="Times New Roman" w:eastAsiaTheme="minorHAnsi" w:hAnsi="Times New Roman" w:cs="Times New Roman"/>
          <w:sz w:val="24"/>
          <w:szCs w:val="24"/>
          <w:lang w:eastAsia="en-US"/>
        </w:rPr>
        <w:t xml:space="preserve"> </w:t>
      </w:r>
      <w:r w:rsidR="00B32F08" w:rsidRPr="006D7A8C">
        <w:rPr>
          <w:rFonts w:ascii="Times New Roman" w:eastAsiaTheme="minorHAnsi" w:hAnsi="Times New Roman" w:cs="Times New Roman"/>
          <w:sz w:val="24"/>
          <w:szCs w:val="24"/>
          <w:lang w:eastAsia="en-US"/>
        </w:rPr>
        <w:t xml:space="preserve">é </w:t>
      </w:r>
      <w:r w:rsidR="007F3DB7" w:rsidRPr="006D7A8C">
        <w:rPr>
          <w:rFonts w:ascii="Times New Roman" w:eastAsiaTheme="minorHAnsi" w:hAnsi="Times New Roman" w:cs="Times New Roman"/>
          <w:sz w:val="24"/>
          <w:szCs w:val="24"/>
          <w:lang w:eastAsia="en-US"/>
        </w:rPr>
        <w:t xml:space="preserve">compreender </w:t>
      </w:r>
      <w:r w:rsidR="00B32F08" w:rsidRPr="006D7A8C">
        <w:rPr>
          <w:rFonts w:ascii="Times New Roman" w:eastAsiaTheme="minorHAnsi" w:hAnsi="Times New Roman" w:cs="Times New Roman"/>
          <w:sz w:val="24"/>
          <w:szCs w:val="24"/>
          <w:lang w:eastAsia="en-US"/>
        </w:rPr>
        <w:t>as variáveis que podem interferir no desempenho econômico</w:t>
      </w:r>
      <w:r w:rsidR="007F3DB7" w:rsidRPr="006D7A8C">
        <w:rPr>
          <w:rFonts w:ascii="Times New Roman" w:eastAsiaTheme="minorHAnsi" w:hAnsi="Times New Roman" w:cs="Times New Roman"/>
          <w:sz w:val="24"/>
          <w:szCs w:val="24"/>
          <w:lang w:eastAsia="en-US"/>
        </w:rPr>
        <w:t xml:space="preserve"> de um determinado setor de atividade</w:t>
      </w:r>
      <w:r w:rsidR="00B32F08" w:rsidRPr="006D7A8C">
        <w:rPr>
          <w:rFonts w:ascii="Times New Roman" w:eastAsiaTheme="minorHAnsi" w:hAnsi="Times New Roman" w:cs="Times New Roman"/>
          <w:sz w:val="24"/>
          <w:szCs w:val="24"/>
          <w:lang w:eastAsia="en-US"/>
        </w:rPr>
        <w:t xml:space="preserve">. Cabral (1994), por sua vez, afirma que </w:t>
      </w:r>
      <w:r w:rsidR="0064723A">
        <w:rPr>
          <w:rFonts w:ascii="Times New Roman" w:eastAsiaTheme="minorHAnsi" w:hAnsi="Times New Roman" w:cs="Times New Roman"/>
          <w:sz w:val="24"/>
          <w:szCs w:val="24"/>
          <w:lang w:eastAsia="en-US"/>
        </w:rPr>
        <w:t xml:space="preserve">o </w:t>
      </w:r>
      <w:r w:rsidR="00B32F08" w:rsidRPr="006D7A8C">
        <w:rPr>
          <w:rFonts w:ascii="Times New Roman" w:eastAsiaTheme="minorHAnsi" w:hAnsi="Times New Roman" w:cs="Times New Roman"/>
          <w:sz w:val="24"/>
          <w:szCs w:val="24"/>
          <w:lang w:eastAsia="en-US"/>
        </w:rPr>
        <w:t xml:space="preserve">paradigma fornece um esquema </w:t>
      </w:r>
      <w:r w:rsidR="0064723A">
        <w:rPr>
          <w:rFonts w:ascii="Times New Roman" w:eastAsiaTheme="minorHAnsi" w:hAnsi="Times New Roman" w:cs="Times New Roman"/>
          <w:sz w:val="24"/>
          <w:szCs w:val="24"/>
          <w:lang w:eastAsia="en-US"/>
        </w:rPr>
        <w:t xml:space="preserve">analítico dos </w:t>
      </w:r>
      <w:r w:rsidR="00B32F08" w:rsidRPr="006D7A8C">
        <w:rPr>
          <w:rFonts w:ascii="Times New Roman" w:eastAsiaTheme="minorHAnsi" w:hAnsi="Times New Roman" w:cs="Times New Roman"/>
          <w:sz w:val="24"/>
          <w:szCs w:val="24"/>
          <w:lang w:eastAsia="en-US"/>
        </w:rPr>
        <w:t>mercados</w:t>
      </w:r>
      <w:r w:rsidR="007F3DB7" w:rsidRPr="006D7A8C">
        <w:rPr>
          <w:rFonts w:ascii="Times New Roman" w:eastAsiaTheme="minorHAnsi" w:hAnsi="Times New Roman" w:cs="Times New Roman"/>
          <w:sz w:val="24"/>
          <w:szCs w:val="24"/>
          <w:lang w:eastAsia="en-US"/>
        </w:rPr>
        <w:t xml:space="preserve"> que</w:t>
      </w:r>
      <w:r w:rsidR="00B32F08" w:rsidRPr="006D7A8C">
        <w:rPr>
          <w:rFonts w:ascii="Times New Roman" w:eastAsiaTheme="minorHAnsi" w:hAnsi="Times New Roman" w:cs="Times New Roman"/>
          <w:sz w:val="24"/>
          <w:szCs w:val="24"/>
          <w:lang w:eastAsia="en-US"/>
        </w:rPr>
        <w:t xml:space="preserve"> permite a elaboração de um sistema ou esquema com diversos pontos relevantes para uma análise setor</w:t>
      </w:r>
      <w:r w:rsidR="007F3DB7" w:rsidRPr="006D7A8C">
        <w:rPr>
          <w:rFonts w:ascii="Times New Roman" w:eastAsiaTheme="minorHAnsi" w:hAnsi="Times New Roman" w:cs="Times New Roman"/>
          <w:sz w:val="24"/>
          <w:szCs w:val="24"/>
          <w:lang w:eastAsia="en-US"/>
        </w:rPr>
        <w:t>ial</w:t>
      </w:r>
      <w:r w:rsidR="00B32F08" w:rsidRPr="006D7A8C">
        <w:rPr>
          <w:rFonts w:ascii="Times New Roman" w:eastAsiaTheme="minorHAnsi" w:hAnsi="Times New Roman" w:cs="Times New Roman"/>
          <w:sz w:val="24"/>
          <w:szCs w:val="24"/>
          <w:lang w:eastAsia="en-US"/>
        </w:rPr>
        <w:t xml:space="preserve">. </w:t>
      </w:r>
    </w:p>
    <w:p w14:paraId="757221E6" w14:textId="42BE6622" w:rsidR="007F3DB7"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Em cada </w:t>
      </w:r>
      <w:r w:rsidR="005C230C" w:rsidRPr="006D7A8C">
        <w:rPr>
          <w:rFonts w:ascii="Times New Roman" w:eastAsiaTheme="minorHAnsi" w:hAnsi="Times New Roman" w:cs="Times New Roman"/>
          <w:sz w:val="24"/>
          <w:szCs w:val="24"/>
          <w:lang w:eastAsia="en-US"/>
        </w:rPr>
        <w:t>etapa da</w:t>
      </w:r>
      <w:r w:rsidRPr="006D7A8C">
        <w:rPr>
          <w:rFonts w:ascii="Times New Roman" w:eastAsiaTheme="minorHAnsi" w:hAnsi="Times New Roman" w:cs="Times New Roman"/>
          <w:sz w:val="24"/>
          <w:szCs w:val="24"/>
          <w:lang w:eastAsia="en-US"/>
        </w:rPr>
        <w:t xml:space="preserve"> análise estão presentes elementos próprios de estudo</w:t>
      </w:r>
      <w:r w:rsidR="005C230C" w:rsidRPr="006D7A8C">
        <w:rPr>
          <w:rFonts w:ascii="Times New Roman" w:eastAsiaTheme="minorHAnsi" w:hAnsi="Times New Roman" w:cs="Times New Roman"/>
          <w:sz w:val="24"/>
          <w:szCs w:val="24"/>
          <w:lang w:eastAsia="en-US"/>
        </w:rPr>
        <w:t>s</w:t>
      </w:r>
      <w:r w:rsidR="007F3DB7" w:rsidRPr="006D7A8C">
        <w:rPr>
          <w:rFonts w:ascii="Times New Roman" w:eastAsiaTheme="minorHAnsi" w:hAnsi="Times New Roman" w:cs="Times New Roman"/>
          <w:sz w:val="24"/>
          <w:szCs w:val="24"/>
          <w:lang w:eastAsia="en-US"/>
        </w:rPr>
        <w:t xml:space="preserve"> relacionado</w:t>
      </w:r>
      <w:r w:rsidR="005C230C" w:rsidRPr="006D7A8C">
        <w:rPr>
          <w:rFonts w:ascii="Times New Roman" w:eastAsiaTheme="minorHAnsi" w:hAnsi="Times New Roman" w:cs="Times New Roman"/>
          <w:sz w:val="24"/>
          <w:szCs w:val="24"/>
          <w:lang w:eastAsia="en-US"/>
        </w:rPr>
        <w:t>s</w:t>
      </w:r>
      <w:r w:rsidR="007F3DB7" w:rsidRPr="006D7A8C">
        <w:rPr>
          <w:rFonts w:ascii="Times New Roman" w:eastAsiaTheme="minorHAnsi" w:hAnsi="Times New Roman" w:cs="Times New Roman"/>
          <w:sz w:val="24"/>
          <w:szCs w:val="24"/>
          <w:lang w:eastAsia="en-US"/>
        </w:rPr>
        <w:t xml:space="preserve"> </w:t>
      </w:r>
      <w:r w:rsidR="005C230C" w:rsidRPr="006D7A8C">
        <w:rPr>
          <w:rFonts w:ascii="Times New Roman" w:eastAsiaTheme="minorHAnsi" w:hAnsi="Times New Roman" w:cs="Times New Roman"/>
          <w:sz w:val="24"/>
          <w:szCs w:val="24"/>
          <w:lang w:eastAsia="en-US"/>
        </w:rPr>
        <w:t xml:space="preserve">a cada </w:t>
      </w:r>
      <w:r w:rsidR="007F3DB7" w:rsidRPr="006D7A8C">
        <w:rPr>
          <w:rFonts w:ascii="Times New Roman" w:eastAsiaTheme="minorHAnsi" w:hAnsi="Times New Roman" w:cs="Times New Roman"/>
          <w:sz w:val="24"/>
          <w:szCs w:val="24"/>
          <w:lang w:eastAsia="en-US"/>
        </w:rPr>
        <w:t>setor em questão,</w:t>
      </w:r>
      <w:r w:rsidRPr="006D7A8C">
        <w:rPr>
          <w:rFonts w:ascii="Times New Roman" w:eastAsiaTheme="minorHAnsi" w:hAnsi="Times New Roman" w:cs="Times New Roman"/>
          <w:sz w:val="24"/>
          <w:szCs w:val="24"/>
          <w:lang w:eastAsia="en-US"/>
        </w:rPr>
        <w:t xml:space="preserve"> </w:t>
      </w:r>
      <w:r w:rsidR="007F3DB7" w:rsidRPr="006D7A8C">
        <w:rPr>
          <w:rFonts w:ascii="Times New Roman" w:eastAsiaTheme="minorHAnsi" w:hAnsi="Times New Roman" w:cs="Times New Roman"/>
          <w:sz w:val="24"/>
          <w:szCs w:val="24"/>
          <w:lang w:eastAsia="en-US"/>
        </w:rPr>
        <w:t>p</w:t>
      </w:r>
      <w:r w:rsidRPr="006D7A8C">
        <w:rPr>
          <w:rFonts w:ascii="Times New Roman" w:eastAsiaTheme="minorHAnsi" w:hAnsi="Times New Roman" w:cs="Times New Roman"/>
          <w:sz w:val="24"/>
          <w:szCs w:val="24"/>
          <w:lang w:eastAsia="en-US"/>
        </w:rPr>
        <w:t xml:space="preserve">or exemplo, dentro do diagnóstico </w:t>
      </w:r>
      <w:r w:rsidR="007F3DB7" w:rsidRPr="006D7A8C">
        <w:rPr>
          <w:rFonts w:ascii="Times New Roman" w:eastAsiaTheme="minorHAnsi" w:hAnsi="Times New Roman" w:cs="Times New Roman"/>
          <w:sz w:val="24"/>
          <w:szCs w:val="24"/>
          <w:lang w:eastAsia="en-US"/>
        </w:rPr>
        <w:t>da “E</w:t>
      </w:r>
      <w:r w:rsidRPr="006D7A8C">
        <w:rPr>
          <w:rFonts w:ascii="Times New Roman" w:eastAsiaTheme="minorHAnsi" w:hAnsi="Times New Roman" w:cs="Times New Roman"/>
          <w:sz w:val="24"/>
          <w:szCs w:val="24"/>
          <w:lang w:eastAsia="en-US"/>
        </w:rPr>
        <w:t>strutura</w:t>
      </w:r>
      <w:r w:rsidR="007F3DB7" w:rsidRPr="006D7A8C">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encontram-se os elementos que </w:t>
      </w:r>
      <w:r w:rsidR="007F3DB7" w:rsidRPr="006D7A8C">
        <w:rPr>
          <w:rFonts w:ascii="Times New Roman" w:eastAsiaTheme="minorHAnsi" w:hAnsi="Times New Roman" w:cs="Times New Roman"/>
          <w:sz w:val="24"/>
          <w:szCs w:val="24"/>
          <w:lang w:eastAsia="en-US"/>
        </w:rPr>
        <w:t xml:space="preserve">o </w:t>
      </w:r>
      <w:r w:rsidRPr="006D7A8C">
        <w:rPr>
          <w:rFonts w:ascii="Times New Roman" w:eastAsiaTheme="minorHAnsi" w:hAnsi="Times New Roman" w:cs="Times New Roman"/>
          <w:sz w:val="24"/>
          <w:szCs w:val="24"/>
          <w:lang w:eastAsia="en-US"/>
        </w:rPr>
        <w:t xml:space="preserve">refletem </w:t>
      </w:r>
      <w:r w:rsidR="007F3DB7" w:rsidRPr="006D7A8C">
        <w:rPr>
          <w:rFonts w:ascii="Times New Roman" w:eastAsiaTheme="minorHAnsi" w:hAnsi="Times New Roman" w:cs="Times New Roman"/>
          <w:sz w:val="24"/>
          <w:szCs w:val="24"/>
          <w:lang w:eastAsia="en-US"/>
        </w:rPr>
        <w:t xml:space="preserve">tais </w:t>
      </w:r>
      <w:r w:rsidRPr="006D7A8C">
        <w:rPr>
          <w:rFonts w:ascii="Times New Roman" w:eastAsiaTheme="minorHAnsi" w:hAnsi="Times New Roman" w:cs="Times New Roman"/>
          <w:sz w:val="24"/>
          <w:szCs w:val="24"/>
          <w:lang w:eastAsia="en-US"/>
        </w:rPr>
        <w:t>como</w:t>
      </w:r>
      <w:r w:rsidR="007F3DB7" w:rsidRPr="006D7A8C">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w:t>
      </w:r>
      <w:r w:rsidR="007F3DB7" w:rsidRPr="006D7A8C">
        <w:rPr>
          <w:rFonts w:ascii="Times New Roman" w:eastAsiaTheme="minorHAnsi" w:hAnsi="Times New Roman" w:cs="Times New Roman"/>
          <w:sz w:val="24"/>
          <w:szCs w:val="24"/>
          <w:lang w:eastAsia="en-US"/>
        </w:rPr>
        <w:t>o grau de concorrência existente no setor</w:t>
      </w:r>
      <w:r w:rsidR="00D349FA" w:rsidRPr="006D7A8C">
        <w:rPr>
          <w:rFonts w:ascii="Times New Roman" w:eastAsiaTheme="minorHAnsi" w:hAnsi="Times New Roman" w:cs="Times New Roman"/>
          <w:sz w:val="24"/>
          <w:szCs w:val="24"/>
          <w:lang w:eastAsia="en-US"/>
        </w:rPr>
        <w:t>,</w:t>
      </w:r>
      <w:r w:rsidR="007F3DB7" w:rsidRPr="006D7A8C">
        <w:rPr>
          <w:rFonts w:ascii="Times New Roman" w:eastAsiaTheme="minorHAnsi" w:hAnsi="Times New Roman" w:cs="Times New Roman"/>
          <w:sz w:val="24"/>
          <w:szCs w:val="24"/>
          <w:lang w:eastAsia="en-US"/>
        </w:rPr>
        <w:t xml:space="preserve"> a forma de organização e de relação d</w:t>
      </w:r>
      <w:r w:rsidRPr="006D7A8C">
        <w:rPr>
          <w:rFonts w:ascii="Times New Roman" w:eastAsiaTheme="minorHAnsi" w:hAnsi="Times New Roman" w:cs="Times New Roman"/>
          <w:sz w:val="24"/>
          <w:szCs w:val="24"/>
          <w:lang w:eastAsia="en-US"/>
        </w:rPr>
        <w:t>as empresas</w:t>
      </w:r>
      <w:r w:rsidR="00D349FA" w:rsidRPr="006D7A8C">
        <w:rPr>
          <w:rFonts w:ascii="Times New Roman" w:eastAsiaTheme="minorHAnsi" w:hAnsi="Times New Roman" w:cs="Times New Roman"/>
          <w:sz w:val="24"/>
          <w:szCs w:val="24"/>
          <w:lang w:eastAsia="en-US"/>
        </w:rPr>
        <w:t>,</w:t>
      </w:r>
      <w:r w:rsidR="007F3DB7" w:rsidRPr="006D7A8C">
        <w:rPr>
          <w:rFonts w:ascii="Times New Roman" w:eastAsiaTheme="minorHAnsi" w:hAnsi="Times New Roman" w:cs="Times New Roman"/>
          <w:sz w:val="24"/>
          <w:szCs w:val="24"/>
          <w:lang w:eastAsia="en-US"/>
        </w:rPr>
        <w:t xml:space="preserve"> como as empresas procuram </w:t>
      </w:r>
      <w:r w:rsidRPr="006D7A8C">
        <w:rPr>
          <w:rFonts w:ascii="Times New Roman" w:eastAsiaTheme="minorHAnsi" w:hAnsi="Times New Roman" w:cs="Times New Roman"/>
          <w:sz w:val="24"/>
          <w:szCs w:val="24"/>
          <w:lang w:eastAsia="en-US"/>
        </w:rPr>
        <w:t>diferencia</w:t>
      </w:r>
      <w:r w:rsidR="007F3DB7" w:rsidRPr="006D7A8C">
        <w:rPr>
          <w:rFonts w:ascii="Times New Roman" w:eastAsiaTheme="minorHAnsi" w:hAnsi="Times New Roman" w:cs="Times New Roman"/>
          <w:sz w:val="24"/>
          <w:szCs w:val="24"/>
          <w:lang w:eastAsia="en-US"/>
        </w:rPr>
        <w:t>r</w:t>
      </w:r>
      <w:r w:rsidRPr="006D7A8C">
        <w:rPr>
          <w:rFonts w:ascii="Times New Roman" w:eastAsiaTheme="minorHAnsi" w:hAnsi="Times New Roman" w:cs="Times New Roman"/>
          <w:sz w:val="24"/>
          <w:szCs w:val="24"/>
          <w:lang w:eastAsia="en-US"/>
        </w:rPr>
        <w:t xml:space="preserve"> seus produtos uma</w:t>
      </w:r>
      <w:r w:rsidR="007F3DB7" w:rsidRPr="006D7A8C">
        <w:rPr>
          <w:rFonts w:ascii="Times New Roman" w:eastAsiaTheme="minorHAnsi" w:hAnsi="Times New Roman" w:cs="Times New Roman"/>
          <w:sz w:val="24"/>
          <w:szCs w:val="24"/>
          <w:lang w:eastAsia="en-US"/>
        </w:rPr>
        <w:t>s</w:t>
      </w:r>
      <w:r w:rsidRPr="006D7A8C">
        <w:rPr>
          <w:rFonts w:ascii="Times New Roman" w:eastAsiaTheme="minorHAnsi" w:hAnsi="Times New Roman" w:cs="Times New Roman"/>
          <w:sz w:val="24"/>
          <w:szCs w:val="24"/>
          <w:lang w:eastAsia="en-US"/>
        </w:rPr>
        <w:t xml:space="preserve"> das outras</w:t>
      </w:r>
      <w:r w:rsidR="005C230C" w:rsidRPr="006D7A8C">
        <w:rPr>
          <w:rFonts w:ascii="Times New Roman" w:eastAsiaTheme="minorHAnsi" w:hAnsi="Times New Roman" w:cs="Times New Roman"/>
          <w:sz w:val="24"/>
          <w:szCs w:val="24"/>
          <w:lang w:eastAsia="en-US"/>
        </w:rPr>
        <w:t xml:space="preserve"> etc</w:t>
      </w:r>
      <w:r w:rsidRPr="006D7A8C">
        <w:rPr>
          <w:rFonts w:ascii="Times New Roman" w:eastAsiaTheme="minorHAnsi" w:hAnsi="Times New Roman" w:cs="Times New Roman"/>
          <w:sz w:val="24"/>
          <w:szCs w:val="24"/>
          <w:lang w:eastAsia="en-US"/>
        </w:rPr>
        <w:t xml:space="preserve">. </w:t>
      </w:r>
      <w:r w:rsidR="005C230C" w:rsidRPr="006D7A8C">
        <w:rPr>
          <w:rFonts w:ascii="Times New Roman" w:eastAsiaTheme="minorHAnsi" w:hAnsi="Times New Roman" w:cs="Times New Roman"/>
          <w:sz w:val="24"/>
          <w:szCs w:val="24"/>
          <w:lang w:eastAsia="en-US"/>
        </w:rPr>
        <w:t>(CARLTON; PERLOFF, 1994).</w:t>
      </w:r>
    </w:p>
    <w:p w14:paraId="368B6CAA" w14:textId="4A6C99D3"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Para </w:t>
      </w:r>
      <w:proofErr w:type="spellStart"/>
      <w:r w:rsidRPr="006D7A8C">
        <w:rPr>
          <w:rFonts w:ascii="Times New Roman" w:eastAsiaTheme="minorHAnsi" w:hAnsi="Times New Roman" w:cs="Times New Roman"/>
          <w:sz w:val="24"/>
          <w:szCs w:val="24"/>
          <w:lang w:eastAsia="en-US"/>
        </w:rPr>
        <w:t>Bain</w:t>
      </w:r>
      <w:proofErr w:type="spellEnd"/>
      <w:r w:rsidRPr="006D7A8C">
        <w:rPr>
          <w:rFonts w:ascii="Times New Roman" w:eastAsiaTheme="minorHAnsi" w:hAnsi="Times New Roman" w:cs="Times New Roman"/>
          <w:sz w:val="24"/>
          <w:szCs w:val="24"/>
          <w:lang w:eastAsia="en-US"/>
        </w:rPr>
        <w:t xml:space="preserve"> </w:t>
      </w:r>
      <w:r w:rsidR="00D349FA" w:rsidRPr="006D7A8C">
        <w:rPr>
          <w:rFonts w:ascii="Times New Roman" w:eastAsiaTheme="minorHAnsi" w:hAnsi="Times New Roman" w:cs="Times New Roman"/>
          <w:sz w:val="24"/>
          <w:szCs w:val="24"/>
          <w:lang w:eastAsia="en-US"/>
        </w:rPr>
        <w:t xml:space="preserve">(1956 </w:t>
      </w:r>
      <w:r w:rsidR="00D349FA" w:rsidRPr="006D7A8C">
        <w:rPr>
          <w:rFonts w:ascii="Times New Roman" w:eastAsiaTheme="minorHAnsi" w:hAnsi="Times New Roman" w:cs="Times New Roman"/>
          <w:i/>
          <w:sz w:val="24"/>
          <w:szCs w:val="24"/>
          <w:lang w:eastAsia="en-US"/>
        </w:rPr>
        <w:t>apud</w:t>
      </w:r>
      <w:r w:rsidR="00D349FA" w:rsidRPr="006D7A8C">
        <w:rPr>
          <w:rFonts w:ascii="Times New Roman" w:eastAsiaTheme="minorHAnsi" w:hAnsi="Times New Roman" w:cs="Times New Roman"/>
          <w:sz w:val="24"/>
          <w:szCs w:val="24"/>
          <w:lang w:eastAsia="en-US"/>
        </w:rPr>
        <w:t xml:space="preserve"> FAGUNDES; PONDE, 199</w:t>
      </w:r>
      <w:r w:rsidR="001615DE" w:rsidRPr="006D7A8C">
        <w:rPr>
          <w:rFonts w:ascii="Times New Roman" w:eastAsiaTheme="minorHAnsi" w:hAnsi="Times New Roman" w:cs="Times New Roman"/>
          <w:sz w:val="24"/>
          <w:szCs w:val="24"/>
          <w:lang w:eastAsia="en-US"/>
        </w:rPr>
        <w:t>8</w:t>
      </w:r>
      <w:r w:rsidR="00D349FA" w:rsidRPr="006D7A8C">
        <w:rPr>
          <w:rFonts w:ascii="Times New Roman" w:eastAsiaTheme="minorHAnsi" w:hAnsi="Times New Roman" w:cs="Times New Roman"/>
          <w:sz w:val="24"/>
          <w:szCs w:val="24"/>
          <w:lang w:eastAsia="en-US"/>
        </w:rPr>
        <w:t>)</w:t>
      </w:r>
      <w:r w:rsidR="007F3DB7" w:rsidRPr="006D7A8C">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as características determinantes da estrutura de mercado são relativas e tendem a não sofrer alterações expressivas em curto espaço de tempo. Desta forma, a estrutura é relativamente estável no curto prazo, mas pode se modificar em períodos de longo prazo devido à dinâmica das relações industriais. </w:t>
      </w:r>
    </w:p>
    <w:p w14:paraId="3150C5CF" w14:textId="3C70CE7B" w:rsidR="007363EF" w:rsidRPr="006D7A8C" w:rsidRDefault="007363EF"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De acordo com </w:t>
      </w:r>
      <w:r w:rsidR="00AB0519" w:rsidRPr="006D7A8C">
        <w:rPr>
          <w:rFonts w:ascii="Times New Roman" w:eastAsiaTheme="minorHAnsi" w:hAnsi="Times New Roman" w:cs="Times New Roman"/>
          <w:sz w:val="24"/>
          <w:szCs w:val="24"/>
          <w:lang w:eastAsia="en-US"/>
        </w:rPr>
        <w:t>a</w:t>
      </w:r>
      <w:r w:rsidRPr="006D7A8C">
        <w:rPr>
          <w:rFonts w:ascii="Times New Roman" w:eastAsiaTheme="minorHAnsi" w:hAnsi="Times New Roman" w:cs="Times New Roman"/>
          <w:sz w:val="24"/>
          <w:szCs w:val="24"/>
          <w:lang w:eastAsia="en-US"/>
        </w:rPr>
        <w:t xml:space="preserve">s </w:t>
      </w:r>
      <w:r w:rsidR="00AB0519" w:rsidRPr="006D7A8C">
        <w:rPr>
          <w:rFonts w:ascii="Times New Roman" w:eastAsiaTheme="minorHAnsi" w:hAnsi="Times New Roman" w:cs="Times New Roman"/>
          <w:sz w:val="24"/>
          <w:szCs w:val="24"/>
          <w:lang w:eastAsia="en-US"/>
        </w:rPr>
        <w:t>teorias relacionada</w:t>
      </w:r>
      <w:r w:rsidRPr="006D7A8C">
        <w:rPr>
          <w:rFonts w:ascii="Times New Roman" w:eastAsiaTheme="minorHAnsi" w:hAnsi="Times New Roman" w:cs="Times New Roman"/>
          <w:sz w:val="24"/>
          <w:szCs w:val="24"/>
          <w:lang w:eastAsia="en-US"/>
        </w:rPr>
        <w:t>s à Barreira à Entrada de Novos Concorrentes (</w:t>
      </w:r>
      <w:r w:rsidR="0086365A" w:rsidRPr="006D7A8C">
        <w:rPr>
          <w:rFonts w:ascii="Times New Roman" w:eastAsiaTheme="minorHAnsi" w:hAnsi="Times New Roman" w:cs="Times New Roman"/>
          <w:sz w:val="24"/>
          <w:szCs w:val="24"/>
          <w:lang w:eastAsia="en-US"/>
        </w:rPr>
        <w:t>FAGUNDES</w:t>
      </w:r>
      <w:r w:rsidR="00E25DF3" w:rsidRPr="006D7A8C">
        <w:rPr>
          <w:rFonts w:ascii="Times New Roman" w:eastAsiaTheme="minorHAnsi" w:hAnsi="Times New Roman" w:cs="Times New Roman"/>
          <w:sz w:val="24"/>
          <w:szCs w:val="24"/>
          <w:lang w:eastAsia="en-US"/>
        </w:rPr>
        <w:t>; PONDE</w:t>
      </w:r>
      <w:r w:rsidR="0086365A" w:rsidRPr="006D7A8C">
        <w:rPr>
          <w:rFonts w:ascii="Times New Roman" w:eastAsiaTheme="minorHAnsi" w:hAnsi="Times New Roman" w:cs="Times New Roman"/>
          <w:sz w:val="24"/>
          <w:szCs w:val="24"/>
          <w:lang w:eastAsia="en-US"/>
        </w:rPr>
        <w:t>, 199</w:t>
      </w:r>
      <w:r w:rsidR="001615DE" w:rsidRPr="006D7A8C">
        <w:rPr>
          <w:rFonts w:ascii="Times New Roman" w:eastAsiaTheme="minorHAnsi" w:hAnsi="Times New Roman" w:cs="Times New Roman"/>
          <w:sz w:val="24"/>
          <w:szCs w:val="24"/>
          <w:lang w:eastAsia="en-US"/>
        </w:rPr>
        <w:t>8</w:t>
      </w:r>
      <w:r w:rsidRPr="006D7A8C">
        <w:rPr>
          <w:rFonts w:ascii="Times New Roman" w:eastAsiaTheme="minorHAnsi" w:hAnsi="Times New Roman" w:cs="Times New Roman"/>
          <w:sz w:val="24"/>
          <w:szCs w:val="24"/>
          <w:lang w:eastAsia="en-US"/>
        </w:rPr>
        <w:t xml:space="preserve">), </w:t>
      </w:r>
      <w:r w:rsidR="00AB0519" w:rsidRPr="006D7A8C">
        <w:rPr>
          <w:rFonts w:ascii="Times New Roman" w:eastAsiaTheme="minorHAnsi" w:hAnsi="Times New Roman" w:cs="Times New Roman"/>
          <w:sz w:val="24"/>
          <w:szCs w:val="24"/>
          <w:lang w:eastAsia="en-US"/>
        </w:rPr>
        <w:t xml:space="preserve">com destaque para o </w:t>
      </w:r>
      <w:r w:rsidR="00B029EC">
        <w:rPr>
          <w:rFonts w:ascii="Times New Roman" w:eastAsiaTheme="minorHAnsi" w:hAnsi="Times New Roman" w:cs="Times New Roman"/>
          <w:sz w:val="24"/>
          <w:szCs w:val="24"/>
          <w:lang w:eastAsia="en-US"/>
        </w:rPr>
        <w:t>paradigma</w:t>
      </w:r>
      <w:r w:rsidR="00AB0519" w:rsidRPr="006D7A8C">
        <w:rPr>
          <w:rFonts w:ascii="Times New Roman" w:eastAsiaTheme="minorHAnsi" w:hAnsi="Times New Roman" w:cs="Times New Roman"/>
          <w:sz w:val="24"/>
          <w:szCs w:val="24"/>
          <w:lang w:eastAsia="en-US"/>
        </w:rPr>
        <w:t xml:space="preserve"> Preço Limite, </w:t>
      </w:r>
      <w:r w:rsidRPr="006D7A8C">
        <w:rPr>
          <w:rFonts w:ascii="Times New Roman" w:eastAsiaTheme="minorHAnsi" w:hAnsi="Times New Roman" w:cs="Times New Roman"/>
          <w:sz w:val="24"/>
          <w:szCs w:val="24"/>
          <w:lang w:eastAsia="en-US"/>
        </w:rPr>
        <w:t xml:space="preserve">uma estrutura de mercado deve ser avaliada </w:t>
      </w:r>
      <w:r w:rsidR="00D349FA" w:rsidRPr="006D7A8C">
        <w:rPr>
          <w:rFonts w:ascii="Times New Roman" w:eastAsiaTheme="minorHAnsi" w:hAnsi="Times New Roman" w:cs="Times New Roman"/>
          <w:sz w:val="24"/>
          <w:szCs w:val="24"/>
          <w:lang w:eastAsia="en-US"/>
        </w:rPr>
        <w:t xml:space="preserve">tanto pela </w:t>
      </w:r>
      <w:r w:rsidRPr="006D7A8C">
        <w:rPr>
          <w:rFonts w:ascii="Times New Roman" w:eastAsiaTheme="minorHAnsi" w:hAnsi="Times New Roman" w:cs="Times New Roman"/>
          <w:sz w:val="24"/>
          <w:szCs w:val="24"/>
          <w:lang w:eastAsia="en-US"/>
        </w:rPr>
        <w:t xml:space="preserve">atuação das empresas já estabelecidas </w:t>
      </w:r>
      <w:r w:rsidR="00D349FA" w:rsidRPr="006D7A8C">
        <w:rPr>
          <w:rFonts w:ascii="Times New Roman" w:eastAsiaTheme="minorHAnsi" w:hAnsi="Times New Roman" w:cs="Times New Roman"/>
          <w:sz w:val="24"/>
          <w:szCs w:val="24"/>
          <w:lang w:eastAsia="en-US"/>
        </w:rPr>
        <w:t>quanto pel</w:t>
      </w:r>
      <w:r w:rsidRPr="006D7A8C">
        <w:rPr>
          <w:rFonts w:ascii="Times New Roman" w:eastAsiaTheme="minorHAnsi" w:hAnsi="Times New Roman" w:cs="Times New Roman"/>
          <w:sz w:val="24"/>
          <w:szCs w:val="24"/>
          <w:lang w:eastAsia="en-US"/>
        </w:rPr>
        <w:t>os potenciais concorrentes. A rivalidade entre concorrentes já existente</w:t>
      </w:r>
      <w:r w:rsidR="009F548A" w:rsidRPr="006D7A8C">
        <w:rPr>
          <w:rFonts w:ascii="Times New Roman" w:eastAsiaTheme="minorHAnsi" w:hAnsi="Times New Roman" w:cs="Times New Roman"/>
          <w:sz w:val="24"/>
          <w:szCs w:val="24"/>
          <w:lang w:eastAsia="en-US"/>
        </w:rPr>
        <w:t>s</w:t>
      </w:r>
      <w:r w:rsidRPr="006D7A8C">
        <w:rPr>
          <w:rFonts w:ascii="Times New Roman" w:eastAsiaTheme="minorHAnsi" w:hAnsi="Times New Roman" w:cs="Times New Roman"/>
          <w:sz w:val="24"/>
          <w:szCs w:val="24"/>
          <w:lang w:eastAsia="en-US"/>
        </w:rPr>
        <w:t xml:space="preserve"> em uma indústria </w:t>
      </w:r>
      <w:r w:rsidR="00AB0519" w:rsidRPr="006D7A8C">
        <w:rPr>
          <w:rFonts w:ascii="Times New Roman" w:eastAsiaTheme="minorHAnsi" w:hAnsi="Times New Roman" w:cs="Times New Roman"/>
          <w:sz w:val="24"/>
          <w:szCs w:val="24"/>
          <w:lang w:eastAsia="en-US"/>
        </w:rPr>
        <w:t xml:space="preserve">está condicionada à diversos </w:t>
      </w:r>
      <w:r w:rsidRPr="006D7A8C">
        <w:rPr>
          <w:rFonts w:ascii="Times New Roman" w:eastAsiaTheme="minorHAnsi" w:hAnsi="Times New Roman" w:cs="Times New Roman"/>
          <w:sz w:val="24"/>
          <w:szCs w:val="24"/>
          <w:lang w:eastAsia="en-US"/>
        </w:rPr>
        <w:t>fatores</w:t>
      </w:r>
      <w:r w:rsidR="00AB0519" w:rsidRPr="006D7A8C">
        <w:rPr>
          <w:rFonts w:ascii="Times New Roman" w:eastAsiaTheme="minorHAnsi" w:hAnsi="Times New Roman" w:cs="Times New Roman"/>
          <w:sz w:val="24"/>
          <w:szCs w:val="24"/>
          <w:lang w:eastAsia="en-US"/>
        </w:rPr>
        <w:t>, com destaque para o grau de concentração, que permite condutas diversas para manter ou elevar vantagens das maiores empresas em relação ao mercado.</w:t>
      </w:r>
    </w:p>
    <w:p w14:paraId="7152B22D" w14:textId="560EF365" w:rsidR="00AB0519" w:rsidRPr="006D7A8C" w:rsidRDefault="00AB0519"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Por outro lado, a concorrência pode ser afetada </w:t>
      </w:r>
      <w:r w:rsidR="0050351E" w:rsidRPr="006D7A8C">
        <w:rPr>
          <w:rFonts w:ascii="Times New Roman" w:eastAsiaTheme="minorHAnsi" w:hAnsi="Times New Roman" w:cs="Times New Roman"/>
          <w:sz w:val="24"/>
          <w:szCs w:val="24"/>
          <w:lang w:eastAsia="en-US"/>
        </w:rPr>
        <w:t>pelos potenciais entrantes</w:t>
      </w:r>
      <w:r w:rsidRPr="006D7A8C">
        <w:rPr>
          <w:rFonts w:ascii="Times New Roman" w:eastAsiaTheme="minorHAnsi" w:hAnsi="Times New Roman" w:cs="Times New Roman"/>
          <w:sz w:val="24"/>
          <w:szCs w:val="24"/>
          <w:lang w:eastAsia="en-US"/>
        </w:rPr>
        <w:t xml:space="preserve">, que representam ameaças constantes para as empresas já estabelecidas </w:t>
      </w:r>
      <w:r w:rsidR="009F548A" w:rsidRPr="006D7A8C">
        <w:rPr>
          <w:rFonts w:ascii="Times New Roman" w:eastAsiaTheme="minorHAnsi" w:hAnsi="Times New Roman" w:cs="Times New Roman"/>
          <w:sz w:val="24"/>
          <w:szCs w:val="24"/>
          <w:lang w:eastAsia="en-US"/>
        </w:rPr>
        <w:t>n</w:t>
      </w:r>
      <w:r w:rsidRPr="006D7A8C">
        <w:rPr>
          <w:rFonts w:ascii="Times New Roman" w:eastAsiaTheme="minorHAnsi" w:hAnsi="Times New Roman" w:cs="Times New Roman"/>
          <w:sz w:val="24"/>
          <w:szCs w:val="24"/>
          <w:lang w:eastAsia="en-US"/>
        </w:rPr>
        <w:t xml:space="preserve">um setor, pois trazem capacidade adicional de produção, desejo de conquista de </w:t>
      </w:r>
      <w:proofErr w:type="spellStart"/>
      <w:r w:rsidRPr="006D7A8C">
        <w:rPr>
          <w:rFonts w:ascii="Times New Roman" w:eastAsiaTheme="minorHAnsi" w:hAnsi="Times New Roman" w:cs="Times New Roman"/>
          <w:i/>
          <w:sz w:val="24"/>
          <w:szCs w:val="24"/>
          <w:lang w:eastAsia="en-US"/>
        </w:rPr>
        <w:t>market</w:t>
      </w:r>
      <w:proofErr w:type="spellEnd"/>
      <w:r w:rsidRPr="006D7A8C">
        <w:rPr>
          <w:rFonts w:ascii="Times New Roman" w:eastAsiaTheme="minorHAnsi" w:hAnsi="Times New Roman" w:cs="Times New Roman"/>
          <w:i/>
          <w:sz w:val="24"/>
          <w:szCs w:val="24"/>
          <w:lang w:eastAsia="en-US"/>
        </w:rPr>
        <w:t xml:space="preserve"> </w:t>
      </w:r>
      <w:proofErr w:type="spellStart"/>
      <w:r w:rsidRPr="006D7A8C">
        <w:rPr>
          <w:rFonts w:ascii="Times New Roman" w:eastAsiaTheme="minorHAnsi" w:hAnsi="Times New Roman" w:cs="Times New Roman"/>
          <w:i/>
          <w:sz w:val="24"/>
          <w:szCs w:val="24"/>
          <w:lang w:eastAsia="en-US"/>
        </w:rPr>
        <w:t>share</w:t>
      </w:r>
      <w:proofErr w:type="spellEnd"/>
      <w:r w:rsidRPr="006D7A8C">
        <w:rPr>
          <w:rFonts w:ascii="Times New Roman" w:eastAsiaTheme="minorHAnsi" w:hAnsi="Times New Roman" w:cs="Times New Roman"/>
          <w:sz w:val="24"/>
          <w:szCs w:val="24"/>
          <w:lang w:eastAsia="en-US"/>
        </w:rPr>
        <w:t xml:space="preserve"> e, frequentemente, recursos para investimento. </w:t>
      </w:r>
      <w:r w:rsidR="0050351E" w:rsidRPr="006D7A8C">
        <w:rPr>
          <w:rFonts w:ascii="Times New Roman" w:eastAsiaTheme="minorHAnsi" w:hAnsi="Times New Roman" w:cs="Times New Roman"/>
          <w:sz w:val="24"/>
          <w:szCs w:val="24"/>
          <w:lang w:eastAsia="en-US"/>
        </w:rPr>
        <w:t>Vale ressaltar que a</w:t>
      </w:r>
      <w:r w:rsidRPr="006D7A8C">
        <w:rPr>
          <w:rFonts w:ascii="Times New Roman" w:eastAsiaTheme="minorHAnsi" w:hAnsi="Times New Roman" w:cs="Times New Roman"/>
          <w:sz w:val="24"/>
          <w:szCs w:val="24"/>
          <w:lang w:eastAsia="en-US"/>
        </w:rPr>
        <w:t xml:space="preserve"> intensidade da ameaça </w:t>
      </w:r>
      <w:r w:rsidR="0050351E" w:rsidRPr="006D7A8C">
        <w:rPr>
          <w:rFonts w:ascii="Times New Roman" w:eastAsiaTheme="minorHAnsi" w:hAnsi="Times New Roman" w:cs="Times New Roman"/>
          <w:sz w:val="24"/>
          <w:szCs w:val="24"/>
          <w:lang w:eastAsia="en-US"/>
        </w:rPr>
        <w:t xml:space="preserve">de empresas </w:t>
      </w:r>
      <w:r w:rsidRPr="006D7A8C">
        <w:rPr>
          <w:rFonts w:ascii="Times New Roman" w:eastAsiaTheme="minorHAnsi" w:hAnsi="Times New Roman" w:cs="Times New Roman"/>
          <w:sz w:val="24"/>
          <w:szCs w:val="24"/>
          <w:lang w:eastAsia="en-US"/>
        </w:rPr>
        <w:t xml:space="preserve">entrantes </w:t>
      </w:r>
      <w:r w:rsidR="0050351E" w:rsidRPr="006D7A8C">
        <w:rPr>
          <w:rFonts w:ascii="Times New Roman" w:eastAsiaTheme="minorHAnsi" w:hAnsi="Times New Roman" w:cs="Times New Roman"/>
          <w:sz w:val="24"/>
          <w:szCs w:val="24"/>
          <w:lang w:eastAsia="en-US"/>
        </w:rPr>
        <w:t xml:space="preserve">geralmente está </w:t>
      </w:r>
      <w:r w:rsidRPr="006D7A8C">
        <w:rPr>
          <w:rFonts w:ascii="Times New Roman" w:eastAsiaTheme="minorHAnsi" w:hAnsi="Times New Roman" w:cs="Times New Roman"/>
          <w:sz w:val="24"/>
          <w:szCs w:val="24"/>
          <w:lang w:eastAsia="en-US"/>
        </w:rPr>
        <w:t xml:space="preserve">inversamente </w:t>
      </w:r>
      <w:r w:rsidR="0050351E" w:rsidRPr="006D7A8C">
        <w:rPr>
          <w:rFonts w:ascii="Times New Roman" w:eastAsiaTheme="minorHAnsi" w:hAnsi="Times New Roman" w:cs="Times New Roman"/>
          <w:sz w:val="24"/>
          <w:szCs w:val="24"/>
          <w:lang w:eastAsia="en-US"/>
        </w:rPr>
        <w:t xml:space="preserve">relacionada às </w:t>
      </w:r>
      <w:r w:rsidRPr="006D7A8C">
        <w:rPr>
          <w:rFonts w:ascii="Times New Roman" w:eastAsiaTheme="minorHAnsi" w:hAnsi="Times New Roman" w:cs="Times New Roman"/>
          <w:sz w:val="24"/>
          <w:szCs w:val="24"/>
          <w:lang w:eastAsia="en-US"/>
        </w:rPr>
        <w:t>barreiras existentes e à reatividade d</w:t>
      </w:r>
      <w:r w:rsidR="0050351E" w:rsidRPr="006D7A8C">
        <w:rPr>
          <w:rFonts w:ascii="Times New Roman" w:eastAsiaTheme="minorHAnsi" w:hAnsi="Times New Roman" w:cs="Times New Roman"/>
          <w:sz w:val="24"/>
          <w:szCs w:val="24"/>
          <w:lang w:eastAsia="en-US"/>
        </w:rPr>
        <w:t>as empresas já estabelecidas no setor</w:t>
      </w:r>
      <w:r w:rsidRPr="006D7A8C">
        <w:rPr>
          <w:rFonts w:ascii="Times New Roman" w:eastAsiaTheme="minorHAnsi" w:hAnsi="Times New Roman" w:cs="Times New Roman"/>
          <w:sz w:val="24"/>
          <w:szCs w:val="24"/>
          <w:lang w:eastAsia="en-US"/>
        </w:rPr>
        <w:t>.</w:t>
      </w:r>
    </w:p>
    <w:p w14:paraId="7F92A6DF" w14:textId="0A2BDCF7" w:rsidR="007F3DB7" w:rsidRPr="006D7A8C" w:rsidRDefault="0050351E"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Uma vez discutido brevemente o elemento Estrutura, segue-se com a introdução do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ECD a partir da conceituação d</w:t>
      </w:r>
      <w:r w:rsidR="00B32F08" w:rsidRPr="006D7A8C">
        <w:rPr>
          <w:rFonts w:ascii="Times New Roman" w:eastAsiaTheme="minorHAnsi" w:hAnsi="Times New Roman" w:cs="Times New Roman"/>
          <w:sz w:val="24"/>
          <w:szCs w:val="24"/>
          <w:lang w:eastAsia="en-US"/>
        </w:rPr>
        <w:t>a conduta</w:t>
      </w:r>
      <w:r w:rsidRPr="006D7A8C">
        <w:rPr>
          <w:rFonts w:ascii="Times New Roman" w:eastAsiaTheme="minorHAnsi" w:hAnsi="Times New Roman" w:cs="Times New Roman"/>
          <w:sz w:val="24"/>
          <w:szCs w:val="24"/>
          <w:lang w:eastAsia="en-US"/>
        </w:rPr>
        <w:t xml:space="preserve">, que são as </w:t>
      </w:r>
      <w:r w:rsidR="00B32F08" w:rsidRPr="006D7A8C">
        <w:rPr>
          <w:rFonts w:ascii="Times New Roman" w:eastAsiaTheme="minorHAnsi" w:hAnsi="Times New Roman" w:cs="Times New Roman"/>
          <w:sz w:val="24"/>
          <w:szCs w:val="24"/>
          <w:lang w:eastAsia="en-US"/>
        </w:rPr>
        <w:t xml:space="preserve">ações </w:t>
      </w:r>
      <w:r w:rsidR="007F3DB7" w:rsidRPr="006D7A8C">
        <w:rPr>
          <w:rFonts w:ascii="Times New Roman" w:eastAsiaTheme="minorHAnsi" w:hAnsi="Times New Roman" w:cs="Times New Roman"/>
          <w:sz w:val="24"/>
          <w:szCs w:val="24"/>
          <w:lang w:eastAsia="en-US"/>
        </w:rPr>
        <w:t xml:space="preserve">adotadas pelas empresas para operar no </w:t>
      </w:r>
      <w:r w:rsidRPr="006D7A8C">
        <w:rPr>
          <w:rFonts w:ascii="Times New Roman" w:eastAsiaTheme="minorHAnsi" w:hAnsi="Times New Roman" w:cs="Times New Roman"/>
          <w:sz w:val="24"/>
          <w:szCs w:val="24"/>
          <w:lang w:eastAsia="en-US"/>
        </w:rPr>
        <w:t>setor</w:t>
      </w:r>
      <w:r w:rsidR="00B32F08" w:rsidRPr="006D7A8C">
        <w:rPr>
          <w:rFonts w:ascii="Times New Roman" w:eastAsiaTheme="minorHAnsi" w:hAnsi="Times New Roman" w:cs="Times New Roman"/>
          <w:sz w:val="24"/>
          <w:szCs w:val="24"/>
          <w:lang w:eastAsia="en-US"/>
        </w:rPr>
        <w:t xml:space="preserve">, razão pela qual pode ser tratada como sinônimo de estratégia competitiva. Trata-se do processo de escolha entre diferentes alternativas de decisão quanto a variáveis que estão sob controle da empresa. </w:t>
      </w:r>
    </w:p>
    <w:p w14:paraId="3818A762" w14:textId="67D72F96"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De acordo com </w:t>
      </w:r>
      <w:proofErr w:type="spellStart"/>
      <w:r w:rsidRPr="006D7A8C">
        <w:rPr>
          <w:rFonts w:ascii="Times New Roman" w:eastAsiaTheme="minorHAnsi" w:hAnsi="Times New Roman" w:cs="Times New Roman"/>
          <w:sz w:val="24"/>
          <w:szCs w:val="24"/>
          <w:lang w:eastAsia="en-US"/>
        </w:rPr>
        <w:t>Kupfer</w:t>
      </w:r>
      <w:proofErr w:type="spellEnd"/>
      <w:r w:rsidRPr="006D7A8C">
        <w:rPr>
          <w:rFonts w:ascii="Times New Roman" w:eastAsiaTheme="minorHAnsi" w:hAnsi="Times New Roman" w:cs="Times New Roman"/>
          <w:sz w:val="24"/>
          <w:szCs w:val="24"/>
          <w:lang w:eastAsia="en-US"/>
        </w:rPr>
        <w:t xml:space="preserve"> (1992), a </w:t>
      </w:r>
      <w:r w:rsidR="0064723A">
        <w:rPr>
          <w:rFonts w:ascii="Times New Roman" w:eastAsiaTheme="minorHAnsi" w:hAnsi="Times New Roman" w:cs="Times New Roman"/>
          <w:sz w:val="24"/>
          <w:szCs w:val="24"/>
          <w:lang w:eastAsia="en-US"/>
        </w:rPr>
        <w:t xml:space="preserve">importância da </w:t>
      </w:r>
      <w:r w:rsidRPr="006D7A8C">
        <w:rPr>
          <w:rFonts w:ascii="Times New Roman" w:eastAsiaTheme="minorHAnsi" w:hAnsi="Times New Roman" w:cs="Times New Roman"/>
          <w:sz w:val="24"/>
          <w:szCs w:val="24"/>
          <w:lang w:eastAsia="en-US"/>
        </w:rPr>
        <w:t xml:space="preserve">conduta era </w:t>
      </w:r>
      <w:r w:rsidR="0064723A">
        <w:rPr>
          <w:rFonts w:ascii="Times New Roman" w:eastAsiaTheme="minorHAnsi" w:hAnsi="Times New Roman" w:cs="Times New Roman"/>
          <w:sz w:val="24"/>
          <w:szCs w:val="24"/>
          <w:lang w:eastAsia="en-US"/>
        </w:rPr>
        <w:t xml:space="preserve">minimizada </w:t>
      </w:r>
      <w:r w:rsidRPr="006D7A8C">
        <w:rPr>
          <w:rFonts w:ascii="Times New Roman" w:eastAsiaTheme="minorHAnsi" w:hAnsi="Times New Roman" w:cs="Times New Roman"/>
          <w:sz w:val="24"/>
          <w:szCs w:val="24"/>
          <w:lang w:eastAsia="en-US"/>
        </w:rPr>
        <w:t xml:space="preserve">nas primeiras versões do ECD, isso ocorria porque os elementos estruturais, </w:t>
      </w:r>
      <w:r w:rsidR="009F548A" w:rsidRPr="006D7A8C">
        <w:rPr>
          <w:rFonts w:ascii="Times New Roman" w:eastAsiaTheme="minorHAnsi" w:hAnsi="Times New Roman" w:cs="Times New Roman"/>
          <w:sz w:val="24"/>
          <w:szCs w:val="24"/>
          <w:lang w:eastAsia="en-US"/>
        </w:rPr>
        <w:t>sobretudo</w:t>
      </w:r>
      <w:r w:rsidRPr="006D7A8C">
        <w:rPr>
          <w:rFonts w:ascii="Times New Roman" w:eastAsiaTheme="minorHAnsi" w:hAnsi="Times New Roman" w:cs="Times New Roman"/>
          <w:sz w:val="24"/>
          <w:szCs w:val="24"/>
          <w:lang w:eastAsia="en-US"/>
        </w:rPr>
        <w:t xml:space="preserve"> a concentração </w:t>
      </w:r>
      <w:r w:rsidRPr="006D7A8C">
        <w:rPr>
          <w:rFonts w:ascii="Times New Roman" w:eastAsiaTheme="minorHAnsi" w:hAnsi="Times New Roman" w:cs="Times New Roman"/>
          <w:sz w:val="24"/>
          <w:szCs w:val="24"/>
          <w:lang w:eastAsia="en-US"/>
        </w:rPr>
        <w:lastRenderedPageBreak/>
        <w:t xml:space="preserve">de mercado, eram vistos como os principais responsáveis pelo desempenho. Contudo, as versões mais atuais </w:t>
      </w:r>
      <w:r w:rsidR="0064723A">
        <w:rPr>
          <w:rFonts w:ascii="Times New Roman" w:eastAsiaTheme="minorHAnsi" w:hAnsi="Times New Roman" w:cs="Times New Roman"/>
          <w:sz w:val="24"/>
          <w:szCs w:val="24"/>
          <w:lang w:eastAsia="en-US"/>
        </w:rPr>
        <w:t xml:space="preserve">enfatizam </w:t>
      </w:r>
      <w:r w:rsidRPr="006D7A8C">
        <w:rPr>
          <w:rFonts w:ascii="Times New Roman" w:eastAsiaTheme="minorHAnsi" w:hAnsi="Times New Roman" w:cs="Times New Roman"/>
          <w:sz w:val="24"/>
          <w:szCs w:val="24"/>
          <w:lang w:eastAsia="en-US"/>
        </w:rPr>
        <w:t>a importância da conduta, pois admitem que a mesma, além de influenciar no desempenho, pode alterar a própria estrutura industrial</w:t>
      </w:r>
      <w:r w:rsidR="00FB2466">
        <w:rPr>
          <w:rFonts w:ascii="Times New Roman" w:eastAsiaTheme="minorHAnsi" w:hAnsi="Times New Roman" w:cs="Times New Roman"/>
          <w:sz w:val="24"/>
          <w:szCs w:val="24"/>
          <w:lang w:eastAsia="en-US"/>
        </w:rPr>
        <w:t>, evidenciando a revisão do paradigma original que partia de uma análise cujo sentido das relações era unidirecional.</w:t>
      </w:r>
    </w:p>
    <w:p w14:paraId="24DA2382" w14:textId="45029336"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Sendo assim, é possível afirmar que as estratégias</w:t>
      </w:r>
      <w:r w:rsidR="007F3DB7" w:rsidRPr="006D7A8C">
        <w:rPr>
          <w:rFonts w:ascii="Times New Roman" w:eastAsiaTheme="minorHAnsi" w:hAnsi="Times New Roman" w:cs="Times New Roman"/>
          <w:sz w:val="24"/>
          <w:szCs w:val="24"/>
          <w:lang w:eastAsia="en-US"/>
        </w:rPr>
        <w:t xml:space="preserve"> empresariais</w:t>
      </w:r>
      <w:r w:rsidRPr="006D7A8C">
        <w:rPr>
          <w:rFonts w:ascii="Times New Roman" w:eastAsiaTheme="minorHAnsi" w:hAnsi="Times New Roman" w:cs="Times New Roman"/>
          <w:sz w:val="24"/>
          <w:szCs w:val="24"/>
          <w:lang w:eastAsia="en-US"/>
        </w:rPr>
        <w:t xml:space="preserve"> podem influenciar na maneira como ocorre a concorrência entre as empresas, indicando que as firmas possuem um papel ativo nas transformações ocorridas no ambiente concorrencial. Dependendo</w:t>
      </w:r>
      <w:r w:rsidR="00B57A19" w:rsidRPr="006D7A8C">
        <w:rPr>
          <w:rFonts w:ascii="Times New Roman" w:eastAsiaTheme="minorHAnsi" w:hAnsi="Times New Roman" w:cs="Times New Roman"/>
          <w:sz w:val="24"/>
          <w:szCs w:val="24"/>
          <w:lang w:eastAsia="en-US"/>
        </w:rPr>
        <w:t xml:space="preserve"> do contexto</w:t>
      </w:r>
      <w:r w:rsidRPr="006D7A8C">
        <w:rPr>
          <w:rFonts w:ascii="Times New Roman" w:eastAsiaTheme="minorHAnsi" w:hAnsi="Times New Roman" w:cs="Times New Roman"/>
          <w:sz w:val="24"/>
          <w:szCs w:val="24"/>
          <w:lang w:eastAsia="en-US"/>
        </w:rPr>
        <w:t xml:space="preserve">, as </w:t>
      </w:r>
      <w:r w:rsidR="007F3DB7" w:rsidRPr="006D7A8C">
        <w:rPr>
          <w:rFonts w:ascii="Times New Roman" w:eastAsiaTheme="minorHAnsi" w:hAnsi="Times New Roman" w:cs="Times New Roman"/>
          <w:sz w:val="24"/>
          <w:szCs w:val="24"/>
          <w:lang w:eastAsia="en-US"/>
        </w:rPr>
        <w:t xml:space="preserve">empresas </w:t>
      </w:r>
      <w:r w:rsidRPr="006D7A8C">
        <w:rPr>
          <w:rFonts w:ascii="Times New Roman" w:eastAsiaTheme="minorHAnsi" w:hAnsi="Times New Roman" w:cs="Times New Roman"/>
          <w:sz w:val="24"/>
          <w:szCs w:val="24"/>
          <w:lang w:eastAsia="en-US"/>
        </w:rPr>
        <w:t xml:space="preserve">podem ser responsáveis </w:t>
      </w:r>
      <w:r w:rsidR="00B57A19" w:rsidRPr="006D7A8C">
        <w:rPr>
          <w:rFonts w:ascii="Times New Roman" w:eastAsiaTheme="minorHAnsi" w:hAnsi="Times New Roman" w:cs="Times New Roman"/>
          <w:sz w:val="24"/>
          <w:szCs w:val="24"/>
          <w:lang w:eastAsia="en-US"/>
        </w:rPr>
        <w:t xml:space="preserve">até mesmo pelas </w:t>
      </w:r>
      <w:r w:rsidRPr="006D7A8C">
        <w:rPr>
          <w:rFonts w:ascii="Times New Roman" w:eastAsiaTheme="minorHAnsi" w:hAnsi="Times New Roman" w:cs="Times New Roman"/>
          <w:sz w:val="24"/>
          <w:szCs w:val="24"/>
          <w:lang w:eastAsia="en-US"/>
        </w:rPr>
        <w:t xml:space="preserve">alterações no padrão </w:t>
      </w:r>
      <w:r w:rsidR="00B57A19" w:rsidRPr="006D7A8C">
        <w:rPr>
          <w:rFonts w:ascii="Times New Roman" w:eastAsiaTheme="minorHAnsi" w:hAnsi="Times New Roman" w:cs="Times New Roman"/>
          <w:sz w:val="24"/>
          <w:szCs w:val="24"/>
          <w:lang w:eastAsia="en-US"/>
        </w:rPr>
        <w:t>concorre</w:t>
      </w:r>
      <w:r w:rsidRPr="006D7A8C">
        <w:rPr>
          <w:rFonts w:ascii="Times New Roman" w:eastAsiaTheme="minorHAnsi" w:hAnsi="Times New Roman" w:cs="Times New Roman"/>
          <w:sz w:val="24"/>
          <w:szCs w:val="24"/>
          <w:lang w:eastAsia="en-US"/>
        </w:rPr>
        <w:t>ncia</w:t>
      </w:r>
      <w:r w:rsidR="00B57A19" w:rsidRPr="006D7A8C">
        <w:rPr>
          <w:rFonts w:ascii="Times New Roman" w:eastAsiaTheme="minorHAnsi" w:hAnsi="Times New Roman" w:cs="Times New Roman"/>
          <w:sz w:val="24"/>
          <w:szCs w:val="24"/>
          <w:lang w:eastAsia="en-US"/>
        </w:rPr>
        <w:t>l</w:t>
      </w:r>
      <w:r w:rsidRPr="006D7A8C">
        <w:rPr>
          <w:rFonts w:ascii="Times New Roman" w:eastAsiaTheme="minorHAnsi" w:hAnsi="Times New Roman" w:cs="Times New Roman"/>
          <w:sz w:val="24"/>
          <w:szCs w:val="24"/>
          <w:lang w:eastAsia="en-US"/>
        </w:rPr>
        <w:t xml:space="preserve">, uma vez que ao invés de simplesmente se adaptarem ao mercado </w:t>
      </w:r>
      <w:r w:rsidR="00B57A19" w:rsidRPr="006D7A8C">
        <w:rPr>
          <w:rFonts w:ascii="Times New Roman" w:eastAsiaTheme="minorHAnsi" w:hAnsi="Times New Roman" w:cs="Times New Roman"/>
          <w:sz w:val="24"/>
          <w:szCs w:val="24"/>
          <w:lang w:eastAsia="en-US"/>
        </w:rPr>
        <w:t xml:space="preserve">em que </w:t>
      </w:r>
      <w:r w:rsidRPr="006D7A8C">
        <w:rPr>
          <w:rFonts w:ascii="Times New Roman" w:eastAsiaTheme="minorHAnsi" w:hAnsi="Times New Roman" w:cs="Times New Roman"/>
          <w:sz w:val="24"/>
          <w:szCs w:val="24"/>
          <w:lang w:eastAsia="en-US"/>
        </w:rPr>
        <w:t xml:space="preserve">operam, também podem estabelecer ações capazes de modificá-lo. </w:t>
      </w:r>
    </w:p>
    <w:p w14:paraId="5904AB4E" w14:textId="6D9E176C" w:rsidR="00B32F08" w:rsidRPr="006D7A8C" w:rsidRDefault="00B32F08" w:rsidP="0064723A">
      <w:pPr>
        <w:spacing w:before="120" w:after="120" w:line="240" w:lineRule="auto"/>
        <w:jc w:val="both"/>
        <w:rPr>
          <w:rFonts w:ascii="Times New Roman" w:hAnsi="Times New Roman" w:cs="Times New Roman"/>
          <w:sz w:val="24"/>
          <w:szCs w:val="24"/>
        </w:rPr>
      </w:pPr>
      <w:r w:rsidRPr="006D7A8C">
        <w:rPr>
          <w:rFonts w:ascii="Times New Roman" w:eastAsiaTheme="minorHAnsi" w:hAnsi="Times New Roman" w:cs="Times New Roman"/>
          <w:sz w:val="24"/>
          <w:szCs w:val="24"/>
          <w:lang w:eastAsia="en-US"/>
        </w:rPr>
        <w:t xml:space="preserve">Dessa forma, a atuação das empresas em </w:t>
      </w:r>
      <w:r w:rsidR="00B57A19" w:rsidRPr="006D7A8C">
        <w:rPr>
          <w:rFonts w:ascii="Times New Roman" w:eastAsiaTheme="minorHAnsi" w:hAnsi="Times New Roman" w:cs="Times New Roman"/>
          <w:sz w:val="24"/>
          <w:szCs w:val="24"/>
          <w:lang w:eastAsia="en-US"/>
        </w:rPr>
        <w:t xml:space="preserve">questões </w:t>
      </w:r>
      <w:r w:rsidRPr="006D7A8C">
        <w:rPr>
          <w:rFonts w:ascii="Times New Roman" w:eastAsiaTheme="minorHAnsi" w:hAnsi="Times New Roman" w:cs="Times New Roman"/>
          <w:sz w:val="24"/>
          <w:szCs w:val="24"/>
          <w:lang w:eastAsia="en-US"/>
        </w:rPr>
        <w:t xml:space="preserve">como sua relação com os preços cobrados, seus investimentos em pesquisas </w:t>
      </w:r>
      <w:r w:rsidR="00B57A19" w:rsidRPr="006D7A8C">
        <w:rPr>
          <w:rFonts w:ascii="Times New Roman" w:eastAsiaTheme="minorHAnsi" w:hAnsi="Times New Roman" w:cs="Times New Roman"/>
          <w:sz w:val="24"/>
          <w:szCs w:val="24"/>
          <w:lang w:eastAsia="en-US"/>
        </w:rPr>
        <w:t xml:space="preserve">e desenvolvimento (P&amp;D) </w:t>
      </w:r>
      <w:r w:rsidRPr="006D7A8C">
        <w:rPr>
          <w:rFonts w:ascii="Times New Roman" w:eastAsiaTheme="minorHAnsi" w:hAnsi="Times New Roman" w:cs="Times New Roman"/>
          <w:sz w:val="24"/>
          <w:szCs w:val="24"/>
          <w:lang w:eastAsia="en-US"/>
        </w:rPr>
        <w:t xml:space="preserve">ou até mesmo a diferenciação de seu produto dentro de uma mesma categoria tem como objetivo </w:t>
      </w:r>
      <w:r w:rsidR="00B57A19" w:rsidRPr="006D7A8C">
        <w:rPr>
          <w:rFonts w:ascii="Times New Roman" w:eastAsiaTheme="minorHAnsi" w:hAnsi="Times New Roman" w:cs="Times New Roman"/>
          <w:sz w:val="24"/>
          <w:szCs w:val="24"/>
          <w:lang w:eastAsia="en-US"/>
        </w:rPr>
        <w:t xml:space="preserve">principal elevar o seu </w:t>
      </w:r>
      <w:proofErr w:type="spellStart"/>
      <w:r w:rsidR="00B57A19" w:rsidRPr="006D7A8C">
        <w:rPr>
          <w:rFonts w:ascii="Times New Roman" w:eastAsiaTheme="minorHAnsi" w:hAnsi="Times New Roman" w:cs="Times New Roman"/>
          <w:i/>
          <w:sz w:val="24"/>
          <w:szCs w:val="24"/>
          <w:lang w:eastAsia="en-US"/>
        </w:rPr>
        <w:t>market</w:t>
      </w:r>
      <w:proofErr w:type="spellEnd"/>
      <w:r w:rsidR="00B57A19" w:rsidRPr="006D7A8C">
        <w:rPr>
          <w:rFonts w:ascii="Times New Roman" w:eastAsiaTheme="minorHAnsi" w:hAnsi="Times New Roman" w:cs="Times New Roman"/>
          <w:i/>
          <w:sz w:val="24"/>
          <w:szCs w:val="24"/>
          <w:lang w:eastAsia="en-US"/>
        </w:rPr>
        <w:t xml:space="preserve"> </w:t>
      </w:r>
      <w:proofErr w:type="spellStart"/>
      <w:r w:rsidR="00B57A19" w:rsidRPr="006D7A8C">
        <w:rPr>
          <w:rFonts w:ascii="Times New Roman" w:eastAsiaTheme="minorHAnsi" w:hAnsi="Times New Roman" w:cs="Times New Roman"/>
          <w:i/>
          <w:sz w:val="24"/>
          <w:szCs w:val="24"/>
          <w:lang w:eastAsia="en-US"/>
        </w:rPr>
        <w:t>share</w:t>
      </w:r>
      <w:proofErr w:type="spellEnd"/>
      <w:r w:rsidRPr="006D7A8C">
        <w:rPr>
          <w:rFonts w:ascii="Times New Roman" w:eastAsiaTheme="minorHAnsi" w:hAnsi="Times New Roman" w:cs="Times New Roman"/>
          <w:sz w:val="24"/>
          <w:szCs w:val="24"/>
          <w:lang w:eastAsia="en-US"/>
        </w:rPr>
        <w:t xml:space="preserve">. </w:t>
      </w:r>
      <w:r w:rsidRPr="006D7A8C">
        <w:rPr>
          <w:rFonts w:ascii="Times New Roman" w:hAnsi="Times New Roman" w:cs="Times New Roman"/>
          <w:sz w:val="24"/>
          <w:szCs w:val="24"/>
        </w:rPr>
        <w:t xml:space="preserve">Além </w:t>
      </w:r>
      <w:r w:rsidR="006E2193" w:rsidRPr="006D7A8C">
        <w:rPr>
          <w:rFonts w:ascii="Times New Roman" w:hAnsi="Times New Roman" w:cs="Times New Roman"/>
          <w:sz w:val="24"/>
          <w:szCs w:val="24"/>
        </w:rPr>
        <w:t>dessas</w:t>
      </w:r>
      <w:r w:rsidRPr="006D7A8C">
        <w:rPr>
          <w:rFonts w:ascii="Times New Roman" w:hAnsi="Times New Roman" w:cs="Times New Roman"/>
          <w:sz w:val="24"/>
          <w:szCs w:val="24"/>
        </w:rPr>
        <w:t xml:space="preserve">, </w:t>
      </w:r>
      <w:r w:rsidR="006E2193" w:rsidRPr="006D7A8C">
        <w:rPr>
          <w:rFonts w:ascii="Times New Roman" w:hAnsi="Times New Roman" w:cs="Times New Roman"/>
          <w:sz w:val="24"/>
          <w:szCs w:val="24"/>
        </w:rPr>
        <w:t xml:space="preserve">também são recorrentes </w:t>
      </w:r>
      <w:r w:rsidRPr="006D7A8C">
        <w:rPr>
          <w:rFonts w:ascii="Times New Roman" w:hAnsi="Times New Roman" w:cs="Times New Roman"/>
          <w:sz w:val="24"/>
          <w:szCs w:val="24"/>
        </w:rPr>
        <w:t xml:space="preserve">outras </w:t>
      </w:r>
      <w:r w:rsidR="006E2193" w:rsidRPr="006D7A8C">
        <w:rPr>
          <w:rFonts w:ascii="Times New Roman" w:hAnsi="Times New Roman" w:cs="Times New Roman"/>
          <w:sz w:val="24"/>
          <w:szCs w:val="24"/>
        </w:rPr>
        <w:t xml:space="preserve">decisões empresariais, tais como </w:t>
      </w:r>
      <w:r w:rsidRPr="006D7A8C">
        <w:rPr>
          <w:rFonts w:ascii="Times New Roman" w:hAnsi="Times New Roman" w:cs="Times New Roman"/>
          <w:sz w:val="24"/>
          <w:szCs w:val="24"/>
        </w:rPr>
        <w:t>fusões</w:t>
      </w:r>
      <w:r w:rsidR="006E2193" w:rsidRPr="006D7A8C">
        <w:rPr>
          <w:rFonts w:ascii="Times New Roman" w:hAnsi="Times New Roman" w:cs="Times New Roman"/>
          <w:sz w:val="24"/>
          <w:szCs w:val="24"/>
        </w:rPr>
        <w:t>, aquisições</w:t>
      </w:r>
      <w:r w:rsidR="007A4424" w:rsidRPr="006D7A8C">
        <w:rPr>
          <w:rFonts w:ascii="Times New Roman" w:hAnsi="Times New Roman" w:cs="Times New Roman"/>
          <w:sz w:val="24"/>
          <w:szCs w:val="24"/>
        </w:rPr>
        <w:t xml:space="preserve"> e</w:t>
      </w:r>
      <w:r w:rsidRPr="006D7A8C">
        <w:rPr>
          <w:rFonts w:ascii="Times New Roman" w:hAnsi="Times New Roman" w:cs="Times New Roman"/>
          <w:sz w:val="24"/>
          <w:szCs w:val="24"/>
        </w:rPr>
        <w:t xml:space="preserve"> investimentos em propaganda. </w:t>
      </w:r>
    </w:p>
    <w:p w14:paraId="06347490" w14:textId="0F476380" w:rsidR="00B32F08" w:rsidRPr="006D7A8C" w:rsidRDefault="00B32F08" w:rsidP="0064723A">
      <w:pPr>
        <w:spacing w:before="120" w:after="120"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Por fim, o desempenho, em uma análise simples, </w:t>
      </w:r>
      <w:r w:rsidR="006E2193" w:rsidRPr="006D7A8C">
        <w:rPr>
          <w:rFonts w:ascii="Times New Roman" w:hAnsi="Times New Roman" w:cs="Times New Roman"/>
          <w:sz w:val="24"/>
          <w:szCs w:val="24"/>
        </w:rPr>
        <w:t xml:space="preserve">pode </w:t>
      </w:r>
      <w:r w:rsidRPr="006D7A8C">
        <w:rPr>
          <w:rFonts w:ascii="Times New Roman" w:hAnsi="Times New Roman" w:cs="Times New Roman"/>
          <w:sz w:val="24"/>
          <w:szCs w:val="24"/>
        </w:rPr>
        <w:t xml:space="preserve">ser visto como o resultado dos elementos anteriores. Porém, o </w:t>
      </w:r>
      <w:r w:rsidR="00B029EC">
        <w:rPr>
          <w:rFonts w:ascii="Times New Roman" w:hAnsi="Times New Roman" w:cs="Times New Roman"/>
          <w:sz w:val="24"/>
          <w:szCs w:val="24"/>
        </w:rPr>
        <w:t>paradigma</w:t>
      </w:r>
      <w:r w:rsidRPr="006D7A8C">
        <w:rPr>
          <w:rFonts w:ascii="Times New Roman" w:hAnsi="Times New Roman" w:cs="Times New Roman"/>
          <w:sz w:val="24"/>
          <w:szCs w:val="24"/>
        </w:rPr>
        <w:t xml:space="preserve"> </w:t>
      </w:r>
      <w:r w:rsidR="005C230C" w:rsidRPr="006D7A8C">
        <w:rPr>
          <w:rFonts w:ascii="Times New Roman" w:hAnsi="Times New Roman" w:cs="Times New Roman"/>
          <w:sz w:val="24"/>
          <w:szCs w:val="24"/>
        </w:rPr>
        <w:t xml:space="preserve">revisado prevê </w:t>
      </w:r>
      <w:r w:rsidRPr="006D7A8C">
        <w:rPr>
          <w:rFonts w:ascii="Times New Roman" w:hAnsi="Times New Roman" w:cs="Times New Roman"/>
          <w:sz w:val="24"/>
          <w:szCs w:val="24"/>
        </w:rPr>
        <w:t>um ciclo, no qual os resultados observado</w:t>
      </w:r>
      <w:r w:rsidR="006E2193" w:rsidRPr="006D7A8C">
        <w:rPr>
          <w:rFonts w:ascii="Times New Roman" w:hAnsi="Times New Roman" w:cs="Times New Roman"/>
          <w:sz w:val="24"/>
          <w:szCs w:val="24"/>
        </w:rPr>
        <w:t>s</w:t>
      </w:r>
      <w:r w:rsidRPr="006D7A8C">
        <w:rPr>
          <w:rFonts w:ascii="Times New Roman" w:hAnsi="Times New Roman" w:cs="Times New Roman"/>
          <w:sz w:val="24"/>
          <w:szCs w:val="24"/>
        </w:rPr>
        <w:t xml:space="preserve"> </w:t>
      </w:r>
      <w:r w:rsidR="006E2193" w:rsidRPr="006D7A8C">
        <w:rPr>
          <w:rFonts w:ascii="Times New Roman" w:hAnsi="Times New Roman" w:cs="Times New Roman"/>
          <w:sz w:val="24"/>
          <w:szCs w:val="24"/>
        </w:rPr>
        <w:t xml:space="preserve">de </w:t>
      </w:r>
      <w:r w:rsidRPr="006D7A8C">
        <w:rPr>
          <w:rFonts w:ascii="Times New Roman" w:hAnsi="Times New Roman" w:cs="Times New Roman"/>
          <w:sz w:val="24"/>
          <w:szCs w:val="24"/>
        </w:rPr>
        <w:t xml:space="preserve">“Desempenho” </w:t>
      </w:r>
      <w:r w:rsidR="00FB2466">
        <w:rPr>
          <w:rFonts w:ascii="Times New Roman" w:hAnsi="Times New Roman" w:cs="Times New Roman"/>
          <w:sz w:val="24"/>
          <w:szCs w:val="24"/>
        </w:rPr>
        <w:t xml:space="preserve">podem </w:t>
      </w:r>
      <w:r w:rsidRPr="006D7A8C">
        <w:rPr>
          <w:rFonts w:ascii="Times New Roman" w:hAnsi="Times New Roman" w:cs="Times New Roman"/>
          <w:sz w:val="24"/>
          <w:szCs w:val="24"/>
        </w:rPr>
        <w:t>funciona</w:t>
      </w:r>
      <w:r w:rsidR="00FB2466">
        <w:rPr>
          <w:rFonts w:ascii="Times New Roman" w:hAnsi="Times New Roman" w:cs="Times New Roman"/>
          <w:sz w:val="24"/>
          <w:szCs w:val="24"/>
        </w:rPr>
        <w:t>r</w:t>
      </w:r>
      <w:r w:rsidRPr="006D7A8C">
        <w:rPr>
          <w:rFonts w:ascii="Times New Roman" w:hAnsi="Times New Roman" w:cs="Times New Roman"/>
          <w:sz w:val="24"/>
          <w:szCs w:val="24"/>
        </w:rPr>
        <w:t xml:space="preserve"> como insumo para tomadas de decisão que influencia</w:t>
      </w:r>
      <w:r w:rsidR="00FB2466">
        <w:rPr>
          <w:rFonts w:ascii="Times New Roman" w:hAnsi="Times New Roman" w:cs="Times New Roman"/>
          <w:sz w:val="24"/>
          <w:szCs w:val="24"/>
        </w:rPr>
        <w:t xml:space="preserve">m a </w:t>
      </w:r>
      <w:r w:rsidRPr="006D7A8C">
        <w:rPr>
          <w:rFonts w:ascii="Times New Roman" w:hAnsi="Times New Roman" w:cs="Times New Roman"/>
          <w:sz w:val="24"/>
          <w:szCs w:val="24"/>
        </w:rPr>
        <w:t xml:space="preserve">Conduta e </w:t>
      </w:r>
      <w:r w:rsidR="00FB2466">
        <w:rPr>
          <w:rFonts w:ascii="Times New Roman" w:hAnsi="Times New Roman" w:cs="Times New Roman"/>
          <w:sz w:val="24"/>
          <w:szCs w:val="24"/>
        </w:rPr>
        <w:t xml:space="preserve">a </w:t>
      </w:r>
      <w:r w:rsidRPr="006D7A8C">
        <w:rPr>
          <w:rFonts w:ascii="Times New Roman" w:hAnsi="Times New Roman" w:cs="Times New Roman"/>
          <w:sz w:val="24"/>
          <w:szCs w:val="24"/>
        </w:rPr>
        <w:t xml:space="preserve">Estrutura, realimentando o </w:t>
      </w:r>
      <w:r w:rsidR="00B029EC">
        <w:rPr>
          <w:rFonts w:ascii="Times New Roman" w:hAnsi="Times New Roman" w:cs="Times New Roman"/>
          <w:sz w:val="24"/>
          <w:szCs w:val="24"/>
        </w:rPr>
        <w:t>paradigma</w:t>
      </w:r>
      <w:r w:rsidRPr="006D7A8C">
        <w:rPr>
          <w:rFonts w:ascii="Times New Roman" w:hAnsi="Times New Roman" w:cs="Times New Roman"/>
          <w:sz w:val="24"/>
          <w:szCs w:val="24"/>
        </w:rPr>
        <w:t>.</w:t>
      </w:r>
      <w:r w:rsidR="009F548A" w:rsidRPr="006D7A8C">
        <w:rPr>
          <w:rFonts w:ascii="Times New Roman" w:hAnsi="Times New Roman" w:cs="Times New Roman"/>
          <w:sz w:val="24"/>
          <w:szCs w:val="24"/>
        </w:rPr>
        <w:t xml:space="preserve"> </w:t>
      </w:r>
      <w:r w:rsidR="005C230C" w:rsidRPr="006D7A8C">
        <w:rPr>
          <w:rFonts w:ascii="Times New Roman" w:hAnsi="Times New Roman" w:cs="Times New Roman"/>
          <w:sz w:val="24"/>
          <w:szCs w:val="24"/>
        </w:rPr>
        <w:t xml:space="preserve">Na figura abaixo encontra-se o </w:t>
      </w:r>
      <w:r w:rsidR="009F548A" w:rsidRPr="006D7A8C">
        <w:rPr>
          <w:rFonts w:ascii="Times New Roman" w:hAnsi="Times New Roman" w:cs="Times New Roman"/>
          <w:sz w:val="24"/>
          <w:szCs w:val="24"/>
        </w:rPr>
        <w:t xml:space="preserve">esquema analítico do </w:t>
      </w:r>
      <w:r w:rsidR="00B029EC">
        <w:rPr>
          <w:rFonts w:ascii="Times New Roman" w:hAnsi="Times New Roman" w:cs="Times New Roman"/>
          <w:sz w:val="24"/>
          <w:szCs w:val="24"/>
        </w:rPr>
        <w:t>paradigma</w:t>
      </w:r>
      <w:r w:rsidR="005C230C" w:rsidRPr="006D7A8C">
        <w:rPr>
          <w:rFonts w:ascii="Times New Roman" w:hAnsi="Times New Roman" w:cs="Times New Roman"/>
          <w:sz w:val="24"/>
          <w:szCs w:val="24"/>
        </w:rPr>
        <w:t xml:space="preserve"> revisado</w:t>
      </w:r>
      <w:r w:rsidR="009F548A" w:rsidRPr="006D7A8C">
        <w:rPr>
          <w:rFonts w:ascii="Times New Roman" w:hAnsi="Times New Roman" w:cs="Times New Roman"/>
          <w:sz w:val="24"/>
          <w:szCs w:val="24"/>
        </w:rPr>
        <w:t xml:space="preserve"> ECD, que inclui </w:t>
      </w:r>
      <w:r w:rsidR="00917700" w:rsidRPr="006D7A8C">
        <w:rPr>
          <w:rFonts w:ascii="Times New Roman" w:hAnsi="Times New Roman" w:cs="Times New Roman"/>
          <w:sz w:val="24"/>
          <w:szCs w:val="24"/>
        </w:rPr>
        <w:t xml:space="preserve">uma atuação exógena às empresas, que </w:t>
      </w:r>
      <w:r w:rsidR="00FB2466">
        <w:rPr>
          <w:rFonts w:ascii="Times New Roman" w:hAnsi="Times New Roman" w:cs="Times New Roman"/>
          <w:sz w:val="24"/>
          <w:szCs w:val="24"/>
        </w:rPr>
        <w:t xml:space="preserve">são as </w:t>
      </w:r>
      <w:r w:rsidR="00917700" w:rsidRPr="006D7A8C">
        <w:rPr>
          <w:rFonts w:ascii="Times New Roman" w:hAnsi="Times New Roman" w:cs="Times New Roman"/>
          <w:sz w:val="24"/>
          <w:szCs w:val="24"/>
        </w:rPr>
        <w:t>diversas políticas</w:t>
      </w:r>
      <w:r w:rsidR="00FB2466">
        <w:rPr>
          <w:rFonts w:ascii="Times New Roman" w:hAnsi="Times New Roman" w:cs="Times New Roman"/>
          <w:sz w:val="24"/>
          <w:szCs w:val="24"/>
        </w:rPr>
        <w:t xml:space="preserve"> públicas.</w:t>
      </w:r>
      <w:r w:rsidR="00917700" w:rsidRPr="006D7A8C">
        <w:rPr>
          <w:rFonts w:ascii="Times New Roman" w:hAnsi="Times New Roman" w:cs="Times New Roman"/>
          <w:sz w:val="24"/>
          <w:szCs w:val="24"/>
        </w:rPr>
        <w:t xml:space="preserve"> </w:t>
      </w:r>
    </w:p>
    <w:p w14:paraId="32215460" w14:textId="77777777"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noProof/>
          <w:sz w:val="24"/>
          <w:szCs w:val="24"/>
        </w:rPr>
        <w:lastRenderedPageBreak/>
        <w:drawing>
          <wp:inline distT="0" distB="0" distL="0" distR="0" wp14:anchorId="2F3BF57D" wp14:editId="52865A3F">
            <wp:extent cx="4572000" cy="5310553"/>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96622" cy="5339152"/>
                    </a:xfrm>
                    <a:prstGeom prst="rect">
                      <a:avLst/>
                    </a:prstGeom>
                    <a:noFill/>
                    <a:ln w="9525">
                      <a:noFill/>
                      <a:miter lim="800000"/>
                      <a:headEnd/>
                      <a:tailEnd/>
                    </a:ln>
                  </pic:spPr>
                </pic:pic>
              </a:graphicData>
            </a:graphic>
          </wp:inline>
        </w:drawing>
      </w:r>
    </w:p>
    <w:p w14:paraId="2194065B" w14:textId="30B0D8AE" w:rsidR="00121DD1" w:rsidRPr="006D7A8C" w:rsidRDefault="00121DD1" w:rsidP="0064723A">
      <w:pPr>
        <w:pStyle w:val="Legenda"/>
        <w:spacing w:after="0"/>
        <w:jc w:val="both"/>
        <w:rPr>
          <w:rFonts w:ascii="Times New Roman" w:hAnsi="Times New Roman" w:cs="Times New Roman"/>
          <w:i w:val="0"/>
          <w:color w:val="000000" w:themeColor="text1"/>
          <w:sz w:val="24"/>
          <w:szCs w:val="24"/>
        </w:rPr>
      </w:pPr>
      <w:bookmarkStart w:id="1" w:name="_Toc510211768"/>
      <w:r w:rsidRPr="006D7A8C">
        <w:rPr>
          <w:rFonts w:ascii="Times New Roman" w:hAnsi="Times New Roman" w:cs="Times New Roman"/>
          <w:b/>
          <w:i w:val="0"/>
          <w:color w:val="000000" w:themeColor="text1"/>
          <w:sz w:val="24"/>
          <w:szCs w:val="24"/>
        </w:rPr>
        <w:t xml:space="preserve">Figura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Figura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1</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 </w:t>
      </w:r>
      <w:r w:rsidR="00B029EC">
        <w:rPr>
          <w:rFonts w:ascii="Times New Roman" w:hAnsi="Times New Roman" w:cs="Times New Roman"/>
          <w:i w:val="0"/>
          <w:color w:val="000000" w:themeColor="text1"/>
          <w:sz w:val="24"/>
          <w:szCs w:val="24"/>
        </w:rPr>
        <w:t>Paradigma</w:t>
      </w:r>
      <w:r w:rsidRPr="006D7A8C">
        <w:rPr>
          <w:rFonts w:ascii="Times New Roman" w:hAnsi="Times New Roman" w:cs="Times New Roman"/>
          <w:i w:val="0"/>
          <w:color w:val="000000" w:themeColor="text1"/>
          <w:sz w:val="24"/>
          <w:szCs w:val="24"/>
        </w:rPr>
        <w:t xml:space="preserve"> ECD</w:t>
      </w:r>
      <w:bookmarkEnd w:id="1"/>
    </w:p>
    <w:p w14:paraId="1FCB392F" w14:textId="18D8B199" w:rsidR="00B32F08" w:rsidRPr="00241E53" w:rsidRDefault="00B32F08" w:rsidP="0064723A">
      <w:pPr>
        <w:pStyle w:val="Legenda"/>
        <w:spacing w:after="0"/>
        <w:jc w:val="both"/>
        <w:rPr>
          <w:rFonts w:ascii="Times New Roman" w:eastAsiaTheme="minorHAnsi" w:hAnsi="Times New Roman" w:cs="Times New Roman"/>
          <w:color w:val="000000" w:themeColor="text1"/>
          <w:sz w:val="22"/>
          <w:szCs w:val="22"/>
          <w:lang w:eastAsia="en-US"/>
        </w:rPr>
      </w:pPr>
      <w:r w:rsidRPr="00241E53">
        <w:rPr>
          <w:rFonts w:ascii="Times New Roman" w:eastAsiaTheme="minorHAnsi" w:hAnsi="Times New Roman" w:cs="Times New Roman"/>
          <w:b/>
          <w:i w:val="0"/>
          <w:color w:val="000000" w:themeColor="text1"/>
          <w:sz w:val="22"/>
          <w:szCs w:val="22"/>
          <w:lang w:eastAsia="en-US"/>
        </w:rPr>
        <w:t>Fonte:</w:t>
      </w:r>
      <w:r w:rsidRPr="00241E53">
        <w:rPr>
          <w:rFonts w:ascii="Times New Roman" w:eastAsiaTheme="minorHAnsi" w:hAnsi="Times New Roman" w:cs="Times New Roman"/>
          <w:i w:val="0"/>
          <w:color w:val="000000" w:themeColor="text1"/>
          <w:sz w:val="22"/>
          <w:szCs w:val="22"/>
          <w:lang w:eastAsia="en-US"/>
        </w:rPr>
        <w:t xml:space="preserve"> Carlton</w:t>
      </w:r>
      <w:r w:rsidR="006D7A8C" w:rsidRPr="00241E53">
        <w:rPr>
          <w:rFonts w:ascii="Times New Roman" w:eastAsiaTheme="minorHAnsi" w:hAnsi="Times New Roman" w:cs="Times New Roman"/>
          <w:i w:val="0"/>
          <w:color w:val="000000" w:themeColor="text1"/>
          <w:sz w:val="22"/>
          <w:szCs w:val="22"/>
          <w:lang w:eastAsia="en-US"/>
        </w:rPr>
        <w:t>;</w:t>
      </w:r>
      <w:r w:rsidR="00241E53">
        <w:rPr>
          <w:rFonts w:ascii="Times New Roman" w:eastAsiaTheme="minorHAnsi" w:hAnsi="Times New Roman" w:cs="Times New Roman"/>
          <w:i w:val="0"/>
          <w:color w:val="000000" w:themeColor="text1"/>
          <w:sz w:val="22"/>
          <w:szCs w:val="22"/>
          <w:lang w:eastAsia="en-US"/>
        </w:rPr>
        <w:t xml:space="preserve"> </w:t>
      </w:r>
      <w:proofErr w:type="spellStart"/>
      <w:r w:rsidR="00241E53">
        <w:rPr>
          <w:rFonts w:ascii="Times New Roman" w:eastAsiaTheme="minorHAnsi" w:hAnsi="Times New Roman" w:cs="Times New Roman"/>
          <w:i w:val="0"/>
          <w:color w:val="000000" w:themeColor="text1"/>
          <w:sz w:val="22"/>
          <w:szCs w:val="22"/>
          <w:lang w:eastAsia="en-US"/>
        </w:rPr>
        <w:t>Perloff</w:t>
      </w:r>
      <w:proofErr w:type="spellEnd"/>
      <w:r w:rsidR="00241E53">
        <w:rPr>
          <w:rFonts w:ascii="Times New Roman" w:eastAsiaTheme="minorHAnsi" w:hAnsi="Times New Roman" w:cs="Times New Roman"/>
          <w:i w:val="0"/>
          <w:color w:val="000000" w:themeColor="text1"/>
          <w:sz w:val="22"/>
          <w:szCs w:val="22"/>
          <w:lang w:eastAsia="en-US"/>
        </w:rPr>
        <w:t>, 1994</w:t>
      </w:r>
    </w:p>
    <w:p w14:paraId="3E51A439" w14:textId="77777777" w:rsidR="005C230C" w:rsidRPr="006D7A8C" w:rsidRDefault="005C230C" w:rsidP="0064723A">
      <w:pPr>
        <w:spacing w:before="120" w:after="120" w:line="240" w:lineRule="auto"/>
        <w:jc w:val="both"/>
        <w:rPr>
          <w:rFonts w:ascii="Times New Roman" w:eastAsiaTheme="minorHAnsi" w:hAnsi="Times New Roman" w:cs="Times New Roman"/>
          <w:sz w:val="24"/>
          <w:szCs w:val="24"/>
          <w:lang w:eastAsia="en-US"/>
        </w:rPr>
      </w:pPr>
    </w:p>
    <w:p w14:paraId="68AD7CCB" w14:textId="28B60858"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Vale </w:t>
      </w:r>
      <w:r w:rsidR="00917700" w:rsidRPr="006D7A8C">
        <w:rPr>
          <w:rFonts w:ascii="Times New Roman" w:eastAsiaTheme="minorHAnsi" w:hAnsi="Times New Roman" w:cs="Times New Roman"/>
          <w:sz w:val="24"/>
          <w:szCs w:val="24"/>
          <w:lang w:eastAsia="en-US"/>
        </w:rPr>
        <w:t xml:space="preserve">reforçar a revisão do </w:t>
      </w:r>
      <w:r w:rsidR="00B029EC">
        <w:rPr>
          <w:rFonts w:ascii="Times New Roman" w:eastAsiaTheme="minorHAnsi" w:hAnsi="Times New Roman" w:cs="Times New Roman"/>
          <w:sz w:val="24"/>
          <w:szCs w:val="24"/>
          <w:lang w:eastAsia="en-US"/>
        </w:rPr>
        <w:t>paradigma</w:t>
      </w:r>
      <w:r w:rsidR="00917700" w:rsidRPr="006D7A8C">
        <w:rPr>
          <w:rFonts w:ascii="Times New Roman" w:eastAsiaTheme="minorHAnsi" w:hAnsi="Times New Roman" w:cs="Times New Roman"/>
          <w:sz w:val="24"/>
          <w:szCs w:val="24"/>
          <w:lang w:eastAsia="en-US"/>
        </w:rPr>
        <w:t xml:space="preserve"> ECD original, de</w:t>
      </w:r>
      <w:r w:rsidRPr="006D7A8C">
        <w:rPr>
          <w:rFonts w:ascii="Times New Roman" w:eastAsiaTheme="minorHAnsi" w:hAnsi="Times New Roman" w:cs="Times New Roman"/>
          <w:sz w:val="24"/>
          <w:szCs w:val="24"/>
          <w:lang w:eastAsia="en-US"/>
        </w:rPr>
        <w:t xml:space="preserve"> que tanto a estrutura de um</w:t>
      </w:r>
      <w:r w:rsidR="006E2193" w:rsidRPr="006D7A8C">
        <w:rPr>
          <w:rFonts w:ascii="Times New Roman" w:eastAsiaTheme="minorHAnsi" w:hAnsi="Times New Roman" w:cs="Times New Roman"/>
          <w:sz w:val="24"/>
          <w:szCs w:val="24"/>
          <w:lang w:eastAsia="en-US"/>
        </w:rPr>
        <w:t>a</w:t>
      </w:r>
      <w:r w:rsidRPr="006D7A8C">
        <w:rPr>
          <w:rFonts w:ascii="Times New Roman" w:eastAsiaTheme="minorHAnsi" w:hAnsi="Times New Roman" w:cs="Times New Roman"/>
          <w:sz w:val="24"/>
          <w:szCs w:val="24"/>
          <w:lang w:eastAsia="en-US"/>
        </w:rPr>
        <w:t xml:space="preserve"> determinada indústria pode influenciar o desempenho das empresas que fazem parte dela, como também o próprio desempenho das firmas pode ocasionar mudanças na variável estrutura. Um exemplo disso seria a presença de altas taxas de lucratividade de uma determina</w:t>
      </w:r>
      <w:r w:rsidR="00E828F3" w:rsidRPr="006D7A8C">
        <w:rPr>
          <w:rFonts w:ascii="Times New Roman" w:eastAsiaTheme="minorHAnsi" w:hAnsi="Times New Roman" w:cs="Times New Roman"/>
          <w:sz w:val="24"/>
          <w:szCs w:val="24"/>
          <w:lang w:eastAsia="en-US"/>
        </w:rPr>
        <w:t>da</w:t>
      </w:r>
      <w:r w:rsidRPr="006D7A8C">
        <w:rPr>
          <w:rFonts w:ascii="Times New Roman" w:eastAsiaTheme="minorHAnsi" w:hAnsi="Times New Roman" w:cs="Times New Roman"/>
          <w:sz w:val="24"/>
          <w:szCs w:val="24"/>
          <w:lang w:eastAsia="en-US"/>
        </w:rPr>
        <w:t xml:space="preserve"> firma que pode </w:t>
      </w:r>
      <w:r w:rsidR="00990FFE" w:rsidRPr="006D7A8C">
        <w:rPr>
          <w:rFonts w:ascii="Times New Roman" w:eastAsiaTheme="minorHAnsi" w:hAnsi="Times New Roman" w:cs="Times New Roman"/>
          <w:sz w:val="24"/>
          <w:szCs w:val="24"/>
          <w:lang w:eastAsia="en-US"/>
        </w:rPr>
        <w:t xml:space="preserve">ocasionar </w:t>
      </w:r>
      <w:r w:rsidRPr="006D7A8C">
        <w:rPr>
          <w:rFonts w:ascii="Times New Roman" w:eastAsiaTheme="minorHAnsi" w:hAnsi="Times New Roman" w:cs="Times New Roman"/>
          <w:sz w:val="24"/>
          <w:szCs w:val="24"/>
          <w:lang w:eastAsia="en-US"/>
        </w:rPr>
        <w:t>uma economia de escala, ou seja</w:t>
      </w:r>
      <w:r w:rsidR="006E2193" w:rsidRPr="006D7A8C">
        <w:rPr>
          <w:rFonts w:ascii="Times New Roman" w:eastAsiaTheme="minorHAnsi" w:hAnsi="Times New Roman" w:cs="Times New Roman"/>
          <w:sz w:val="24"/>
          <w:szCs w:val="24"/>
          <w:lang w:eastAsia="en-US"/>
        </w:rPr>
        <w:t>,</w:t>
      </w:r>
      <w:r w:rsidRPr="006D7A8C">
        <w:rPr>
          <w:rFonts w:ascii="Times New Roman" w:eastAsiaTheme="minorHAnsi" w:hAnsi="Times New Roman" w:cs="Times New Roman"/>
          <w:sz w:val="24"/>
          <w:szCs w:val="24"/>
          <w:lang w:eastAsia="en-US"/>
        </w:rPr>
        <w:t xml:space="preserve"> uma maior eficiência produtiva e alocativa</w:t>
      </w:r>
      <w:r w:rsidR="006E2193" w:rsidRPr="006D7A8C">
        <w:rPr>
          <w:rFonts w:ascii="Times New Roman" w:eastAsiaTheme="minorHAnsi" w:hAnsi="Times New Roman" w:cs="Times New Roman"/>
          <w:sz w:val="24"/>
          <w:szCs w:val="24"/>
          <w:lang w:eastAsia="en-US"/>
        </w:rPr>
        <w:t xml:space="preserve"> </w:t>
      </w:r>
      <w:r w:rsidRPr="006D7A8C">
        <w:rPr>
          <w:rFonts w:ascii="Times New Roman" w:eastAsiaTheme="minorHAnsi" w:hAnsi="Times New Roman" w:cs="Times New Roman"/>
          <w:sz w:val="24"/>
          <w:szCs w:val="24"/>
          <w:lang w:eastAsia="en-US"/>
        </w:rPr>
        <w:t>gera</w:t>
      </w:r>
      <w:r w:rsidR="006E2193" w:rsidRPr="006D7A8C">
        <w:rPr>
          <w:rFonts w:ascii="Times New Roman" w:eastAsiaTheme="minorHAnsi" w:hAnsi="Times New Roman" w:cs="Times New Roman"/>
          <w:sz w:val="24"/>
          <w:szCs w:val="24"/>
          <w:lang w:eastAsia="en-US"/>
        </w:rPr>
        <w:t>ndo</w:t>
      </w:r>
      <w:r w:rsidRPr="006D7A8C">
        <w:rPr>
          <w:rFonts w:ascii="Times New Roman" w:eastAsiaTheme="minorHAnsi" w:hAnsi="Times New Roman" w:cs="Times New Roman"/>
          <w:sz w:val="24"/>
          <w:szCs w:val="24"/>
          <w:lang w:eastAsia="en-US"/>
        </w:rPr>
        <w:t xml:space="preserve"> barreiras à entrada de novos participantes </w:t>
      </w:r>
      <w:r w:rsidR="006E2193" w:rsidRPr="006D7A8C">
        <w:rPr>
          <w:rFonts w:ascii="Times New Roman" w:eastAsiaTheme="minorHAnsi" w:hAnsi="Times New Roman" w:cs="Times New Roman"/>
          <w:sz w:val="24"/>
          <w:szCs w:val="24"/>
          <w:lang w:eastAsia="en-US"/>
        </w:rPr>
        <w:t xml:space="preserve">no </w:t>
      </w:r>
      <w:r w:rsidRPr="006D7A8C">
        <w:rPr>
          <w:rFonts w:ascii="Times New Roman" w:eastAsiaTheme="minorHAnsi" w:hAnsi="Times New Roman" w:cs="Times New Roman"/>
          <w:sz w:val="24"/>
          <w:szCs w:val="24"/>
          <w:lang w:eastAsia="en-US"/>
        </w:rPr>
        <w:t xml:space="preserve">setor, </w:t>
      </w:r>
      <w:r w:rsidR="006E2193" w:rsidRPr="006D7A8C">
        <w:rPr>
          <w:rFonts w:ascii="Times New Roman" w:eastAsiaTheme="minorHAnsi" w:hAnsi="Times New Roman" w:cs="Times New Roman"/>
          <w:sz w:val="24"/>
          <w:szCs w:val="24"/>
          <w:lang w:eastAsia="en-US"/>
        </w:rPr>
        <w:t xml:space="preserve">o que pode levar ao aumento do grau de </w:t>
      </w:r>
      <w:r w:rsidRPr="006D7A8C">
        <w:rPr>
          <w:rFonts w:ascii="Times New Roman" w:eastAsiaTheme="minorHAnsi" w:hAnsi="Times New Roman" w:cs="Times New Roman"/>
          <w:sz w:val="24"/>
          <w:szCs w:val="24"/>
          <w:lang w:eastAsia="en-US"/>
        </w:rPr>
        <w:t xml:space="preserve">concentração e, </w:t>
      </w:r>
      <w:r w:rsidR="006E2193" w:rsidRPr="006D7A8C">
        <w:rPr>
          <w:rFonts w:ascii="Times New Roman" w:eastAsiaTheme="minorHAnsi" w:hAnsi="Times New Roman" w:cs="Times New Roman"/>
          <w:sz w:val="24"/>
          <w:szCs w:val="24"/>
          <w:lang w:eastAsia="en-US"/>
        </w:rPr>
        <w:t>assim, alterar</w:t>
      </w:r>
      <w:r w:rsidRPr="006D7A8C">
        <w:rPr>
          <w:rFonts w:ascii="Times New Roman" w:eastAsiaTheme="minorHAnsi" w:hAnsi="Times New Roman" w:cs="Times New Roman"/>
          <w:sz w:val="24"/>
          <w:szCs w:val="24"/>
          <w:lang w:eastAsia="en-US"/>
        </w:rPr>
        <w:t xml:space="preserve"> a estrutura do mesmo. </w:t>
      </w:r>
    </w:p>
    <w:p w14:paraId="339022FA" w14:textId="236F6803"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t xml:space="preserve">Entretanto, cabe lembrar que 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ECD está vinculado ao conceito de competitividade considerando os elementos que determinam o atual desempenho das empresas, mantendo ênfase </w:t>
      </w:r>
      <w:r w:rsidR="00990FFE" w:rsidRPr="006D7A8C">
        <w:rPr>
          <w:rFonts w:ascii="Times New Roman" w:eastAsiaTheme="minorHAnsi" w:hAnsi="Times New Roman" w:cs="Times New Roman"/>
          <w:sz w:val="24"/>
          <w:szCs w:val="24"/>
          <w:lang w:eastAsia="en-US"/>
        </w:rPr>
        <w:t>na</w:t>
      </w:r>
      <w:r w:rsidRPr="006D7A8C">
        <w:rPr>
          <w:rFonts w:ascii="Times New Roman" w:eastAsiaTheme="minorHAnsi" w:hAnsi="Times New Roman" w:cs="Times New Roman"/>
          <w:sz w:val="24"/>
          <w:szCs w:val="24"/>
          <w:lang w:eastAsia="en-US"/>
        </w:rPr>
        <w:t xml:space="preserve"> estrutura do mercado como fator decisivo nas estratégias e, consequentemente, no desempenho obtido. Mas, tal estrutura é realimentada por estas estratégias e pelo desempenho, demonstrando a existência de relações dinâmicas nesse quesito de competitividade. </w:t>
      </w:r>
    </w:p>
    <w:p w14:paraId="3B9AA9D6" w14:textId="52BA9470" w:rsidR="00B32F08" w:rsidRPr="006D7A8C" w:rsidRDefault="00B32F08" w:rsidP="0064723A">
      <w:pPr>
        <w:spacing w:before="120" w:after="120" w:line="240" w:lineRule="auto"/>
        <w:jc w:val="both"/>
        <w:rPr>
          <w:rFonts w:ascii="Times New Roman" w:eastAsiaTheme="minorHAnsi" w:hAnsi="Times New Roman" w:cs="Times New Roman"/>
          <w:sz w:val="24"/>
          <w:szCs w:val="24"/>
          <w:lang w:eastAsia="en-US"/>
        </w:rPr>
      </w:pPr>
      <w:r w:rsidRPr="006D7A8C">
        <w:rPr>
          <w:rFonts w:ascii="Times New Roman" w:eastAsiaTheme="minorHAnsi" w:hAnsi="Times New Roman" w:cs="Times New Roman"/>
          <w:sz w:val="24"/>
          <w:szCs w:val="24"/>
          <w:lang w:eastAsia="en-US"/>
        </w:rPr>
        <w:lastRenderedPageBreak/>
        <w:t>Portanto, a ideia tradic</w:t>
      </w:r>
      <w:r w:rsidR="00990FFE" w:rsidRPr="006D7A8C">
        <w:rPr>
          <w:rFonts w:ascii="Times New Roman" w:eastAsiaTheme="minorHAnsi" w:hAnsi="Times New Roman" w:cs="Times New Roman"/>
          <w:sz w:val="24"/>
          <w:szCs w:val="24"/>
          <w:lang w:eastAsia="en-US"/>
        </w:rPr>
        <w:t xml:space="preserve">ional do </w:t>
      </w:r>
      <w:r w:rsidR="00B029EC">
        <w:rPr>
          <w:rFonts w:ascii="Times New Roman" w:eastAsiaTheme="minorHAnsi" w:hAnsi="Times New Roman" w:cs="Times New Roman"/>
          <w:sz w:val="24"/>
          <w:szCs w:val="24"/>
          <w:lang w:eastAsia="en-US"/>
        </w:rPr>
        <w:t>paradigma</w:t>
      </w:r>
      <w:r w:rsidR="00990FFE" w:rsidRPr="006D7A8C">
        <w:rPr>
          <w:rFonts w:ascii="Times New Roman" w:eastAsiaTheme="minorHAnsi" w:hAnsi="Times New Roman" w:cs="Times New Roman"/>
          <w:sz w:val="24"/>
          <w:szCs w:val="24"/>
          <w:lang w:eastAsia="en-US"/>
        </w:rPr>
        <w:t>, que considera</w:t>
      </w:r>
      <w:r w:rsidRPr="006D7A8C">
        <w:rPr>
          <w:rFonts w:ascii="Times New Roman" w:eastAsiaTheme="minorHAnsi" w:hAnsi="Times New Roman" w:cs="Times New Roman"/>
          <w:sz w:val="24"/>
          <w:szCs w:val="24"/>
          <w:lang w:eastAsia="en-US"/>
        </w:rPr>
        <w:t xml:space="preserve"> o sentido de causalidade como unidirecional, ou seja, não sendo válido o sentido oposto de análise, acabou sendo adaptada no decorrer dos anos por versões mais modernas e condizentes com a realidade das firmas. </w:t>
      </w:r>
    </w:p>
    <w:p w14:paraId="65B40503" w14:textId="48DB78A3" w:rsidR="00B32F08" w:rsidRPr="006D7A8C" w:rsidRDefault="00B32F08" w:rsidP="0064723A">
      <w:pPr>
        <w:spacing w:before="120" w:after="120" w:line="240" w:lineRule="auto"/>
        <w:jc w:val="both"/>
        <w:rPr>
          <w:rFonts w:ascii="Times New Roman" w:hAnsi="Times New Roman" w:cs="Times New Roman"/>
          <w:sz w:val="24"/>
          <w:szCs w:val="24"/>
        </w:rPr>
      </w:pPr>
      <w:r w:rsidRPr="006D7A8C">
        <w:rPr>
          <w:rFonts w:ascii="Times New Roman" w:eastAsiaTheme="minorHAnsi" w:hAnsi="Times New Roman" w:cs="Times New Roman"/>
          <w:sz w:val="24"/>
          <w:szCs w:val="24"/>
          <w:lang w:eastAsia="en-US"/>
        </w:rPr>
        <w:t xml:space="preserve">Esse foi um passo de grande importância para o </w:t>
      </w:r>
      <w:r w:rsidR="00B029EC">
        <w:rPr>
          <w:rFonts w:ascii="Times New Roman" w:eastAsiaTheme="minorHAnsi" w:hAnsi="Times New Roman" w:cs="Times New Roman"/>
          <w:sz w:val="24"/>
          <w:szCs w:val="24"/>
          <w:lang w:eastAsia="en-US"/>
        </w:rPr>
        <w:t>paradigma</w:t>
      </w:r>
      <w:r w:rsidRPr="006D7A8C">
        <w:rPr>
          <w:rFonts w:ascii="Times New Roman" w:eastAsiaTheme="minorHAnsi" w:hAnsi="Times New Roman" w:cs="Times New Roman"/>
          <w:sz w:val="24"/>
          <w:szCs w:val="24"/>
          <w:lang w:eastAsia="en-US"/>
        </w:rPr>
        <w:t xml:space="preserve"> em questão, uma vez que eliminou a possibilidade de interpretações erradas e de críticas que eram feitas anteriormente. Dessa forma, os efeitos de </w:t>
      </w:r>
      <w:r w:rsidRPr="006D7A8C">
        <w:rPr>
          <w:rFonts w:ascii="Times New Roman" w:eastAsiaTheme="minorHAnsi" w:hAnsi="Times New Roman" w:cs="Times New Roman"/>
          <w:i/>
          <w:sz w:val="24"/>
          <w:szCs w:val="24"/>
          <w:lang w:eastAsia="en-US"/>
        </w:rPr>
        <w:t>feedback</w:t>
      </w:r>
      <w:r w:rsidRPr="006D7A8C">
        <w:rPr>
          <w:rFonts w:ascii="Times New Roman" w:eastAsiaTheme="minorHAnsi" w:hAnsi="Times New Roman" w:cs="Times New Roman"/>
          <w:sz w:val="24"/>
          <w:szCs w:val="24"/>
          <w:lang w:eastAsia="en-US"/>
        </w:rPr>
        <w:t xml:space="preserve"> ou retorno são igualmente importante</w:t>
      </w:r>
      <w:r w:rsidR="006E2193" w:rsidRPr="006D7A8C">
        <w:rPr>
          <w:rFonts w:ascii="Times New Roman" w:eastAsiaTheme="minorHAnsi" w:hAnsi="Times New Roman" w:cs="Times New Roman"/>
          <w:sz w:val="24"/>
          <w:szCs w:val="24"/>
          <w:lang w:eastAsia="en-US"/>
        </w:rPr>
        <w:t>s</w:t>
      </w:r>
      <w:r w:rsidRPr="006D7A8C">
        <w:rPr>
          <w:rFonts w:ascii="Times New Roman" w:eastAsiaTheme="minorHAnsi" w:hAnsi="Times New Roman" w:cs="Times New Roman"/>
          <w:sz w:val="24"/>
          <w:szCs w:val="24"/>
          <w:lang w:eastAsia="en-US"/>
        </w:rPr>
        <w:t xml:space="preserve"> para a análise d</w:t>
      </w:r>
      <w:r w:rsidR="006E2193" w:rsidRPr="006D7A8C">
        <w:rPr>
          <w:rFonts w:ascii="Times New Roman" w:eastAsiaTheme="minorHAnsi" w:hAnsi="Times New Roman" w:cs="Times New Roman"/>
          <w:sz w:val="24"/>
          <w:szCs w:val="24"/>
          <w:lang w:eastAsia="en-US"/>
        </w:rPr>
        <w:t>os</w:t>
      </w:r>
      <w:r w:rsidRPr="006D7A8C">
        <w:rPr>
          <w:rFonts w:ascii="Times New Roman" w:eastAsiaTheme="minorHAnsi" w:hAnsi="Times New Roman" w:cs="Times New Roman"/>
          <w:sz w:val="24"/>
          <w:szCs w:val="24"/>
          <w:lang w:eastAsia="en-US"/>
        </w:rPr>
        <w:t xml:space="preserve"> </w:t>
      </w:r>
      <w:r w:rsidR="006E2193" w:rsidRPr="006D7A8C">
        <w:rPr>
          <w:rFonts w:ascii="Times New Roman" w:eastAsiaTheme="minorHAnsi" w:hAnsi="Times New Roman" w:cs="Times New Roman"/>
          <w:sz w:val="24"/>
          <w:szCs w:val="24"/>
          <w:lang w:eastAsia="en-US"/>
        </w:rPr>
        <w:t xml:space="preserve">setores </w:t>
      </w:r>
      <w:r w:rsidRPr="006D7A8C">
        <w:rPr>
          <w:rFonts w:ascii="Times New Roman" w:eastAsiaTheme="minorHAnsi" w:hAnsi="Times New Roman" w:cs="Times New Roman"/>
          <w:sz w:val="24"/>
          <w:szCs w:val="24"/>
          <w:lang w:eastAsia="en-US"/>
        </w:rPr>
        <w:t xml:space="preserve">(SCHERER; ROSS, 1990). </w:t>
      </w:r>
    </w:p>
    <w:p w14:paraId="77592C40" w14:textId="47ECE8F9" w:rsidR="00B812DA" w:rsidRPr="006D7A8C" w:rsidRDefault="00B32F08" w:rsidP="0064723A">
      <w:pPr>
        <w:pStyle w:val="Aria"/>
        <w:spacing w:before="120" w:after="120"/>
        <w:jc w:val="both"/>
      </w:pPr>
      <w:r w:rsidRPr="006D7A8C">
        <w:t>Partindo então desse</w:t>
      </w:r>
      <w:r w:rsidR="007363EF" w:rsidRPr="006D7A8C">
        <w:t>s pressupostos</w:t>
      </w:r>
      <w:r w:rsidRPr="006D7A8C">
        <w:t xml:space="preserve">, </w:t>
      </w:r>
      <w:r w:rsidR="007363EF" w:rsidRPr="006D7A8C">
        <w:t xml:space="preserve">é importante, baseado em </w:t>
      </w:r>
      <w:r w:rsidRPr="006D7A8C">
        <w:t>Possas (1985)</w:t>
      </w:r>
      <w:r w:rsidR="007363EF" w:rsidRPr="006D7A8C">
        <w:t>,</w:t>
      </w:r>
      <w:r w:rsidRPr="006D7A8C">
        <w:t xml:space="preserve"> enfatiza</w:t>
      </w:r>
      <w:r w:rsidR="007363EF" w:rsidRPr="006D7A8C">
        <w:t>r</w:t>
      </w:r>
      <w:r w:rsidRPr="006D7A8C">
        <w:t xml:space="preserve"> o consenso dos teóricos do </w:t>
      </w:r>
      <w:r w:rsidR="00B029EC">
        <w:t>Paradigma</w:t>
      </w:r>
      <w:r w:rsidRPr="006D7A8C">
        <w:t xml:space="preserve"> ECD em ter a concentração da economia como o elemento básico da Estrutura do mercado e a intensidade das barreiras à entrada como o principal indicador do poder de mercado das firmas e das empresas oligopolistas.</w:t>
      </w:r>
      <w:r w:rsidR="00FB2466">
        <w:t xml:space="preserve"> </w:t>
      </w:r>
      <w:r w:rsidR="00B812DA" w:rsidRPr="006D7A8C">
        <w:t xml:space="preserve">Parte dos elementos do </w:t>
      </w:r>
      <w:r w:rsidR="00B029EC">
        <w:t>paradigma</w:t>
      </w:r>
      <w:r w:rsidR="00B812DA" w:rsidRPr="006D7A8C">
        <w:t xml:space="preserve"> ECD serão utilizados para a elaboração do presente estudo setorial da Indústr</w:t>
      </w:r>
      <w:r w:rsidR="00FB2466">
        <w:t>ia Extrativa Mineral Brasileira a seguir.</w:t>
      </w:r>
    </w:p>
    <w:p w14:paraId="63D72E7F" w14:textId="77777777" w:rsidR="00B812DA" w:rsidRPr="006D7A8C" w:rsidRDefault="00B812DA" w:rsidP="0064723A">
      <w:pPr>
        <w:pStyle w:val="Aria"/>
        <w:spacing w:before="120" w:after="120"/>
        <w:jc w:val="both"/>
      </w:pPr>
    </w:p>
    <w:p w14:paraId="0382F5F1" w14:textId="22010931" w:rsidR="00AC5598" w:rsidRPr="006D7A8C" w:rsidRDefault="006D7A8C" w:rsidP="0064723A">
      <w:pPr>
        <w:pStyle w:val="Aria"/>
        <w:spacing w:before="120" w:after="120"/>
        <w:jc w:val="both"/>
        <w:rPr>
          <w:b/>
        </w:rPr>
      </w:pPr>
      <w:bookmarkStart w:id="2" w:name="_Toc510211752"/>
      <w:r>
        <w:rPr>
          <w:b/>
        </w:rPr>
        <w:t xml:space="preserve">2. </w:t>
      </w:r>
      <w:r w:rsidR="005C230C" w:rsidRPr="006D7A8C">
        <w:rPr>
          <w:b/>
        </w:rPr>
        <w:t xml:space="preserve">O </w:t>
      </w:r>
      <w:r w:rsidRPr="006D7A8C">
        <w:rPr>
          <w:b/>
        </w:rPr>
        <w:t xml:space="preserve">setor extrativo mineral brasileiro: uma análise a partir do </w:t>
      </w:r>
      <w:r w:rsidR="00B029EC">
        <w:rPr>
          <w:b/>
        </w:rPr>
        <w:t>paradigma</w:t>
      </w:r>
      <w:r w:rsidRPr="006D7A8C">
        <w:rPr>
          <w:b/>
        </w:rPr>
        <w:t xml:space="preserve"> </w:t>
      </w:r>
      <w:r w:rsidR="002828F2" w:rsidRPr="006D7A8C">
        <w:rPr>
          <w:b/>
        </w:rPr>
        <w:t>ECD</w:t>
      </w:r>
      <w:bookmarkEnd w:id="2"/>
    </w:p>
    <w:p w14:paraId="36EE9D82" w14:textId="575AD9F8" w:rsidR="00AC5598" w:rsidRPr="006D7A8C" w:rsidRDefault="00AC5598" w:rsidP="0064723A">
      <w:pPr>
        <w:pStyle w:val="Aria"/>
        <w:spacing w:before="120" w:after="120"/>
        <w:jc w:val="both"/>
      </w:pPr>
      <w:r w:rsidRPr="006D7A8C">
        <w:t xml:space="preserve">Segunda o IBGE, </w:t>
      </w:r>
      <w:r w:rsidR="00C6288A" w:rsidRPr="006D7A8C">
        <w:t xml:space="preserve">as </w:t>
      </w:r>
      <w:r w:rsidRPr="006D7A8C">
        <w:t>venda</w:t>
      </w:r>
      <w:r w:rsidR="00337F21" w:rsidRPr="006D7A8C">
        <w:t>s</w:t>
      </w:r>
      <w:r w:rsidRPr="006D7A8C">
        <w:t xml:space="preserve"> de produtos minerais cheg</w:t>
      </w:r>
      <w:r w:rsidR="00337F21" w:rsidRPr="006D7A8C">
        <w:t>aram</w:t>
      </w:r>
      <w:r w:rsidRPr="006D7A8C">
        <w:t xml:space="preserve"> a R$75,08 bilhões em 2015, respondendo por 3,48% </w:t>
      </w:r>
      <w:r w:rsidR="00C6288A" w:rsidRPr="006D7A8C">
        <w:t xml:space="preserve">das vendas industriais. </w:t>
      </w:r>
      <w:r w:rsidR="00337F21" w:rsidRPr="006D7A8C">
        <w:t>Todavia, observa-se que as mesmas vêm apresentando uma expressiva redução em valores e em participação nas vendas totais do país desde 2011, ano em que o País atingiu o maior volume registrado nos últimos 10 anos. Para maiores detalhes ver a figura abaixo.</w:t>
      </w:r>
    </w:p>
    <w:p w14:paraId="05DFCCC8" w14:textId="583E7EB9" w:rsidR="00AC5598" w:rsidRPr="006D7A8C" w:rsidRDefault="00AC5598" w:rsidP="0064723A">
      <w:pPr>
        <w:pStyle w:val="Legenda"/>
        <w:jc w:val="both"/>
        <w:rPr>
          <w:rFonts w:ascii="Times New Roman" w:hAnsi="Times New Roman" w:cs="Times New Roman"/>
          <w:color w:val="000000" w:themeColor="text1"/>
          <w:sz w:val="24"/>
          <w:szCs w:val="24"/>
        </w:rPr>
      </w:pPr>
      <w:r w:rsidRPr="006D7A8C">
        <w:rPr>
          <w:rFonts w:ascii="Times New Roman" w:hAnsi="Times New Roman" w:cs="Times New Roman"/>
          <w:noProof/>
          <w:color w:val="000000" w:themeColor="text1"/>
          <w:sz w:val="24"/>
          <w:szCs w:val="24"/>
        </w:rPr>
        <w:drawing>
          <wp:inline distT="0" distB="0" distL="0" distR="0" wp14:anchorId="75AEB357" wp14:editId="507571C2">
            <wp:extent cx="5400040" cy="3366135"/>
            <wp:effectExtent l="0" t="0" r="10160" b="5715"/>
            <wp:docPr id="1" name="Gráfico 1">
              <a:extLst xmlns:a="http://schemas.openxmlformats.org/drawingml/2006/main">
                <a:ext uri="{FF2B5EF4-FFF2-40B4-BE49-F238E27FC236}">
                  <a16:creationId xmlns:a16="http://schemas.microsoft.com/office/drawing/2014/main" id="{2151161F-5506-49F7-A7BE-6F3909CF03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836730" w14:textId="3F5C564F" w:rsidR="00121DD1" w:rsidRPr="006D7A8C" w:rsidRDefault="00121DD1" w:rsidP="0064723A">
      <w:pPr>
        <w:pStyle w:val="Aria"/>
        <w:jc w:val="both"/>
        <w:rPr>
          <w:color w:val="000000" w:themeColor="text1"/>
        </w:rPr>
      </w:pPr>
      <w:bookmarkStart w:id="3" w:name="_Toc510211769"/>
      <w:r w:rsidRPr="006D7A8C">
        <w:rPr>
          <w:b/>
          <w:color w:val="000000" w:themeColor="text1"/>
        </w:rPr>
        <w:t xml:space="preserve">Figura </w:t>
      </w:r>
      <w:r w:rsidRPr="006D7A8C">
        <w:rPr>
          <w:b/>
          <w:color w:val="000000" w:themeColor="text1"/>
        </w:rPr>
        <w:fldChar w:fldCharType="begin"/>
      </w:r>
      <w:r w:rsidRPr="006D7A8C">
        <w:rPr>
          <w:b/>
          <w:color w:val="000000" w:themeColor="text1"/>
        </w:rPr>
        <w:instrText xml:space="preserve"> SEQ Figura \* ARABIC </w:instrText>
      </w:r>
      <w:r w:rsidRPr="006D7A8C">
        <w:rPr>
          <w:b/>
          <w:color w:val="000000" w:themeColor="text1"/>
        </w:rPr>
        <w:fldChar w:fldCharType="separate"/>
      </w:r>
      <w:r w:rsidR="00F4491E" w:rsidRPr="006D7A8C">
        <w:rPr>
          <w:b/>
          <w:noProof/>
          <w:color w:val="000000" w:themeColor="text1"/>
        </w:rPr>
        <w:t>2</w:t>
      </w:r>
      <w:r w:rsidRPr="006D7A8C">
        <w:rPr>
          <w:b/>
          <w:color w:val="000000" w:themeColor="text1"/>
        </w:rPr>
        <w:fldChar w:fldCharType="end"/>
      </w:r>
      <w:r w:rsidRPr="006D7A8C">
        <w:rPr>
          <w:color w:val="000000" w:themeColor="text1"/>
        </w:rPr>
        <w:t xml:space="preserve"> - Vendas em R$ bilhões (valores de 2015)</w:t>
      </w:r>
      <w:bookmarkEnd w:id="3"/>
    </w:p>
    <w:p w14:paraId="74E81AB5" w14:textId="7C1A8C4D" w:rsidR="00AC5598" w:rsidRPr="00241E53" w:rsidRDefault="00337F21" w:rsidP="0064723A">
      <w:pPr>
        <w:pStyle w:val="Aria"/>
        <w:jc w:val="both"/>
        <w:rPr>
          <w:sz w:val="22"/>
          <w:szCs w:val="22"/>
        </w:rPr>
      </w:pPr>
      <w:r w:rsidRPr="00241E53">
        <w:rPr>
          <w:b/>
          <w:sz w:val="22"/>
          <w:szCs w:val="22"/>
        </w:rPr>
        <w:t>Fonte</w:t>
      </w:r>
      <w:r w:rsidRPr="00241E53">
        <w:rPr>
          <w:sz w:val="22"/>
          <w:szCs w:val="22"/>
        </w:rPr>
        <w:t>: PIA/IBGE</w:t>
      </w:r>
    </w:p>
    <w:p w14:paraId="25284988" w14:textId="77777777" w:rsidR="00337F21" w:rsidRPr="006D7A8C" w:rsidRDefault="00337F21" w:rsidP="0064723A">
      <w:pPr>
        <w:pStyle w:val="Aria"/>
        <w:spacing w:before="120" w:after="120"/>
        <w:jc w:val="both"/>
      </w:pPr>
    </w:p>
    <w:p w14:paraId="679E453D" w14:textId="6D6EBAD9" w:rsidR="003E5393" w:rsidRPr="006D7A8C" w:rsidRDefault="003E5393" w:rsidP="0064723A">
      <w:pPr>
        <w:pStyle w:val="Aria"/>
        <w:spacing w:before="120" w:after="120"/>
        <w:jc w:val="both"/>
      </w:pPr>
      <w:r w:rsidRPr="006D7A8C">
        <w:t xml:space="preserve">Vale destacar que tal movimentação decrescente no valor das vendas está associada à queda nos preços de alguns minérios, sobretudo do ferro, uma vez que houve um aumento médio de cerca de 40% na quantidade comercializada de minérios. </w:t>
      </w:r>
      <w:r w:rsidR="002B5B8F" w:rsidRPr="006D7A8C">
        <w:t xml:space="preserve">Antes de </w:t>
      </w:r>
      <w:r w:rsidR="002B5B8F" w:rsidRPr="006D7A8C">
        <w:lastRenderedPageBreak/>
        <w:t xml:space="preserve">adentrar nas variáveis do </w:t>
      </w:r>
      <w:r w:rsidR="00B029EC">
        <w:t>paradigma</w:t>
      </w:r>
      <w:r w:rsidR="002B5B8F" w:rsidRPr="006D7A8C">
        <w:t xml:space="preserve"> ECD será feita introdução com alguns indicadores que refletem as condições básicas de oferta e demanda de minério no Brasil.</w:t>
      </w:r>
    </w:p>
    <w:p w14:paraId="668D12D7" w14:textId="77777777" w:rsidR="00A10D8A" w:rsidRPr="006D7A8C" w:rsidRDefault="00A10D8A" w:rsidP="0064723A">
      <w:pPr>
        <w:pStyle w:val="Aria"/>
        <w:spacing w:before="120" w:after="120"/>
        <w:ind w:left="1069"/>
        <w:jc w:val="both"/>
      </w:pPr>
    </w:p>
    <w:p w14:paraId="2AAD8FBD" w14:textId="021F7E98" w:rsidR="002828F2" w:rsidRPr="006D7A8C" w:rsidRDefault="006D7A8C" w:rsidP="0064723A">
      <w:pPr>
        <w:pStyle w:val="Aria"/>
        <w:numPr>
          <w:ilvl w:val="1"/>
          <w:numId w:val="5"/>
        </w:numPr>
        <w:spacing w:before="120" w:after="120"/>
        <w:jc w:val="both"/>
        <w:rPr>
          <w:b/>
        </w:rPr>
      </w:pPr>
      <w:bookmarkStart w:id="4" w:name="_Toc510211753"/>
      <w:r>
        <w:rPr>
          <w:b/>
        </w:rPr>
        <w:t xml:space="preserve"> </w:t>
      </w:r>
      <w:r w:rsidRPr="006D7A8C">
        <w:rPr>
          <w:b/>
        </w:rPr>
        <w:t>Condições básicas do setor extrativo mineral brasileiro: oferta e demanda</w:t>
      </w:r>
      <w:bookmarkEnd w:id="4"/>
    </w:p>
    <w:p w14:paraId="3938EC11" w14:textId="6AD34231" w:rsidR="0086365A" w:rsidRPr="006D7A8C" w:rsidRDefault="002828F2" w:rsidP="0064723A">
      <w:pPr>
        <w:pStyle w:val="Aria"/>
        <w:spacing w:before="120" w:after="120"/>
        <w:jc w:val="both"/>
      </w:pPr>
      <w:r w:rsidRPr="006D7A8C">
        <w:t xml:space="preserve">De acordo com as últimas informações do </w:t>
      </w:r>
      <w:r w:rsidR="00AB12E9" w:rsidRPr="006D7A8C">
        <w:t>Departamento Nacional de Produção Mineral</w:t>
      </w:r>
      <w:r w:rsidRPr="006D7A8C">
        <w:t xml:space="preserve"> (DNPM, 2015)</w:t>
      </w:r>
      <w:r w:rsidR="00990FFE" w:rsidRPr="006D7A8C">
        <w:t>,</w:t>
      </w:r>
      <w:r w:rsidRPr="006D7A8C">
        <w:t xml:space="preserve"> o Brasil tem títulos ativos de pesquisa e lavra cadastrados para </w:t>
      </w:r>
      <w:r w:rsidR="00AB12E9" w:rsidRPr="006D7A8C">
        <w:t>37 substâncias metálicas</w:t>
      </w:r>
      <w:r w:rsidR="00990FFE" w:rsidRPr="006D7A8C">
        <w:t>,</w:t>
      </w:r>
      <w:r w:rsidR="00AB12E9" w:rsidRPr="006D7A8C">
        <w:t xml:space="preserve"> </w:t>
      </w:r>
      <w:r w:rsidR="00990FFE" w:rsidRPr="006D7A8C">
        <w:t>q</w:t>
      </w:r>
      <w:r w:rsidRPr="006D7A8C">
        <w:t xml:space="preserve">ue </w:t>
      </w:r>
      <w:r w:rsidR="00990FFE" w:rsidRPr="006D7A8C">
        <w:t>cor</w:t>
      </w:r>
      <w:r w:rsidRPr="006D7A8C">
        <w:t>respondiam, em 201</w:t>
      </w:r>
      <w:r w:rsidR="0086365A" w:rsidRPr="006D7A8C">
        <w:t>6</w:t>
      </w:r>
      <w:r w:rsidRPr="006D7A8C">
        <w:t xml:space="preserve">, por </w:t>
      </w:r>
      <w:r w:rsidR="00AB12E9" w:rsidRPr="006D7A8C">
        <w:t xml:space="preserve">76% do valor total da produção mineral brasileira. </w:t>
      </w:r>
      <w:r w:rsidRPr="006D7A8C">
        <w:t>Apesar do elevado número de substâncias identificadas, apenas oito</w:t>
      </w:r>
      <w:r w:rsidR="000136E0" w:rsidRPr="006D7A8C">
        <w:t xml:space="preserve"> (ferro, alumínio, cobre, estanho, manganês, nióbio, níquel e ouro)</w:t>
      </w:r>
      <w:r w:rsidRPr="006D7A8C">
        <w:t xml:space="preserve"> delas correspondiam </w:t>
      </w:r>
      <w:r w:rsidR="00990FFE" w:rsidRPr="006D7A8C">
        <w:t xml:space="preserve">a </w:t>
      </w:r>
      <w:r w:rsidR="00AB12E9" w:rsidRPr="006D7A8C">
        <w:t xml:space="preserve">98,5% do valor da produção </w:t>
      </w:r>
      <w:r w:rsidRPr="006D7A8C">
        <w:t>extrativa nacional</w:t>
      </w:r>
      <w:r w:rsidR="000136E0" w:rsidRPr="006D7A8C">
        <w:t>, cujo valor somou 67,5 bilhões de reais</w:t>
      </w:r>
      <w:r w:rsidR="0086365A" w:rsidRPr="006D7A8C">
        <w:t xml:space="preserve">. O principal destaque, como se sabe, é a produção de minério de </w:t>
      </w:r>
      <w:r w:rsidR="00AB12E9" w:rsidRPr="006D7A8C">
        <w:t>ferro</w:t>
      </w:r>
      <w:r w:rsidR="0086365A" w:rsidRPr="006D7A8C">
        <w:t>,</w:t>
      </w:r>
      <w:r w:rsidR="00AB12E9" w:rsidRPr="006D7A8C">
        <w:t xml:space="preserve"> cuja </w:t>
      </w:r>
      <w:r w:rsidR="0086365A" w:rsidRPr="006D7A8C">
        <w:t xml:space="preserve">atividade é realizada, sobretudo, em </w:t>
      </w:r>
      <w:r w:rsidR="00AB12E9" w:rsidRPr="006D7A8C">
        <w:t xml:space="preserve">Minas Gerais e Pará. </w:t>
      </w:r>
      <w:r w:rsidR="0086365A" w:rsidRPr="006D7A8C">
        <w:t>O minério de ferro responde</w:t>
      </w:r>
      <w:r w:rsidR="00E25DF3" w:rsidRPr="006D7A8C">
        <w:t>u, à época, por</w:t>
      </w:r>
      <w:r w:rsidR="0086365A" w:rsidRPr="006D7A8C">
        <w:t xml:space="preserve"> 61,7% do valor da produção comercializada, seguido pelo ouro</w:t>
      </w:r>
      <w:r w:rsidR="00E25DF3" w:rsidRPr="006D7A8C">
        <w:t xml:space="preserve"> – por conta do seu elevado valor no mercado e não </w:t>
      </w:r>
      <w:r w:rsidR="002B5B8F" w:rsidRPr="006D7A8C">
        <w:t xml:space="preserve">pelo </w:t>
      </w:r>
      <w:r w:rsidR="002B5B8F" w:rsidRPr="006D7A8C">
        <w:rPr>
          <w:i/>
        </w:rPr>
        <w:t>quantum</w:t>
      </w:r>
      <w:r w:rsidR="002B5B8F" w:rsidRPr="006D7A8C">
        <w:t xml:space="preserve"> produzido</w:t>
      </w:r>
      <w:r w:rsidR="00E25DF3" w:rsidRPr="006D7A8C">
        <w:t xml:space="preserve"> -</w:t>
      </w:r>
      <w:r w:rsidR="0086365A" w:rsidRPr="006D7A8C">
        <w:t xml:space="preserve"> e pelo alumínio. Para maiores detalhes ver a figura abaixo.</w:t>
      </w:r>
    </w:p>
    <w:p w14:paraId="0ACFB9B4" w14:textId="55176C26" w:rsidR="00E25DF3" w:rsidRPr="006D7A8C" w:rsidRDefault="006D7A8C" w:rsidP="0064723A">
      <w:pPr>
        <w:pStyle w:val="Aria"/>
        <w:spacing w:before="120" w:after="120"/>
        <w:jc w:val="both"/>
      </w:pPr>
      <w:r w:rsidRPr="006D7A8C">
        <w:rPr>
          <w:noProof/>
        </w:rPr>
        <w:drawing>
          <wp:inline distT="0" distB="0" distL="0" distR="0" wp14:anchorId="7E9CDC3F" wp14:editId="014FF6A6">
            <wp:extent cx="3779520" cy="2390775"/>
            <wp:effectExtent l="0" t="0" r="11430" b="9525"/>
            <wp:docPr id="2" name="Gráfico 2">
              <a:extLst xmlns:a="http://schemas.openxmlformats.org/drawingml/2006/main">
                <a:ext uri="{FF2B5EF4-FFF2-40B4-BE49-F238E27FC236}">
                  <a16:creationId xmlns:a16="http://schemas.microsoft.com/office/drawing/2014/main" id="{8C698E8E-DFC7-466E-88D8-0C31D5229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F3D9BB" w14:textId="285F7439" w:rsidR="00121DD1" w:rsidRPr="006D7A8C" w:rsidRDefault="00121DD1" w:rsidP="0064723A">
      <w:pPr>
        <w:pStyle w:val="Legenda"/>
        <w:spacing w:after="0"/>
        <w:jc w:val="both"/>
        <w:rPr>
          <w:rFonts w:ascii="Times New Roman" w:hAnsi="Times New Roman" w:cs="Times New Roman"/>
          <w:b/>
          <w:i w:val="0"/>
          <w:color w:val="000000" w:themeColor="text1"/>
          <w:sz w:val="24"/>
          <w:szCs w:val="24"/>
        </w:rPr>
      </w:pPr>
      <w:bookmarkStart w:id="5" w:name="_Toc510211770"/>
      <w:r w:rsidRPr="006D7A8C">
        <w:rPr>
          <w:rFonts w:ascii="Times New Roman" w:hAnsi="Times New Roman" w:cs="Times New Roman"/>
          <w:b/>
          <w:i w:val="0"/>
          <w:color w:val="000000" w:themeColor="text1"/>
          <w:sz w:val="24"/>
          <w:szCs w:val="24"/>
        </w:rPr>
        <w:t xml:space="preserve">Figura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Figura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3</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 Substâncias Metálicas – Participação no Valor da Produção Mineral Comercializada 2016</w:t>
      </w:r>
      <w:bookmarkEnd w:id="5"/>
    </w:p>
    <w:p w14:paraId="2DDC4F62" w14:textId="24BC5105" w:rsidR="00AC5598" w:rsidRPr="00241E53" w:rsidRDefault="00EF549C" w:rsidP="0064723A">
      <w:pPr>
        <w:pStyle w:val="Aria"/>
        <w:jc w:val="both"/>
        <w:rPr>
          <w:sz w:val="22"/>
          <w:szCs w:val="22"/>
        </w:rPr>
      </w:pPr>
      <w:r w:rsidRPr="00241E53">
        <w:rPr>
          <w:b/>
          <w:sz w:val="22"/>
          <w:szCs w:val="22"/>
        </w:rPr>
        <w:t xml:space="preserve">Fonte: </w:t>
      </w:r>
      <w:r w:rsidRPr="00241E53">
        <w:rPr>
          <w:sz w:val="22"/>
          <w:szCs w:val="22"/>
        </w:rPr>
        <w:t>Anuário Mineral Brasileiro – principais substâncias metálicas (2016)</w:t>
      </w:r>
    </w:p>
    <w:p w14:paraId="677D03E2" w14:textId="7FBC12D1" w:rsidR="00EF549C" w:rsidRPr="006D7A8C" w:rsidRDefault="00EF549C" w:rsidP="0064723A">
      <w:pPr>
        <w:pStyle w:val="Aria"/>
        <w:spacing w:before="120" w:after="120"/>
        <w:jc w:val="both"/>
      </w:pPr>
    </w:p>
    <w:p w14:paraId="6D2ADADA" w14:textId="01B3B1B3" w:rsidR="00BF2797" w:rsidRPr="006D7A8C" w:rsidRDefault="00E25DF3" w:rsidP="0064723A">
      <w:pPr>
        <w:pStyle w:val="Aria"/>
        <w:spacing w:before="120" w:after="120"/>
        <w:jc w:val="both"/>
      </w:pPr>
      <w:r w:rsidRPr="006D7A8C">
        <w:t>Outra importante característica para a avaliação das condições básicas do setor, no que tange à oferta, é a elevada concentração geográfica da atividade extrativa em apenas em apenas duas unidades federativas: Minas Gerais, que foi responsável por 48,7% do valor da produção comercializado; e, o Pará, cuja proporção do total comercializado foi de 37,04%</w:t>
      </w:r>
      <w:r w:rsidR="00990FFE" w:rsidRPr="006D7A8C">
        <w:rPr>
          <w:rStyle w:val="Refdenotaderodap"/>
        </w:rPr>
        <w:footnoteReference w:id="1"/>
      </w:r>
      <w:r w:rsidR="00990FFE" w:rsidRPr="006D7A8C">
        <w:t xml:space="preserve">. </w:t>
      </w:r>
    </w:p>
    <w:p w14:paraId="256049D2" w14:textId="2448FA02" w:rsidR="00BF2797" w:rsidRPr="006D7A8C" w:rsidRDefault="00CF6933" w:rsidP="0064723A">
      <w:pPr>
        <w:pStyle w:val="Aria"/>
        <w:spacing w:before="120" w:after="120"/>
        <w:jc w:val="both"/>
      </w:pPr>
      <w:r w:rsidRPr="006D7A8C">
        <w:t>Mais uma característica a ser destacada n</w:t>
      </w:r>
      <w:r w:rsidR="00E25DF3" w:rsidRPr="006D7A8C">
        <w:t>a atividade extrativa no País é</w:t>
      </w:r>
      <w:r w:rsidR="003F7056" w:rsidRPr="006D7A8C">
        <w:t xml:space="preserve"> que a maior parte do valor da produção foi na forma de bens beneficiados. As exceções são para o cobre, o estanho e o nióbio cuja produção se concentra na forma bruta</w:t>
      </w:r>
      <w:r w:rsidR="00990FFE" w:rsidRPr="006D7A8C">
        <w:rPr>
          <w:rStyle w:val="Refdenotaderodap"/>
        </w:rPr>
        <w:footnoteReference w:id="2"/>
      </w:r>
      <w:r w:rsidR="003F7056" w:rsidRPr="006D7A8C">
        <w:t xml:space="preserve">. </w:t>
      </w:r>
    </w:p>
    <w:p w14:paraId="14723D70" w14:textId="41DF78BA" w:rsidR="00563537" w:rsidRPr="006D7A8C" w:rsidRDefault="003F7056" w:rsidP="0064723A">
      <w:pPr>
        <w:pStyle w:val="Aria"/>
        <w:spacing w:before="120" w:after="120"/>
        <w:jc w:val="both"/>
      </w:pPr>
      <w:r w:rsidRPr="006D7A8C">
        <w:t>Não obstante tais resultados apontem para uma concentração de minérios beneficiados, o que se tem é um baixo adensamento da cadeia produtiva mineral, fato que se confirma</w:t>
      </w:r>
      <w:r w:rsidR="00475593" w:rsidRPr="006D7A8C">
        <w:t>,</w:t>
      </w:r>
      <w:r w:rsidRPr="006D7A8C">
        <w:t xml:space="preserve"> quando analisados os dados das exportações brasileiras, com destaque para o </w:t>
      </w:r>
      <w:r w:rsidRPr="006D7A8C">
        <w:lastRenderedPageBreak/>
        <w:t xml:space="preserve">minério de ferro, cuja atividade exportadora </w:t>
      </w:r>
      <w:r w:rsidR="00475593" w:rsidRPr="006D7A8C">
        <w:t xml:space="preserve">se </w:t>
      </w:r>
      <w:r w:rsidRPr="006D7A8C">
        <w:t xml:space="preserve">concentrou integralmente nos chamados bens primários. Para o conjunto de substâncias metálicas exportadas os Bens Primários responderam por 64,8% do valor total exportado, 33,4% foram semimanufaturados e apenas 1,6% de bens manufaturados. A Tabela abaixo traz tais informações em detalhes. </w:t>
      </w:r>
    </w:p>
    <w:p w14:paraId="5FB0E357" w14:textId="2AA226C9" w:rsidR="00563537" w:rsidRPr="006D7A8C" w:rsidRDefault="003F7056" w:rsidP="0064723A">
      <w:pPr>
        <w:pStyle w:val="Legenda"/>
        <w:spacing w:after="0"/>
        <w:jc w:val="both"/>
        <w:rPr>
          <w:rFonts w:ascii="Times New Roman" w:eastAsia="Times New Roman" w:hAnsi="Times New Roman" w:cs="Times New Roman"/>
          <w:i w:val="0"/>
          <w:color w:val="000000" w:themeColor="text1"/>
          <w:sz w:val="24"/>
          <w:szCs w:val="24"/>
        </w:rPr>
      </w:pPr>
      <w:bookmarkStart w:id="6" w:name="_Toc510210949"/>
      <w:r w:rsidRPr="006D7A8C">
        <w:rPr>
          <w:rFonts w:ascii="Times New Roman" w:hAnsi="Times New Roman" w:cs="Times New Roman"/>
          <w:b/>
          <w:i w:val="0"/>
          <w:color w:val="000000" w:themeColor="text1"/>
          <w:sz w:val="24"/>
          <w:szCs w:val="24"/>
        </w:rPr>
        <w:t xml:space="preserve">Tabela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Tabela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1</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 Valor das Exportações das principais sustâncias metálicas Valores em US$ FOB - 2016</w:t>
      </w:r>
      <w:bookmarkEnd w:id="6"/>
    </w:p>
    <w:tbl>
      <w:tblPr>
        <w:tblW w:w="9055" w:type="dxa"/>
        <w:tblCellMar>
          <w:left w:w="70" w:type="dxa"/>
          <w:right w:w="70" w:type="dxa"/>
        </w:tblCellMar>
        <w:tblLook w:val="04A0" w:firstRow="1" w:lastRow="0" w:firstColumn="1" w:lastColumn="0" w:noHBand="0" w:noVBand="1"/>
      </w:tblPr>
      <w:tblGrid>
        <w:gridCol w:w="1354"/>
        <w:gridCol w:w="1460"/>
        <w:gridCol w:w="2221"/>
        <w:gridCol w:w="1741"/>
        <w:gridCol w:w="1274"/>
        <w:gridCol w:w="1460"/>
      </w:tblGrid>
      <w:tr w:rsidR="00563537" w:rsidRPr="006D7A8C" w14:paraId="101A96AA" w14:textId="77777777" w:rsidTr="00563537">
        <w:trPr>
          <w:trHeight w:val="600"/>
        </w:trPr>
        <w:tc>
          <w:tcPr>
            <w:tcW w:w="1214" w:type="dxa"/>
            <w:tcBorders>
              <w:top w:val="single" w:sz="4" w:space="0" w:color="auto"/>
              <w:left w:val="nil"/>
              <w:bottom w:val="single" w:sz="4" w:space="0" w:color="auto"/>
              <w:right w:val="nil"/>
            </w:tcBorders>
            <w:shd w:val="clear" w:color="000000" w:fill="FFFFFF"/>
            <w:noWrap/>
            <w:vAlign w:val="center"/>
            <w:hideMark/>
          </w:tcPr>
          <w:p w14:paraId="19EFACD7" w14:textId="77777777"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Substâncias</w:t>
            </w:r>
          </w:p>
        </w:tc>
        <w:tc>
          <w:tcPr>
            <w:tcW w:w="1460" w:type="dxa"/>
            <w:tcBorders>
              <w:top w:val="single" w:sz="4" w:space="0" w:color="auto"/>
              <w:left w:val="nil"/>
              <w:bottom w:val="single" w:sz="4" w:space="0" w:color="auto"/>
              <w:right w:val="nil"/>
            </w:tcBorders>
            <w:shd w:val="clear" w:color="000000" w:fill="FFFFFF"/>
            <w:vAlign w:val="center"/>
            <w:hideMark/>
          </w:tcPr>
          <w:p w14:paraId="1AC67539" w14:textId="77777777"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Bens Primários</w:t>
            </w:r>
          </w:p>
        </w:tc>
        <w:tc>
          <w:tcPr>
            <w:tcW w:w="2060" w:type="dxa"/>
            <w:tcBorders>
              <w:top w:val="single" w:sz="4" w:space="0" w:color="auto"/>
              <w:left w:val="nil"/>
              <w:bottom w:val="single" w:sz="4" w:space="0" w:color="auto"/>
              <w:right w:val="nil"/>
            </w:tcBorders>
            <w:shd w:val="clear" w:color="000000" w:fill="FFFFFF"/>
            <w:vAlign w:val="center"/>
            <w:hideMark/>
          </w:tcPr>
          <w:p w14:paraId="4A8BB943" w14:textId="77777777"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Semimanufaturados</w:t>
            </w:r>
          </w:p>
        </w:tc>
        <w:tc>
          <w:tcPr>
            <w:tcW w:w="1700" w:type="dxa"/>
            <w:tcBorders>
              <w:top w:val="single" w:sz="4" w:space="0" w:color="auto"/>
              <w:left w:val="nil"/>
              <w:bottom w:val="single" w:sz="4" w:space="0" w:color="auto"/>
              <w:right w:val="nil"/>
            </w:tcBorders>
            <w:shd w:val="clear" w:color="000000" w:fill="FFFFFF"/>
            <w:vAlign w:val="center"/>
            <w:hideMark/>
          </w:tcPr>
          <w:p w14:paraId="6D4F29F6" w14:textId="77777777"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Manufaturados</w:t>
            </w:r>
          </w:p>
        </w:tc>
        <w:tc>
          <w:tcPr>
            <w:tcW w:w="1161" w:type="dxa"/>
            <w:tcBorders>
              <w:top w:val="single" w:sz="4" w:space="0" w:color="auto"/>
              <w:left w:val="nil"/>
              <w:bottom w:val="single" w:sz="4" w:space="0" w:color="auto"/>
              <w:right w:val="nil"/>
            </w:tcBorders>
            <w:shd w:val="clear" w:color="000000" w:fill="FFFFFF"/>
            <w:vAlign w:val="center"/>
            <w:hideMark/>
          </w:tcPr>
          <w:p w14:paraId="1109AE6B" w14:textId="77777777"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Compostos Químicos</w:t>
            </w:r>
          </w:p>
        </w:tc>
        <w:tc>
          <w:tcPr>
            <w:tcW w:w="1460" w:type="dxa"/>
            <w:tcBorders>
              <w:top w:val="single" w:sz="4" w:space="0" w:color="auto"/>
              <w:left w:val="nil"/>
              <w:bottom w:val="single" w:sz="4" w:space="0" w:color="auto"/>
              <w:right w:val="nil"/>
            </w:tcBorders>
            <w:shd w:val="clear" w:color="000000" w:fill="FFFFFF"/>
            <w:vAlign w:val="center"/>
            <w:hideMark/>
          </w:tcPr>
          <w:p w14:paraId="3B74EFA6" w14:textId="7EE47028" w:rsidR="00563537" w:rsidRPr="006D7A8C" w:rsidRDefault="00563537" w:rsidP="0064723A">
            <w:pPr>
              <w:spacing w:after="0" w:line="240" w:lineRule="auto"/>
              <w:jc w:val="both"/>
              <w:rPr>
                <w:rFonts w:ascii="Times New Roman" w:eastAsia="Times New Roman" w:hAnsi="Times New Roman" w:cs="Times New Roman"/>
                <w:b/>
                <w:bCs/>
                <w:color w:val="000000"/>
                <w:sz w:val="24"/>
                <w:szCs w:val="24"/>
              </w:rPr>
            </w:pPr>
            <w:proofErr w:type="gramStart"/>
            <w:r w:rsidRPr="006D7A8C">
              <w:rPr>
                <w:rFonts w:ascii="Times New Roman" w:eastAsia="Times New Roman" w:hAnsi="Times New Roman" w:cs="Times New Roman"/>
                <w:b/>
                <w:bCs/>
                <w:color w:val="000000"/>
                <w:sz w:val="24"/>
                <w:szCs w:val="24"/>
              </w:rPr>
              <w:t>Total</w:t>
            </w:r>
            <w:r w:rsidR="0016335E">
              <w:rPr>
                <w:rFonts w:ascii="Times New Roman" w:eastAsia="Times New Roman" w:hAnsi="Times New Roman" w:cs="Times New Roman"/>
                <w:b/>
                <w:bCs/>
                <w:color w:val="000000"/>
                <w:sz w:val="24"/>
                <w:szCs w:val="24"/>
              </w:rPr>
              <w:t>(</w:t>
            </w:r>
            <w:proofErr w:type="gramEnd"/>
            <w:r w:rsidRPr="006D7A8C">
              <w:rPr>
                <w:rFonts w:ascii="Times New Roman" w:eastAsia="Times New Roman" w:hAnsi="Times New Roman" w:cs="Times New Roman"/>
                <w:b/>
                <w:bCs/>
                <w:color w:val="000000"/>
                <w:sz w:val="24"/>
                <w:szCs w:val="24"/>
              </w:rPr>
              <w:t>R$ milhões</w:t>
            </w:r>
            <w:r w:rsidR="0016335E">
              <w:rPr>
                <w:rFonts w:ascii="Times New Roman" w:eastAsia="Times New Roman" w:hAnsi="Times New Roman" w:cs="Times New Roman"/>
                <w:b/>
                <w:bCs/>
                <w:color w:val="000000"/>
                <w:sz w:val="24"/>
                <w:szCs w:val="24"/>
              </w:rPr>
              <w:t>)</w:t>
            </w:r>
          </w:p>
        </w:tc>
      </w:tr>
      <w:tr w:rsidR="00563537" w:rsidRPr="006D7A8C" w14:paraId="19F5D58C" w14:textId="77777777" w:rsidTr="00563537">
        <w:trPr>
          <w:trHeight w:val="315"/>
        </w:trPr>
        <w:tc>
          <w:tcPr>
            <w:tcW w:w="1214" w:type="dxa"/>
            <w:tcBorders>
              <w:top w:val="nil"/>
              <w:left w:val="nil"/>
              <w:bottom w:val="double" w:sz="6" w:space="0" w:color="auto"/>
              <w:right w:val="nil"/>
            </w:tcBorders>
            <w:shd w:val="clear" w:color="000000" w:fill="FFFFFF"/>
            <w:noWrap/>
            <w:vAlign w:val="bottom"/>
            <w:hideMark/>
          </w:tcPr>
          <w:p w14:paraId="6712A5B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Total</w:t>
            </w:r>
          </w:p>
        </w:tc>
        <w:tc>
          <w:tcPr>
            <w:tcW w:w="1460" w:type="dxa"/>
            <w:tcBorders>
              <w:top w:val="nil"/>
              <w:left w:val="nil"/>
              <w:bottom w:val="double" w:sz="6" w:space="0" w:color="auto"/>
              <w:right w:val="nil"/>
            </w:tcBorders>
            <w:shd w:val="clear" w:color="000000" w:fill="FFFFFF"/>
            <w:noWrap/>
            <w:vAlign w:val="bottom"/>
            <w:hideMark/>
          </w:tcPr>
          <w:p w14:paraId="516B380A"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64,78%</w:t>
            </w:r>
          </w:p>
        </w:tc>
        <w:tc>
          <w:tcPr>
            <w:tcW w:w="2060" w:type="dxa"/>
            <w:tcBorders>
              <w:top w:val="nil"/>
              <w:left w:val="nil"/>
              <w:bottom w:val="double" w:sz="6" w:space="0" w:color="auto"/>
              <w:right w:val="nil"/>
            </w:tcBorders>
            <w:shd w:val="clear" w:color="000000" w:fill="FFFFFF"/>
            <w:noWrap/>
            <w:vAlign w:val="bottom"/>
            <w:hideMark/>
          </w:tcPr>
          <w:p w14:paraId="1951AF14"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33,38%</w:t>
            </w:r>
          </w:p>
        </w:tc>
        <w:tc>
          <w:tcPr>
            <w:tcW w:w="1700" w:type="dxa"/>
            <w:tcBorders>
              <w:top w:val="nil"/>
              <w:left w:val="nil"/>
              <w:bottom w:val="double" w:sz="6" w:space="0" w:color="auto"/>
              <w:right w:val="nil"/>
            </w:tcBorders>
            <w:shd w:val="clear" w:color="000000" w:fill="FFFFFF"/>
            <w:noWrap/>
            <w:vAlign w:val="bottom"/>
            <w:hideMark/>
          </w:tcPr>
          <w:p w14:paraId="6DB644C4"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1,60%</w:t>
            </w:r>
          </w:p>
        </w:tc>
        <w:tc>
          <w:tcPr>
            <w:tcW w:w="1161" w:type="dxa"/>
            <w:tcBorders>
              <w:top w:val="nil"/>
              <w:left w:val="nil"/>
              <w:bottom w:val="double" w:sz="6" w:space="0" w:color="auto"/>
              <w:right w:val="nil"/>
            </w:tcBorders>
            <w:shd w:val="clear" w:color="000000" w:fill="FFFFFF"/>
            <w:noWrap/>
            <w:vAlign w:val="bottom"/>
            <w:hideMark/>
          </w:tcPr>
          <w:p w14:paraId="0478FD6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0,23%</w:t>
            </w:r>
          </w:p>
        </w:tc>
        <w:tc>
          <w:tcPr>
            <w:tcW w:w="1460" w:type="dxa"/>
            <w:tcBorders>
              <w:top w:val="nil"/>
              <w:left w:val="nil"/>
              <w:bottom w:val="double" w:sz="6" w:space="0" w:color="auto"/>
              <w:right w:val="nil"/>
            </w:tcBorders>
            <w:shd w:val="clear" w:color="000000" w:fill="FFFFFF"/>
            <w:noWrap/>
            <w:vAlign w:val="bottom"/>
            <w:hideMark/>
          </w:tcPr>
          <w:p w14:paraId="309D348D"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25.668,4</w:t>
            </w:r>
          </w:p>
        </w:tc>
      </w:tr>
      <w:tr w:rsidR="00563537" w:rsidRPr="006D7A8C" w14:paraId="362AA07C" w14:textId="77777777" w:rsidTr="00563537">
        <w:trPr>
          <w:trHeight w:val="315"/>
        </w:trPr>
        <w:tc>
          <w:tcPr>
            <w:tcW w:w="1214" w:type="dxa"/>
            <w:tcBorders>
              <w:top w:val="nil"/>
              <w:left w:val="nil"/>
              <w:bottom w:val="nil"/>
              <w:right w:val="nil"/>
            </w:tcBorders>
            <w:shd w:val="clear" w:color="000000" w:fill="FFFFFF"/>
            <w:noWrap/>
            <w:vAlign w:val="bottom"/>
            <w:hideMark/>
          </w:tcPr>
          <w:p w14:paraId="070E2AEA"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Alumínio</w:t>
            </w:r>
          </w:p>
        </w:tc>
        <w:tc>
          <w:tcPr>
            <w:tcW w:w="1460" w:type="dxa"/>
            <w:tcBorders>
              <w:top w:val="nil"/>
              <w:left w:val="nil"/>
              <w:bottom w:val="nil"/>
              <w:right w:val="nil"/>
            </w:tcBorders>
            <w:shd w:val="clear" w:color="000000" w:fill="FFFFFF"/>
            <w:noWrap/>
            <w:vAlign w:val="bottom"/>
            <w:hideMark/>
          </w:tcPr>
          <w:p w14:paraId="4590F852"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8,05%</w:t>
            </w:r>
          </w:p>
        </w:tc>
        <w:tc>
          <w:tcPr>
            <w:tcW w:w="2060" w:type="dxa"/>
            <w:tcBorders>
              <w:top w:val="nil"/>
              <w:left w:val="nil"/>
              <w:bottom w:val="nil"/>
              <w:right w:val="nil"/>
            </w:tcBorders>
            <w:shd w:val="clear" w:color="000000" w:fill="FFFFFF"/>
            <w:noWrap/>
            <w:vAlign w:val="bottom"/>
            <w:hideMark/>
          </w:tcPr>
          <w:p w14:paraId="65934D29"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91,95%</w:t>
            </w:r>
          </w:p>
        </w:tc>
        <w:tc>
          <w:tcPr>
            <w:tcW w:w="1700" w:type="dxa"/>
            <w:tcBorders>
              <w:top w:val="nil"/>
              <w:left w:val="nil"/>
              <w:bottom w:val="nil"/>
              <w:right w:val="nil"/>
            </w:tcBorders>
            <w:shd w:val="clear" w:color="000000" w:fill="FFFFFF"/>
            <w:noWrap/>
            <w:vAlign w:val="bottom"/>
            <w:hideMark/>
          </w:tcPr>
          <w:p w14:paraId="5F0402E5"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161" w:type="dxa"/>
            <w:tcBorders>
              <w:top w:val="nil"/>
              <w:left w:val="nil"/>
              <w:bottom w:val="nil"/>
              <w:right w:val="nil"/>
            </w:tcBorders>
            <w:shd w:val="clear" w:color="000000" w:fill="FFFFFF"/>
            <w:noWrap/>
            <w:vAlign w:val="bottom"/>
            <w:hideMark/>
          </w:tcPr>
          <w:p w14:paraId="37F005B3"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460" w:type="dxa"/>
            <w:tcBorders>
              <w:top w:val="nil"/>
              <w:left w:val="nil"/>
              <w:bottom w:val="nil"/>
              <w:right w:val="nil"/>
            </w:tcBorders>
            <w:shd w:val="clear" w:color="000000" w:fill="FFFFFF"/>
            <w:noWrap/>
            <w:vAlign w:val="bottom"/>
            <w:hideMark/>
          </w:tcPr>
          <w:p w14:paraId="0E177D32"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3.364,0</w:t>
            </w:r>
          </w:p>
        </w:tc>
      </w:tr>
      <w:tr w:rsidR="00563537" w:rsidRPr="006D7A8C" w14:paraId="6C86C944" w14:textId="77777777" w:rsidTr="00563537">
        <w:trPr>
          <w:trHeight w:val="300"/>
        </w:trPr>
        <w:tc>
          <w:tcPr>
            <w:tcW w:w="1214" w:type="dxa"/>
            <w:tcBorders>
              <w:top w:val="nil"/>
              <w:left w:val="nil"/>
              <w:bottom w:val="nil"/>
              <w:right w:val="nil"/>
            </w:tcBorders>
            <w:shd w:val="clear" w:color="000000" w:fill="FFFFFF"/>
            <w:noWrap/>
            <w:vAlign w:val="bottom"/>
            <w:hideMark/>
          </w:tcPr>
          <w:p w14:paraId="1C5B8D2A"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Cobre</w:t>
            </w:r>
          </w:p>
        </w:tc>
        <w:tc>
          <w:tcPr>
            <w:tcW w:w="1460" w:type="dxa"/>
            <w:tcBorders>
              <w:top w:val="nil"/>
              <w:left w:val="nil"/>
              <w:bottom w:val="nil"/>
              <w:right w:val="nil"/>
            </w:tcBorders>
            <w:shd w:val="clear" w:color="000000" w:fill="FFFFFF"/>
            <w:noWrap/>
            <w:vAlign w:val="bottom"/>
            <w:hideMark/>
          </w:tcPr>
          <w:p w14:paraId="7F434F1C"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65,33%</w:t>
            </w:r>
          </w:p>
        </w:tc>
        <w:tc>
          <w:tcPr>
            <w:tcW w:w="2060" w:type="dxa"/>
            <w:tcBorders>
              <w:top w:val="nil"/>
              <w:left w:val="nil"/>
              <w:bottom w:val="nil"/>
              <w:right w:val="nil"/>
            </w:tcBorders>
            <w:shd w:val="clear" w:color="000000" w:fill="FFFFFF"/>
            <w:noWrap/>
            <w:vAlign w:val="bottom"/>
            <w:hideMark/>
          </w:tcPr>
          <w:p w14:paraId="543ED09E"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23,15%</w:t>
            </w:r>
          </w:p>
        </w:tc>
        <w:tc>
          <w:tcPr>
            <w:tcW w:w="1700" w:type="dxa"/>
            <w:tcBorders>
              <w:top w:val="nil"/>
              <w:left w:val="nil"/>
              <w:bottom w:val="nil"/>
              <w:right w:val="nil"/>
            </w:tcBorders>
            <w:shd w:val="clear" w:color="000000" w:fill="FFFFFF"/>
            <w:noWrap/>
            <w:vAlign w:val="bottom"/>
            <w:hideMark/>
          </w:tcPr>
          <w:p w14:paraId="08D62986"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11,32%</w:t>
            </w:r>
          </w:p>
        </w:tc>
        <w:tc>
          <w:tcPr>
            <w:tcW w:w="1161" w:type="dxa"/>
            <w:tcBorders>
              <w:top w:val="nil"/>
              <w:left w:val="nil"/>
              <w:bottom w:val="nil"/>
              <w:right w:val="nil"/>
            </w:tcBorders>
            <w:shd w:val="clear" w:color="000000" w:fill="FFFFFF"/>
            <w:noWrap/>
            <w:vAlign w:val="bottom"/>
            <w:hideMark/>
          </w:tcPr>
          <w:p w14:paraId="1B03B147"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0,19%</w:t>
            </w:r>
          </w:p>
        </w:tc>
        <w:tc>
          <w:tcPr>
            <w:tcW w:w="1460" w:type="dxa"/>
            <w:tcBorders>
              <w:top w:val="nil"/>
              <w:left w:val="nil"/>
              <w:bottom w:val="nil"/>
              <w:right w:val="nil"/>
            </w:tcBorders>
            <w:shd w:val="clear" w:color="000000" w:fill="FFFFFF"/>
            <w:noWrap/>
            <w:vAlign w:val="bottom"/>
            <w:hideMark/>
          </w:tcPr>
          <w:p w14:paraId="77B4C216"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3.036,9</w:t>
            </w:r>
          </w:p>
        </w:tc>
      </w:tr>
      <w:tr w:rsidR="00563537" w:rsidRPr="006D7A8C" w14:paraId="2F57479E" w14:textId="77777777" w:rsidTr="00563537">
        <w:trPr>
          <w:trHeight w:val="300"/>
        </w:trPr>
        <w:tc>
          <w:tcPr>
            <w:tcW w:w="1214" w:type="dxa"/>
            <w:tcBorders>
              <w:top w:val="nil"/>
              <w:left w:val="nil"/>
              <w:bottom w:val="nil"/>
              <w:right w:val="nil"/>
            </w:tcBorders>
            <w:shd w:val="clear" w:color="000000" w:fill="FFFFFF"/>
            <w:noWrap/>
            <w:vAlign w:val="bottom"/>
            <w:hideMark/>
          </w:tcPr>
          <w:p w14:paraId="09E4188A"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Estanho</w:t>
            </w:r>
          </w:p>
        </w:tc>
        <w:tc>
          <w:tcPr>
            <w:tcW w:w="1460" w:type="dxa"/>
            <w:tcBorders>
              <w:top w:val="nil"/>
              <w:left w:val="nil"/>
              <w:bottom w:val="nil"/>
              <w:right w:val="nil"/>
            </w:tcBorders>
            <w:shd w:val="clear" w:color="000000" w:fill="FFFFFF"/>
            <w:noWrap/>
            <w:vAlign w:val="bottom"/>
            <w:hideMark/>
          </w:tcPr>
          <w:p w14:paraId="0E8E09BA"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13,89%</w:t>
            </w:r>
          </w:p>
        </w:tc>
        <w:tc>
          <w:tcPr>
            <w:tcW w:w="2060" w:type="dxa"/>
            <w:tcBorders>
              <w:top w:val="nil"/>
              <w:left w:val="nil"/>
              <w:bottom w:val="nil"/>
              <w:right w:val="nil"/>
            </w:tcBorders>
            <w:shd w:val="clear" w:color="000000" w:fill="FFFFFF"/>
            <w:noWrap/>
            <w:vAlign w:val="bottom"/>
            <w:hideMark/>
          </w:tcPr>
          <w:p w14:paraId="7A17E2C2"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82,51%</w:t>
            </w:r>
          </w:p>
        </w:tc>
        <w:tc>
          <w:tcPr>
            <w:tcW w:w="1700" w:type="dxa"/>
            <w:tcBorders>
              <w:top w:val="nil"/>
              <w:left w:val="nil"/>
              <w:bottom w:val="nil"/>
              <w:right w:val="nil"/>
            </w:tcBorders>
            <w:shd w:val="clear" w:color="000000" w:fill="FFFFFF"/>
            <w:noWrap/>
            <w:vAlign w:val="bottom"/>
            <w:hideMark/>
          </w:tcPr>
          <w:p w14:paraId="0163238B"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3,58%</w:t>
            </w:r>
          </w:p>
        </w:tc>
        <w:tc>
          <w:tcPr>
            <w:tcW w:w="1161" w:type="dxa"/>
            <w:tcBorders>
              <w:top w:val="nil"/>
              <w:left w:val="nil"/>
              <w:bottom w:val="nil"/>
              <w:right w:val="nil"/>
            </w:tcBorders>
            <w:shd w:val="clear" w:color="000000" w:fill="FFFFFF"/>
            <w:noWrap/>
            <w:vAlign w:val="bottom"/>
            <w:hideMark/>
          </w:tcPr>
          <w:p w14:paraId="535730BC"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0,01%</w:t>
            </w:r>
          </w:p>
        </w:tc>
        <w:tc>
          <w:tcPr>
            <w:tcW w:w="1460" w:type="dxa"/>
            <w:tcBorders>
              <w:top w:val="nil"/>
              <w:left w:val="nil"/>
              <w:bottom w:val="nil"/>
              <w:right w:val="nil"/>
            </w:tcBorders>
            <w:shd w:val="clear" w:color="000000" w:fill="FFFFFF"/>
            <w:noWrap/>
            <w:vAlign w:val="bottom"/>
            <w:hideMark/>
          </w:tcPr>
          <w:p w14:paraId="52F580B3"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150,2</w:t>
            </w:r>
          </w:p>
        </w:tc>
      </w:tr>
      <w:tr w:rsidR="00563537" w:rsidRPr="006D7A8C" w14:paraId="5017D35E" w14:textId="77777777" w:rsidTr="00563537">
        <w:trPr>
          <w:trHeight w:val="300"/>
        </w:trPr>
        <w:tc>
          <w:tcPr>
            <w:tcW w:w="1214" w:type="dxa"/>
            <w:tcBorders>
              <w:top w:val="nil"/>
              <w:left w:val="nil"/>
              <w:bottom w:val="nil"/>
              <w:right w:val="nil"/>
            </w:tcBorders>
            <w:shd w:val="clear" w:color="000000" w:fill="FFFFFF"/>
            <w:noWrap/>
            <w:vAlign w:val="bottom"/>
            <w:hideMark/>
          </w:tcPr>
          <w:p w14:paraId="42634427"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Ferro</w:t>
            </w:r>
          </w:p>
        </w:tc>
        <w:tc>
          <w:tcPr>
            <w:tcW w:w="1460" w:type="dxa"/>
            <w:tcBorders>
              <w:top w:val="nil"/>
              <w:left w:val="nil"/>
              <w:bottom w:val="nil"/>
              <w:right w:val="nil"/>
            </w:tcBorders>
            <w:shd w:val="clear" w:color="000000" w:fill="FFFFFF"/>
            <w:noWrap/>
            <w:vAlign w:val="bottom"/>
            <w:hideMark/>
          </w:tcPr>
          <w:p w14:paraId="753A5824"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100,00%</w:t>
            </w:r>
          </w:p>
        </w:tc>
        <w:tc>
          <w:tcPr>
            <w:tcW w:w="2060" w:type="dxa"/>
            <w:tcBorders>
              <w:top w:val="nil"/>
              <w:left w:val="nil"/>
              <w:bottom w:val="nil"/>
              <w:right w:val="nil"/>
            </w:tcBorders>
            <w:shd w:val="clear" w:color="000000" w:fill="FFFFFF"/>
            <w:noWrap/>
            <w:vAlign w:val="bottom"/>
            <w:hideMark/>
          </w:tcPr>
          <w:p w14:paraId="5A546453"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700" w:type="dxa"/>
            <w:tcBorders>
              <w:top w:val="nil"/>
              <w:left w:val="nil"/>
              <w:bottom w:val="nil"/>
              <w:right w:val="nil"/>
            </w:tcBorders>
            <w:shd w:val="clear" w:color="000000" w:fill="FFFFFF"/>
            <w:noWrap/>
            <w:vAlign w:val="bottom"/>
            <w:hideMark/>
          </w:tcPr>
          <w:p w14:paraId="729998BE"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161" w:type="dxa"/>
            <w:tcBorders>
              <w:top w:val="nil"/>
              <w:left w:val="nil"/>
              <w:bottom w:val="nil"/>
              <w:right w:val="nil"/>
            </w:tcBorders>
            <w:shd w:val="clear" w:color="000000" w:fill="FFFFFF"/>
            <w:noWrap/>
            <w:vAlign w:val="bottom"/>
            <w:hideMark/>
          </w:tcPr>
          <w:p w14:paraId="0985B40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460" w:type="dxa"/>
            <w:tcBorders>
              <w:top w:val="nil"/>
              <w:left w:val="nil"/>
              <w:bottom w:val="nil"/>
              <w:right w:val="nil"/>
            </w:tcBorders>
            <w:shd w:val="clear" w:color="000000" w:fill="FFFFFF"/>
            <w:noWrap/>
            <w:vAlign w:val="bottom"/>
            <w:hideMark/>
          </w:tcPr>
          <w:p w14:paraId="69572AF4"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14.076,1</w:t>
            </w:r>
          </w:p>
        </w:tc>
      </w:tr>
      <w:tr w:rsidR="00563537" w:rsidRPr="006D7A8C" w14:paraId="5AD553E2" w14:textId="77777777" w:rsidTr="00563537">
        <w:trPr>
          <w:trHeight w:val="300"/>
        </w:trPr>
        <w:tc>
          <w:tcPr>
            <w:tcW w:w="1214" w:type="dxa"/>
            <w:tcBorders>
              <w:top w:val="nil"/>
              <w:left w:val="nil"/>
              <w:bottom w:val="nil"/>
              <w:right w:val="nil"/>
            </w:tcBorders>
            <w:shd w:val="clear" w:color="000000" w:fill="FFFFFF"/>
            <w:noWrap/>
            <w:vAlign w:val="bottom"/>
            <w:hideMark/>
          </w:tcPr>
          <w:p w14:paraId="3D14993C"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Manganês</w:t>
            </w:r>
          </w:p>
        </w:tc>
        <w:tc>
          <w:tcPr>
            <w:tcW w:w="1460" w:type="dxa"/>
            <w:tcBorders>
              <w:top w:val="nil"/>
              <w:left w:val="nil"/>
              <w:bottom w:val="nil"/>
              <w:right w:val="nil"/>
            </w:tcBorders>
            <w:shd w:val="clear" w:color="000000" w:fill="FFFFFF"/>
            <w:noWrap/>
            <w:vAlign w:val="bottom"/>
            <w:hideMark/>
          </w:tcPr>
          <w:p w14:paraId="5A4775B3"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69,26%</w:t>
            </w:r>
          </w:p>
        </w:tc>
        <w:tc>
          <w:tcPr>
            <w:tcW w:w="2060" w:type="dxa"/>
            <w:tcBorders>
              <w:top w:val="nil"/>
              <w:left w:val="nil"/>
              <w:bottom w:val="nil"/>
              <w:right w:val="nil"/>
            </w:tcBorders>
            <w:shd w:val="clear" w:color="000000" w:fill="FFFFFF"/>
            <w:noWrap/>
            <w:vAlign w:val="bottom"/>
            <w:hideMark/>
          </w:tcPr>
          <w:p w14:paraId="027B4B3E"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5,89%</w:t>
            </w:r>
          </w:p>
        </w:tc>
        <w:tc>
          <w:tcPr>
            <w:tcW w:w="1700" w:type="dxa"/>
            <w:tcBorders>
              <w:top w:val="nil"/>
              <w:left w:val="nil"/>
              <w:bottom w:val="nil"/>
              <w:right w:val="nil"/>
            </w:tcBorders>
            <w:shd w:val="clear" w:color="000000" w:fill="FFFFFF"/>
            <w:noWrap/>
            <w:vAlign w:val="bottom"/>
            <w:hideMark/>
          </w:tcPr>
          <w:p w14:paraId="4F023CA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0,00%</w:t>
            </w:r>
          </w:p>
        </w:tc>
        <w:tc>
          <w:tcPr>
            <w:tcW w:w="1161" w:type="dxa"/>
            <w:tcBorders>
              <w:top w:val="nil"/>
              <w:left w:val="nil"/>
              <w:bottom w:val="nil"/>
              <w:right w:val="nil"/>
            </w:tcBorders>
            <w:shd w:val="clear" w:color="000000" w:fill="FFFFFF"/>
            <w:noWrap/>
            <w:vAlign w:val="bottom"/>
            <w:hideMark/>
          </w:tcPr>
          <w:p w14:paraId="23DC9B53"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24,86%</w:t>
            </w:r>
          </w:p>
        </w:tc>
        <w:tc>
          <w:tcPr>
            <w:tcW w:w="1460" w:type="dxa"/>
            <w:tcBorders>
              <w:top w:val="nil"/>
              <w:left w:val="nil"/>
              <w:bottom w:val="nil"/>
              <w:right w:val="nil"/>
            </w:tcBorders>
            <w:shd w:val="clear" w:color="000000" w:fill="FFFFFF"/>
            <w:noWrap/>
            <w:vAlign w:val="bottom"/>
            <w:hideMark/>
          </w:tcPr>
          <w:p w14:paraId="613F776C"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215,3</w:t>
            </w:r>
          </w:p>
        </w:tc>
      </w:tr>
      <w:tr w:rsidR="00563537" w:rsidRPr="006D7A8C" w14:paraId="6C68FA85" w14:textId="77777777" w:rsidTr="00563537">
        <w:trPr>
          <w:trHeight w:val="300"/>
        </w:trPr>
        <w:tc>
          <w:tcPr>
            <w:tcW w:w="1214" w:type="dxa"/>
            <w:tcBorders>
              <w:top w:val="nil"/>
              <w:left w:val="nil"/>
              <w:bottom w:val="nil"/>
              <w:right w:val="nil"/>
            </w:tcBorders>
            <w:shd w:val="clear" w:color="000000" w:fill="FFFFFF"/>
            <w:noWrap/>
            <w:vAlign w:val="bottom"/>
            <w:hideMark/>
          </w:tcPr>
          <w:p w14:paraId="44FFE349"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Nióbio</w:t>
            </w:r>
          </w:p>
        </w:tc>
        <w:tc>
          <w:tcPr>
            <w:tcW w:w="1460" w:type="dxa"/>
            <w:tcBorders>
              <w:top w:val="nil"/>
              <w:left w:val="nil"/>
              <w:bottom w:val="nil"/>
              <w:right w:val="nil"/>
            </w:tcBorders>
            <w:shd w:val="clear" w:color="000000" w:fill="FFFFFF"/>
            <w:noWrap/>
            <w:vAlign w:val="bottom"/>
            <w:hideMark/>
          </w:tcPr>
          <w:p w14:paraId="27BF4DB9"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2060" w:type="dxa"/>
            <w:tcBorders>
              <w:top w:val="nil"/>
              <w:left w:val="nil"/>
              <w:bottom w:val="nil"/>
              <w:right w:val="nil"/>
            </w:tcBorders>
            <w:shd w:val="clear" w:color="000000" w:fill="FFFFFF"/>
            <w:noWrap/>
            <w:vAlign w:val="bottom"/>
            <w:hideMark/>
          </w:tcPr>
          <w:p w14:paraId="711582C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100,00%</w:t>
            </w:r>
          </w:p>
        </w:tc>
        <w:tc>
          <w:tcPr>
            <w:tcW w:w="1700" w:type="dxa"/>
            <w:tcBorders>
              <w:top w:val="nil"/>
              <w:left w:val="nil"/>
              <w:bottom w:val="nil"/>
              <w:right w:val="nil"/>
            </w:tcBorders>
            <w:shd w:val="clear" w:color="000000" w:fill="FFFFFF"/>
            <w:noWrap/>
            <w:vAlign w:val="bottom"/>
            <w:hideMark/>
          </w:tcPr>
          <w:p w14:paraId="61460A1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161" w:type="dxa"/>
            <w:tcBorders>
              <w:top w:val="nil"/>
              <w:left w:val="nil"/>
              <w:bottom w:val="nil"/>
              <w:right w:val="nil"/>
            </w:tcBorders>
            <w:shd w:val="clear" w:color="000000" w:fill="FFFFFF"/>
            <w:noWrap/>
            <w:vAlign w:val="bottom"/>
            <w:hideMark/>
          </w:tcPr>
          <w:p w14:paraId="56FD140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460" w:type="dxa"/>
            <w:tcBorders>
              <w:top w:val="nil"/>
              <w:left w:val="nil"/>
              <w:bottom w:val="nil"/>
              <w:right w:val="nil"/>
            </w:tcBorders>
            <w:shd w:val="clear" w:color="000000" w:fill="FFFFFF"/>
            <w:noWrap/>
            <w:vAlign w:val="bottom"/>
            <w:hideMark/>
          </w:tcPr>
          <w:p w14:paraId="45F53E6F"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1.612,5</w:t>
            </w:r>
          </w:p>
        </w:tc>
      </w:tr>
      <w:tr w:rsidR="00563537" w:rsidRPr="006D7A8C" w14:paraId="01D874FF" w14:textId="77777777" w:rsidTr="00563537">
        <w:trPr>
          <w:trHeight w:val="300"/>
        </w:trPr>
        <w:tc>
          <w:tcPr>
            <w:tcW w:w="1214" w:type="dxa"/>
            <w:tcBorders>
              <w:top w:val="nil"/>
              <w:left w:val="nil"/>
              <w:bottom w:val="nil"/>
              <w:right w:val="nil"/>
            </w:tcBorders>
            <w:shd w:val="clear" w:color="000000" w:fill="FFFFFF"/>
            <w:noWrap/>
            <w:vAlign w:val="bottom"/>
            <w:hideMark/>
          </w:tcPr>
          <w:p w14:paraId="125FA42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Níquel</w:t>
            </w:r>
          </w:p>
        </w:tc>
        <w:tc>
          <w:tcPr>
            <w:tcW w:w="1460" w:type="dxa"/>
            <w:tcBorders>
              <w:top w:val="nil"/>
              <w:left w:val="nil"/>
              <w:bottom w:val="nil"/>
              <w:right w:val="nil"/>
            </w:tcBorders>
            <w:shd w:val="clear" w:color="000000" w:fill="FFFFFF"/>
            <w:noWrap/>
            <w:vAlign w:val="bottom"/>
            <w:hideMark/>
          </w:tcPr>
          <w:p w14:paraId="7A28110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14,33%</w:t>
            </w:r>
          </w:p>
        </w:tc>
        <w:tc>
          <w:tcPr>
            <w:tcW w:w="2060" w:type="dxa"/>
            <w:tcBorders>
              <w:top w:val="nil"/>
              <w:left w:val="nil"/>
              <w:bottom w:val="nil"/>
              <w:right w:val="nil"/>
            </w:tcBorders>
            <w:shd w:val="clear" w:color="000000" w:fill="FFFFFF"/>
            <w:noWrap/>
            <w:vAlign w:val="bottom"/>
            <w:hideMark/>
          </w:tcPr>
          <w:p w14:paraId="6E2121BC"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79,34%</w:t>
            </w:r>
          </w:p>
        </w:tc>
        <w:tc>
          <w:tcPr>
            <w:tcW w:w="1700" w:type="dxa"/>
            <w:tcBorders>
              <w:top w:val="nil"/>
              <w:left w:val="nil"/>
              <w:bottom w:val="nil"/>
              <w:right w:val="nil"/>
            </w:tcBorders>
            <w:shd w:val="clear" w:color="000000" w:fill="FFFFFF"/>
            <w:noWrap/>
            <w:vAlign w:val="bottom"/>
            <w:hideMark/>
          </w:tcPr>
          <w:p w14:paraId="0818298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6,24%</w:t>
            </w:r>
          </w:p>
        </w:tc>
        <w:tc>
          <w:tcPr>
            <w:tcW w:w="1161" w:type="dxa"/>
            <w:tcBorders>
              <w:top w:val="nil"/>
              <w:left w:val="nil"/>
              <w:bottom w:val="nil"/>
              <w:right w:val="nil"/>
            </w:tcBorders>
            <w:shd w:val="clear" w:color="000000" w:fill="FFFFFF"/>
            <w:noWrap/>
            <w:vAlign w:val="bottom"/>
            <w:hideMark/>
          </w:tcPr>
          <w:p w14:paraId="21FCE54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0,09%</w:t>
            </w:r>
          </w:p>
        </w:tc>
        <w:tc>
          <w:tcPr>
            <w:tcW w:w="1460" w:type="dxa"/>
            <w:tcBorders>
              <w:top w:val="nil"/>
              <w:left w:val="nil"/>
              <w:bottom w:val="nil"/>
              <w:right w:val="nil"/>
            </w:tcBorders>
            <w:shd w:val="clear" w:color="000000" w:fill="FFFFFF"/>
            <w:noWrap/>
            <w:vAlign w:val="bottom"/>
            <w:hideMark/>
          </w:tcPr>
          <w:p w14:paraId="7DF3823E"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881,6</w:t>
            </w:r>
          </w:p>
        </w:tc>
      </w:tr>
      <w:tr w:rsidR="00563537" w:rsidRPr="006D7A8C" w14:paraId="53C3A33F" w14:textId="77777777" w:rsidTr="00563537">
        <w:trPr>
          <w:trHeight w:val="300"/>
        </w:trPr>
        <w:tc>
          <w:tcPr>
            <w:tcW w:w="1214" w:type="dxa"/>
            <w:tcBorders>
              <w:top w:val="nil"/>
              <w:left w:val="nil"/>
              <w:bottom w:val="single" w:sz="4" w:space="0" w:color="auto"/>
              <w:right w:val="nil"/>
            </w:tcBorders>
            <w:shd w:val="clear" w:color="000000" w:fill="FFFFFF"/>
            <w:noWrap/>
            <w:vAlign w:val="bottom"/>
            <w:hideMark/>
          </w:tcPr>
          <w:p w14:paraId="680D0079"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Ouro</w:t>
            </w:r>
          </w:p>
        </w:tc>
        <w:tc>
          <w:tcPr>
            <w:tcW w:w="1460" w:type="dxa"/>
            <w:tcBorders>
              <w:top w:val="nil"/>
              <w:left w:val="nil"/>
              <w:bottom w:val="single" w:sz="4" w:space="0" w:color="auto"/>
              <w:right w:val="nil"/>
            </w:tcBorders>
            <w:shd w:val="clear" w:color="000000" w:fill="FFFFFF"/>
            <w:noWrap/>
            <w:vAlign w:val="bottom"/>
            <w:hideMark/>
          </w:tcPr>
          <w:p w14:paraId="55D817BF"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2060" w:type="dxa"/>
            <w:tcBorders>
              <w:top w:val="nil"/>
              <w:left w:val="nil"/>
              <w:bottom w:val="single" w:sz="4" w:space="0" w:color="auto"/>
              <w:right w:val="nil"/>
            </w:tcBorders>
            <w:shd w:val="clear" w:color="000000" w:fill="FFFFFF"/>
            <w:noWrap/>
            <w:vAlign w:val="bottom"/>
            <w:hideMark/>
          </w:tcPr>
          <w:p w14:paraId="5E13D98B"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99,68%</w:t>
            </w:r>
          </w:p>
        </w:tc>
        <w:tc>
          <w:tcPr>
            <w:tcW w:w="1700" w:type="dxa"/>
            <w:tcBorders>
              <w:top w:val="nil"/>
              <w:left w:val="nil"/>
              <w:bottom w:val="single" w:sz="4" w:space="0" w:color="auto"/>
              <w:right w:val="nil"/>
            </w:tcBorders>
            <w:shd w:val="clear" w:color="000000" w:fill="FFFFFF"/>
            <w:noWrap/>
            <w:vAlign w:val="bottom"/>
            <w:hideMark/>
          </w:tcPr>
          <w:p w14:paraId="3A8D9D90"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0,32%</w:t>
            </w:r>
          </w:p>
        </w:tc>
        <w:tc>
          <w:tcPr>
            <w:tcW w:w="1161" w:type="dxa"/>
            <w:tcBorders>
              <w:top w:val="nil"/>
              <w:left w:val="nil"/>
              <w:bottom w:val="single" w:sz="4" w:space="0" w:color="auto"/>
              <w:right w:val="nil"/>
            </w:tcBorders>
            <w:shd w:val="clear" w:color="000000" w:fill="FFFFFF"/>
            <w:noWrap/>
            <w:vAlign w:val="bottom"/>
            <w:hideMark/>
          </w:tcPr>
          <w:p w14:paraId="65E25EA6"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460" w:type="dxa"/>
            <w:tcBorders>
              <w:top w:val="nil"/>
              <w:left w:val="nil"/>
              <w:bottom w:val="single" w:sz="4" w:space="0" w:color="auto"/>
              <w:right w:val="nil"/>
            </w:tcBorders>
            <w:shd w:val="clear" w:color="000000" w:fill="FFFFFF"/>
            <w:noWrap/>
            <w:vAlign w:val="bottom"/>
            <w:hideMark/>
          </w:tcPr>
          <w:p w14:paraId="3855EF21" w14:textId="77777777" w:rsidR="00563537" w:rsidRPr="006D7A8C" w:rsidRDefault="0056353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2.331,8</w:t>
            </w:r>
          </w:p>
        </w:tc>
      </w:tr>
    </w:tbl>
    <w:p w14:paraId="2EC2733D" w14:textId="77777777" w:rsidR="00563537" w:rsidRPr="00241E53" w:rsidRDefault="00563537" w:rsidP="0064723A">
      <w:pPr>
        <w:pStyle w:val="Aria"/>
        <w:jc w:val="both"/>
        <w:rPr>
          <w:sz w:val="22"/>
          <w:szCs w:val="22"/>
        </w:rPr>
      </w:pPr>
      <w:r w:rsidRPr="00241E53">
        <w:rPr>
          <w:b/>
          <w:sz w:val="22"/>
          <w:szCs w:val="22"/>
        </w:rPr>
        <w:t xml:space="preserve">Fonte: </w:t>
      </w:r>
      <w:r w:rsidRPr="00241E53">
        <w:rPr>
          <w:sz w:val="22"/>
          <w:szCs w:val="22"/>
        </w:rPr>
        <w:t>Anuário Mineral Brasileiro – principais substâncias metálicas (2016)</w:t>
      </w:r>
    </w:p>
    <w:p w14:paraId="0C80E597" w14:textId="2B448225" w:rsidR="002F2C27" w:rsidRPr="006D7A8C" w:rsidRDefault="002F2C27" w:rsidP="0064723A">
      <w:pPr>
        <w:pStyle w:val="Aria"/>
        <w:spacing w:before="120" w:after="120"/>
        <w:jc w:val="both"/>
      </w:pPr>
    </w:p>
    <w:p w14:paraId="72E1A029" w14:textId="167869D6" w:rsidR="00B56714" w:rsidRPr="006D7A8C" w:rsidRDefault="00A10D8A" w:rsidP="0064723A">
      <w:pPr>
        <w:pStyle w:val="Aria"/>
        <w:spacing w:before="120" w:after="120"/>
        <w:jc w:val="both"/>
      </w:pPr>
      <w:r w:rsidRPr="006D7A8C">
        <w:t xml:space="preserve">Pelo lado da demanda, o que se observa, </w:t>
      </w:r>
      <w:r w:rsidR="00475593" w:rsidRPr="006D7A8C">
        <w:t>a despeito</w:t>
      </w:r>
      <w:r w:rsidRPr="006D7A8C">
        <w:t xml:space="preserve"> </w:t>
      </w:r>
      <w:r w:rsidR="00475593" w:rsidRPr="006D7A8C">
        <w:t xml:space="preserve">da </w:t>
      </w:r>
      <w:r w:rsidRPr="006D7A8C">
        <w:t xml:space="preserve">destinação </w:t>
      </w:r>
      <w:r w:rsidR="0077508E" w:rsidRPr="006D7A8C">
        <w:t>d</w:t>
      </w:r>
      <w:r w:rsidRPr="006D7A8C">
        <w:t>a</w:t>
      </w:r>
      <w:r w:rsidR="0077508E" w:rsidRPr="006D7A8C">
        <w:t xml:space="preserve"> maior parte das substâncias metálicas para o setor externo, é que o crescimento da produção</w:t>
      </w:r>
      <w:r w:rsidRPr="006D7A8C">
        <w:t xml:space="preserve"> beneficiada </w:t>
      </w:r>
      <w:r w:rsidR="0077508E" w:rsidRPr="006D7A8C">
        <w:t>desses bens tem se intensificado, fato que pode ser corroborado pelo aumento, ao longo dos últimos anos, do C</w:t>
      </w:r>
      <w:r w:rsidRPr="006D7A8C">
        <w:t xml:space="preserve">onsumo </w:t>
      </w:r>
      <w:r w:rsidR="0077508E" w:rsidRPr="006D7A8C">
        <w:t>A</w:t>
      </w:r>
      <w:r w:rsidRPr="006D7A8C">
        <w:t>parente</w:t>
      </w:r>
      <w:r w:rsidR="0077508E" w:rsidRPr="006D7A8C">
        <w:rPr>
          <w:rStyle w:val="Refdenotaderodap"/>
        </w:rPr>
        <w:footnoteReference w:id="3"/>
      </w:r>
      <w:r w:rsidR="0077508E" w:rsidRPr="006D7A8C">
        <w:t xml:space="preserve">.  </w:t>
      </w:r>
      <w:r w:rsidR="002B5B8F" w:rsidRPr="006D7A8C">
        <w:t>Com a exceção de alguns anos específicos</w:t>
      </w:r>
      <w:r w:rsidR="00B56714" w:rsidRPr="006D7A8C">
        <w:t xml:space="preserve">, o que se observa é uma forte tendência de crescimento do Consumo Aparente da Indústria extrativa, conforme mostra a figura a seguir. </w:t>
      </w:r>
    </w:p>
    <w:p w14:paraId="4875A6DE" w14:textId="4C21EFB5" w:rsidR="00241E53" w:rsidRDefault="00241E53" w:rsidP="0064723A">
      <w:pPr>
        <w:spacing w:after="160" w:line="259" w:lineRule="auto"/>
        <w:jc w:val="both"/>
        <w:rPr>
          <w:rFonts w:ascii="Times New Roman" w:hAnsi="Times New Roman" w:cs="Times New Roman"/>
          <w:iCs/>
          <w:noProof/>
          <w:color w:val="44546A" w:themeColor="text2"/>
          <w:sz w:val="24"/>
          <w:szCs w:val="24"/>
        </w:rPr>
      </w:pPr>
      <w:r>
        <w:rPr>
          <w:rFonts w:ascii="Times New Roman" w:hAnsi="Times New Roman" w:cs="Times New Roman"/>
          <w:i/>
          <w:noProof/>
          <w:sz w:val="24"/>
          <w:szCs w:val="24"/>
        </w:rPr>
        <w:br w:type="page"/>
      </w:r>
    </w:p>
    <w:p w14:paraId="3B73C325" w14:textId="65EAEBDD" w:rsidR="00A17D90" w:rsidRPr="006D7A8C" w:rsidRDefault="00B56714" w:rsidP="0064723A">
      <w:pPr>
        <w:pStyle w:val="Legenda"/>
        <w:spacing w:after="0"/>
        <w:jc w:val="both"/>
        <w:rPr>
          <w:rFonts w:ascii="Times New Roman" w:hAnsi="Times New Roman" w:cs="Times New Roman"/>
          <w:sz w:val="24"/>
          <w:szCs w:val="24"/>
        </w:rPr>
      </w:pPr>
      <w:r w:rsidRPr="006D7A8C">
        <w:rPr>
          <w:rFonts w:ascii="Times New Roman" w:hAnsi="Times New Roman" w:cs="Times New Roman"/>
          <w:noProof/>
          <w:sz w:val="24"/>
          <w:szCs w:val="24"/>
        </w:rPr>
        <w:lastRenderedPageBreak/>
        <w:drawing>
          <wp:inline distT="0" distB="0" distL="0" distR="0" wp14:anchorId="2A2E2850" wp14:editId="03D95227">
            <wp:extent cx="3802380" cy="2588895"/>
            <wp:effectExtent l="0" t="0" r="7620" b="1905"/>
            <wp:docPr id="14" name="Gráfico 14">
              <a:extLst xmlns:a="http://schemas.openxmlformats.org/drawingml/2006/main">
                <a:ext uri="{FF2B5EF4-FFF2-40B4-BE49-F238E27FC236}">
                  <a16:creationId xmlns:a16="http://schemas.microsoft.com/office/drawing/2014/main" id="{53887364-0F53-4C32-BE69-9745851A1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C3D09B" w14:textId="07BE7E5C" w:rsidR="00121DD1" w:rsidRPr="006D7A8C" w:rsidRDefault="00121DD1" w:rsidP="0064723A">
      <w:pPr>
        <w:pStyle w:val="Legenda"/>
        <w:spacing w:after="0"/>
        <w:jc w:val="both"/>
        <w:rPr>
          <w:rFonts w:ascii="Times New Roman" w:hAnsi="Times New Roman" w:cs="Times New Roman"/>
          <w:noProof/>
          <w:sz w:val="24"/>
          <w:szCs w:val="24"/>
        </w:rPr>
      </w:pPr>
      <w:bookmarkStart w:id="7" w:name="_Toc510211773"/>
      <w:r w:rsidRPr="006D7A8C">
        <w:rPr>
          <w:rFonts w:ascii="Times New Roman" w:hAnsi="Times New Roman" w:cs="Times New Roman"/>
          <w:b/>
          <w:i w:val="0"/>
          <w:color w:val="000000" w:themeColor="text1"/>
          <w:sz w:val="24"/>
          <w:szCs w:val="24"/>
        </w:rPr>
        <w:t xml:space="preserve">Figura </w:t>
      </w:r>
      <w:r w:rsidR="006D7A8C">
        <w:rPr>
          <w:rFonts w:ascii="Times New Roman" w:hAnsi="Times New Roman" w:cs="Times New Roman"/>
          <w:b/>
          <w:i w:val="0"/>
          <w:color w:val="000000" w:themeColor="text1"/>
          <w:sz w:val="24"/>
          <w:szCs w:val="24"/>
        </w:rPr>
        <w:t>4</w:t>
      </w:r>
      <w:r w:rsidRPr="006D7A8C">
        <w:rPr>
          <w:rFonts w:ascii="Times New Roman" w:hAnsi="Times New Roman" w:cs="Times New Roman"/>
          <w:i w:val="0"/>
          <w:color w:val="000000" w:themeColor="text1"/>
          <w:sz w:val="24"/>
          <w:szCs w:val="24"/>
        </w:rPr>
        <w:t xml:space="preserve"> - Consumo aparente - Indústria Extrativa - índice encadeado – dessazonalizado</w:t>
      </w:r>
      <w:bookmarkEnd w:id="7"/>
      <w:r w:rsidR="00241E53">
        <w:rPr>
          <w:rFonts w:ascii="Times New Roman" w:hAnsi="Times New Roman" w:cs="Times New Roman"/>
          <w:i w:val="0"/>
          <w:color w:val="000000" w:themeColor="text1"/>
          <w:sz w:val="24"/>
          <w:szCs w:val="24"/>
        </w:rPr>
        <w:t xml:space="preserve"> </w:t>
      </w:r>
      <w:r w:rsidRPr="006D7A8C">
        <w:rPr>
          <w:rFonts w:ascii="Times New Roman" w:hAnsi="Times New Roman" w:cs="Times New Roman"/>
          <w:i w:val="0"/>
          <w:color w:val="000000" w:themeColor="text1"/>
          <w:sz w:val="24"/>
          <w:szCs w:val="24"/>
        </w:rPr>
        <w:t>(Média 2002= 100)</w:t>
      </w:r>
      <w:r w:rsidRPr="006D7A8C">
        <w:rPr>
          <w:rFonts w:ascii="Times New Roman" w:hAnsi="Times New Roman" w:cs="Times New Roman"/>
          <w:sz w:val="24"/>
          <w:szCs w:val="24"/>
        </w:rPr>
        <w:t xml:space="preserve"> </w:t>
      </w:r>
    </w:p>
    <w:p w14:paraId="2DAC4942" w14:textId="77777777" w:rsidR="0077508E" w:rsidRPr="00241E53" w:rsidRDefault="00B56714" w:rsidP="0064723A">
      <w:pPr>
        <w:pStyle w:val="Aria"/>
        <w:jc w:val="both"/>
        <w:rPr>
          <w:sz w:val="22"/>
          <w:szCs w:val="22"/>
        </w:rPr>
      </w:pPr>
      <w:r w:rsidRPr="00241E53">
        <w:rPr>
          <w:b/>
          <w:sz w:val="22"/>
          <w:szCs w:val="22"/>
        </w:rPr>
        <w:t>Fonte:</w:t>
      </w:r>
      <w:r w:rsidRPr="00241E53">
        <w:rPr>
          <w:sz w:val="22"/>
          <w:szCs w:val="22"/>
        </w:rPr>
        <w:t xml:space="preserve"> IPEADATA</w:t>
      </w:r>
    </w:p>
    <w:p w14:paraId="2ECE5C2B" w14:textId="77777777" w:rsidR="00D65973" w:rsidRPr="006D7A8C" w:rsidRDefault="00D65973" w:rsidP="0064723A">
      <w:pPr>
        <w:pStyle w:val="Aria"/>
        <w:spacing w:before="120" w:after="120"/>
        <w:jc w:val="both"/>
        <w:rPr>
          <w:rFonts w:eastAsia="Times New Roman"/>
          <w:color w:val="000000"/>
        </w:rPr>
      </w:pPr>
    </w:p>
    <w:p w14:paraId="302FAD76" w14:textId="64E4413F" w:rsidR="00D65973" w:rsidRPr="006D7A8C" w:rsidRDefault="00695D0F" w:rsidP="0064723A">
      <w:pPr>
        <w:pStyle w:val="Aria"/>
        <w:spacing w:before="120" w:after="120"/>
        <w:jc w:val="both"/>
        <w:rPr>
          <w:rFonts w:eastAsia="Times New Roman"/>
          <w:color w:val="000000"/>
        </w:rPr>
      </w:pPr>
      <w:r w:rsidRPr="006D7A8C">
        <w:rPr>
          <w:rFonts w:eastAsia="Times New Roman"/>
          <w:color w:val="000000"/>
        </w:rPr>
        <w:t>A</w:t>
      </w:r>
      <w:r w:rsidR="00D65973" w:rsidRPr="006D7A8C">
        <w:rPr>
          <w:rFonts w:eastAsia="Times New Roman"/>
          <w:color w:val="000000"/>
        </w:rPr>
        <w:t>valiando</w:t>
      </w:r>
      <w:r w:rsidRPr="006D7A8C">
        <w:rPr>
          <w:rFonts w:eastAsia="Times New Roman"/>
          <w:color w:val="000000"/>
        </w:rPr>
        <w:t>, ainda,</w:t>
      </w:r>
      <w:r w:rsidR="00D65973" w:rsidRPr="006D7A8C">
        <w:rPr>
          <w:rFonts w:eastAsia="Times New Roman"/>
          <w:color w:val="000000"/>
        </w:rPr>
        <w:t xml:space="preserve"> as condições básicas pel</w:t>
      </w:r>
      <w:r w:rsidRPr="006D7A8C">
        <w:rPr>
          <w:rFonts w:eastAsia="Times New Roman"/>
          <w:color w:val="000000"/>
        </w:rPr>
        <w:t>o</w:t>
      </w:r>
      <w:r w:rsidR="00D65973" w:rsidRPr="006D7A8C">
        <w:rPr>
          <w:rFonts w:eastAsia="Times New Roman"/>
          <w:color w:val="000000"/>
        </w:rPr>
        <w:t xml:space="preserve"> lado da demanda, </w:t>
      </w:r>
      <w:r w:rsidR="002B51D7" w:rsidRPr="006D7A8C">
        <w:rPr>
          <w:rFonts w:eastAsia="Times New Roman"/>
          <w:color w:val="000000"/>
        </w:rPr>
        <w:t>o que se observa é um movimento bastante errático das exportações brasileiras, fato que se explica, sobretudo, pela queda no preço internacional dos minérios</w:t>
      </w:r>
      <w:r w:rsidRPr="006D7A8C">
        <w:rPr>
          <w:rFonts w:eastAsia="Times New Roman"/>
          <w:color w:val="000000"/>
        </w:rPr>
        <w:t xml:space="preserve"> (</w:t>
      </w:r>
      <w:r w:rsidR="002B51D7" w:rsidRPr="006D7A8C">
        <w:rPr>
          <w:rFonts w:eastAsia="Times New Roman"/>
          <w:color w:val="000000"/>
        </w:rPr>
        <w:t xml:space="preserve">questão que será discutida na seção </w:t>
      </w:r>
      <w:r w:rsidRPr="006D7A8C">
        <w:rPr>
          <w:rFonts w:eastAsia="Times New Roman"/>
          <w:color w:val="000000"/>
        </w:rPr>
        <w:t xml:space="preserve">das Condutas do setor), que reverteu uma </w:t>
      </w:r>
      <w:r w:rsidR="00121DD1" w:rsidRPr="006D7A8C">
        <w:rPr>
          <w:rFonts w:eastAsia="Times New Roman"/>
          <w:color w:val="000000"/>
        </w:rPr>
        <w:t>forte</w:t>
      </w:r>
      <w:r w:rsidR="00A17D90" w:rsidRPr="006D7A8C">
        <w:rPr>
          <w:rFonts w:eastAsia="Times New Roman"/>
          <w:color w:val="000000"/>
        </w:rPr>
        <w:t xml:space="preserve"> tendência</w:t>
      </w:r>
      <w:r w:rsidRPr="006D7A8C">
        <w:rPr>
          <w:rFonts w:eastAsia="Times New Roman"/>
          <w:color w:val="000000"/>
        </w:rPr>
        <w:t xml:space="preserve"> de crescimento a partir de 2010. </w:t>
      </w:r>
    </w:p>
    <w:p w14:paraId="7BEAFDCF" w14:textId="4E3228F8" w:rsidR="00695D0F" w:rsidRPr="006D7A8C" w:rsidRDefault="00695D0F" w:rsidP="0064723A">
      <w:pPr>
        <w:pStyle w:val="Aria"/>
        <w:spacing w:before="120" w:after="120"/>
        <w:jc w:val="both"/>
        <w:rPr>
          <w:rFonts w:eastAsia="Times New Roman"/>
          <w:color w:val="000000"/>
        </w:rPr>
      </w:pPr>
      <w:r w:rsidRPr="006D7A8C">
        <w:rPr>
          <w:rFonts w:eastAsia="Times New Roman"/>
          <w:color w:val="000000"/>
        </w:rPr>
        <w:t xml:space="preserve">Como reflexo dessa tendência, a participação dos minérios nas exportações brasileiras também cresceu significativamente, sobretudo em 2011 quando respondeu por 17,3% do total, em seguida </w:t>
      </w:r>
      <w:r w:rsidR="00426B5A" w:rsidRPr="006D7A8C">
        <w:rPr>
          <w:rFonts w:eastAsia="Times New Roman"/>
          <w:color w:val="000000"/>
        </w:rPr>
        <w:t xml:space="preserve">identificou-se </w:t>
      </w:r>
      <w:r w:rsidRPr="006D7A8C">
        <w:rPr>
          <w:rFonts w:eastAsia="Times New Roman"/>
          <w:color w:val="000000"/>
        </w:rPr>
        <w:t>uma inflexão da curva que f</w:t>
      </w:r>
      <w:r w:rsidR="002B5B8F" w:rsidRPr="006D7A8C">
        <w:rPr>
          <w:rFonts w:eastAsia="Times New Roman"/>
          <w:color w:val="000000"/>
        </w:rPr>
        <w:t>e</w:t>
      </w:r>
      <w:r w:rsidRPr="006D7A8C">
        <w:rPr>
          <w:rFonts w:eastAsia="Times New Roman"/>
          <w:color w:val="000000"/>
        </w:rPr>
        <w:t>z com que no último ano analisado, 2016, esses produtos responde</w:t>
      </w:r>
      <w:r w:rsidR="002B5B8F" w:rsidRPr="006D7A8C">
        <w:rPr>
          <w:rFonts w:eastAsia="Times New Roman"/>
          <w:color w:val="000000"/>
        </w:rPr>
        <w:t>ssem</w:t>
      </w:r>
      <w:r w:rsidRPr="006D7A8C">
        <w:rPr>
          <w:rFonts w:eastAsia="Times New Roman"/>
          <w:color w:val="000000"/>
        </w:rPr>
        <w:t xml:space="preserve"> por um percentual inferior ao registrado no final da década passada, conforme mostra figura a seguir. </w:t>
      </w:r>
    </w:p>
    <w:p w14:paraId="24419EF5" w14:textId="77777777" w:rsidR="00501BF2" w:rsidRPr="006D7A8C" w:rsidRDefault="00501BF2" w:rsidP="0064723A">
      <w:pPr>
        <w:pStyle w:val="Aria"/>
        <w:spacing w:before="120" w:after="120"/>
        <w:jc w:val="both"/>
        <w:rPr>
          <w:rFonts w:eastAsia="Times New Roman"/>
          <w:color w:val="000000"/>
        </w:rPr>
      </w:pPr>
    </w:p>
    <w:p w14:paraId="3BF5D985" w14:textId="7D6B857A" w:rsidR="00695D0F" w:rsidRPr="006D7A8C" w:rsidRDefault="00695D0F" w:rsidP="0064723A">
      <w:pPr>
        <w:pStyle w:val="Legenda"/>
        <w:spacing w:after="0"/>
        <w:jc w:val="both"/>
        <w:rPr>
          <w:rFonts w:ascii="Times New Roman" w:hAnsi="Times New Roman" w:cs="Times New Roman"/>
          <w:i w:val="0"/>
          <w:color w:val="000000" w:themeColor="text1"/>
          <w:sz w:val="24"/>
          <w:szCs w:val="24"/>
        </w:rPr>
      </w:pPr>
      <w:r w:rsidRPr="006D7A8C">
        <w:rPr>
          <w:rFonts w:ascii="Times New Roman" w:hAnsi="Times New Roman" w:cs="Times New Roman"/>
          <w:i w:val="0"/>
          <w:noProof/>
          <w:color w:val="000000" w:themeColor="text1"/>
          <w:sz w:val="24"/>
          <w:szCs w:val="24"/>
        </w:rPr>
        <w:drawing>
          <wp:inline distT="0" distB="0" distL="0" distR="0" wp14:anchorId="101EF7C1" wp14:editId="1D406E0E">
            <wp:extent cx="3802380" cy="2796540"/>
            <wp:effectExtent l="0" t="0" r="7620" b="3810"/>
            <wp:docPr id="22" name="Gráfico 22">
              <a:extLst xmlns:a="http://schemas.openxmlformats.org/drawingml/2006/main">
                <a:ext uri="{FF2B5EF4-FFF2-40B4-BE49-F238E27FC236}">
                  <a16:creationId xmlns:a16="http://schemas.microsoft.com/office/drawing/2014/main" id="{38724FBF-50CA-449C-9BE4-9A13AF2B4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4335FF" w14:textId="7C1E6EB5" w:rsidR="00121DD1" w:rsidRPr="006D7A8C" w:rsidRDefault="00121DD1" w:rsidP="0064723A">
      <w:pPr>
        <w:spacing w:after="0" w:line="240" w:lineRule="auto"/>
        <w:jc w:val="both"/>
        <w:rPr>
          <w:rFonts w:ascii="Times New Roman" w:hAnsi="Times New Roman" w:cs="Times New Roman"/>
          <w:b/>
          <w:sz w:val="24"/>
          <w:szCs w:val="24"/>
        </w:rPr>
      </w:pPr>
      <w:bookmarkStart w:id="8" w:name="_Toc510211774"/>
      <w:r w:rsidRPr="006D7A8C">
        <w:rPr>
          <w:rFonts w:ascii="Times New Roman" w:hAnsi="Times New Roman" w:cs="Times New Roman"/>
          <w:b/>
          <w:color w:val="000000" w:themeColor="text1"/>
          <w:sz w:val="24"/>
          <w:szCs w:val="24"/>
        </w:rPr>
        <w:t xml:space="preserve">Figura </w:t>
      </w:r>
      <w:r w:rsidR="00CD3001">
        <w:rPr>
          <w:rFonts w:ascii="Times New Roman" w:hAnsi="Times New Roman" w:cs="Times New Roman"/>
          <w:b/>
          <w:color w:val="000000" w:themeColor="text1"/>
          <w:sz w:val="24"/>
          <w:szCs w:val="24"/>
        </w:rPr>
        <w:t>5</w:t>
      </w:r>
      <w:r w:rsidRPr="006D7A8C">
        <w:rPr>
          <w:rFonts w:ascii="Times New Roman" w:hAnsi="Times New Roman" w:cs="Times New Roman"/>
          <w:color w:val="000000" w:themeColor="text1"/>
          <w:sz w:val="24"/>
          <w:szCs w:val="24"/>
        </w:rPr>
        <w:t xml:space="preserve"> - Exportações de Minério - US$ bilhões - FOB e % do total exportado - 2007/2016</w:t>
      </w:r>
      <w:bookmarkEnd w:id="8"/>
    </w:p>
    <w:p w14:paraId="044406F5" w14:textId="77777777" w:rsidR="00695D0F" w:rsidRPr="00241E53" w:rsidRDefault="00695D0F"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MDIC</w:t>
      </w:r>
    </w:p>
    <w:p w14:paraId="5F3AC8CF" w14:textId="0EB287B7" w:rsidR="00695D0F" w:rsidRPr="006D7A8C" w:rsidRDefault="00695D0F" w:rsidP="0064723A">
      <w:pPr>
        <w:pStyle w:val="Aria"/>
        <w:spacing w:before="120" w:after="120"/>
        <w:jc w:val="both"/>
        <w:rPr>
          <w:rFonts w:eastAsia="Times New Roman"/>
          <w:color w:val="000000"/>
        </w:rPr>
      </w:pPr>
    </w:p>
    <w:p w14:paraId="306C25CD" w14:textId="54E23F10" w:rsidR="0075172B" w:rsidRPr="006D7A8C" w:rsidRDefault="004A5374" w:rsidP="0064723A">
      <w:pPr>
        <w:pStyle w:val="Aria"/>
        <w:spacing w:before="120" w:after="120"/>
        <w:jc w:val="both"/>
        <w:rPr>
          <w:rFonts w:eastAsia="Times New Roman"/>
          <w:color w:val="000000"/>
        </w:rPr>
      </w:pPr>
      <w:r>
        <w:rPr>
          <w:rFonts w:eastAsia="Times New Roman"/>
          <w:color w:val="000000"/>
        </w:rPr>
        <w:t>Como já se afirmou anteriormente, o</w:t>
      </w:r>
      <w:r w:rsidR="0075172B" w:rsidRPr="006D7A8C">
        <w:rPr>
          <w:rFonts w:eastAsia="Times New Roman"/>
          <w:color w:val="000000"/>
        </w:rPr>
        <w:t xml:space="preserve"> ferro é principal item da pauta</w:t>
      </w:r>
      <w:r>
        <w:rPr>
          <w:rFonts w:eastAsia="Times New Roman"/>
          <w:color w:val="000000"/>
        </w:rPr>
        <w:t xml:space="preserve"> de exportação do setor</w:t>
      </w:r>
      <w:r w:rsidR="0075172B" w:rsidRPr="006D7A8C">
        <w:rPr>
          <w:rFonts w:eastAsia="Times New Roman"/>
          <w:color w:val="000000"/>
        </w:rPr>
        <w:t xml:space="preserve">, sendo que no acumulado entre 2007/2016 o </w:t>
      </w:r>
      <w:r w:rsidR="002B5B8F" w:rsidRPr="006D7A8C">
        <w:rPr>
          <w:rFonts w:eastAsia="Times New Roman"/>
          <w:color w:val="000000"/>
        </w:rPr>
        <w:t xml:space="preserve">minério </w:t>
      </w:r>
      <w:r w:rsidR="0075172B" w:rsidRPr="006D7A8C">
        <w:rPr>
          <w:rFonts w:eastAsia="Times New Roman"/>
          <w:color w:val="000000"/>
        </w:rPr>
        <w:t xml:space="preserve">em questão respondeu por 91,3% do total das de exportações de minério brasileiras, seguido pelo cobre, cuja participação no período analisado foi de 6%. Esses e os demais itens da pauta podem ser analisados na figura abaixo. </w:t>
      </w:r>
    </w:p>
    <w:p w14:paraId="61294DD2" w14:textId="5FF38F7E" w:rsidR="00695D0F" w:rsidRPr="006D7A8C" w:rsidRDefault="0075172B" w:rsidP="0064723A">
      <w:pPr>
        <w:pStyle w:val="Aria"/>
        <w:jc w:val="both"/>
        <w:rPr>
          <w:rFonts w:eastAsia="Times New Roman"/>
          <w:color w:val="000000"/>
        </w:rPr>
      </w:pPr>
      <w:r w:rsidRPr="006D7A8C">
        <w:rPr>
          <w:noProof/>
        </w:rPr>
        <w:drawing>
          <wp:inline distT="0" distB="0" distL="0" distR="0" wp14:anchorId="76B53F93" wp14:editId="7D10F69C">
            <wp:extent cx="3764280" cy="2444115"/>
            <wp:effectExtent l="0" t="0" r="7620" b="13335"/>
            <wp:docPr id="23" name="Gráfico 23">
              <a:extLst xmlns:a="http://schemas.openxmlformats.org/drawingml/2006/main">
                <a:ext uri="{FF2B5EF4-FFF2-40B4-BE49-F238E27FC236}">
                  <a16:creationId xmlns:a16="http://schemas.microsoft.com/office/drawing/2014/main" id="{C63049EE-BC89-43EC-9E91-A348C25506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E12FE9" w14:textId="6A5C6B0B" w:rsidR="00F879F6" w:rsidRPr="006D7A8C" w:rsidRDefault="00F879F6" w:rsidP="0064723A">
      <w:pPr>
        <w:pStyle w:val="Legenda"/>
        <w:spacing w:after="0"/>
        <w:jc w:val="both"/>
        <w:rPr>
          <w:rFonts w:ascii="Times New Roman" w:eastAsia="Times New Roman" w:hAnsi="Times New Roman" w:cs="Times New Roman"/>
          <w:i w:val="0"/>
          <w:color w:val="000000" w:themeColor="text1"/>
          <w:sz w:val="24"/>
          <w:szCs w:val="24"/>
        </w:rPr>
      </w:pPr>
      <w:bookmarkStart w:id="9" w:name="_Toc510211775"/>
      <w:r w:rsidRPr="006D7A8C">
        <w:rPr>
          <w:rFonts w:ascii="Times New Roman" w:hAnsi="Times New Roman" w:cs="Times New Roman"/>
          <w:b/>
          <w:i w:val="0"/>
          <w:color w:val="000000" w:themeColor="text1"/>
          <w:sz w:val="24"/>
          <w:szCs w:val="24"/>
        </w:rPr>
        <w:t xml:space="preserve">Figura </w:t>
      </w:r>
      <w:r w:rsidR="00CD3001">
        <w:rPr>
          <w:rFonts w:ascii="Times New Roman" w:hAnsi="Times New Roman" w:cs="Times New Roman"/>
          <w:b/>
          <w:i w:val="0"/>
          <w:color w:val="000000" w:themeColor="text1"/>
          <w:sz w:val="24"/>
          <w:szCs w:val="24"/>
        </w:rPr>
        <w:t>6</w:t>
      </w:r>
      <w:r w:rsidRPr="006D7A8C">
        <w:rPr>
          <w:rFonts w:ascii="Times New Roman" w:hAnsi="Times New Roman" w:cs="Times New Roman"/>
          <w:i w:val="0"/>
          <w:color w:val="000000" w:themeColor="text1"/>
          <w:sz w:val="24"/>
          <w:szCs w:val="24"/>
        </w:rPr>
        <w:t xml:space="preserve"> - Exportações de minérios metalúrgicos - por produto - </w:t>
      </w:r>
      <w:proofErr w:type="spellStart"/>
      <w:r w:rsidRPr="006D7A8C">
        <w:rPr>
          <w:rFonts w:ascii="Times New Roman" w:hAnsi="Times New Roman" w:cs="Times New Roman"/>
          <w:i w:val="0"/>
          <w:color w:val="000000" w:themeColor="text1"/>
          <w:sz w:val="24"/>
          <w:szCs w:val="24"/>
        </w:rPr>
        <w:t>distr</w:t>
      </w:r>
      <w:proofErr w:type="spellEnd"/>
      <w:r w:rsidRPr="006D7A8C">
        <w:rPr>
          <w:rFonts w:ascii="Times New Roman" w:hAnsi="Times New Roman" w:cs="Times New Roman"/>
          <w:i w:val="0"/>
          <w:color w:val="000000" w:themeColor="text1"/>
          <w:sz w:val="24"/>
          <w:szCs w:val="24"/>
        </w:rPr>
        <w:t>. % - 2007/2016</w:t>
      </w:r>
      <w:bookmarkEnd w:id="9"/>
    </w:p>
    <w:p w14:paraId="1DD4B150" w14:textId="41DCC081" w:rsidR="0075172B" w:rsidRPr="00241E53" w:rsidRDefault="0075172B" w:rsidP="0064723A">
      <w:pPr>
        <w:pStyle w:val="Aria"/>
        <w:jc w:val="both"/>
        <w:rPr>
          <w:rFonts w:eastAsia="Times New Roman"/>
          <w:color w:val="000000"/>
          <w:sz w:val="22"/>
          <w:szCs w:val="22"/>
        </w:rPr>
      </w:pPr>
      <w:r w:rsidRPr="00241E53">
        <w:rPr>
          <w:rFonts w:eastAsia="Times New Roman"/>
          <w:b/>
          <w:color w:val="000000"/>
          <w:sz w:val="22"/>
          <w:szCs w:val="22"/>
        </w:rPr>
        <w:t xml:space="preserve">Fonte: </w:t>
      </w:r>
      <w:r w:rsidRPr="00241E53">
        <w:rPr>
          <w:rFonts w:eastAsia="Times New Roman"/>
          <w:color w:val="000000"/>
          <w:sz w:val="22"/>
          <w:szCs w:val="22"/>
        </w:rPr>
        <w:t>MDIC</w:t>
      </w:r>
    </w:p>
    <w:p w14:paraId="19941CD6" w14:textId="77777777" w:rsidR="00241E53" w:rsidRDefault="00241E53" w:rsidP="0064723A">
      <w:pPr>
        <w:pStyle w:val="Aria"/>
        <w:spacing w:before="120" w:after="120"/>
        <w:jc w:val="both"/>
        <w:rPr>
          <w:rFonts w:eastAsia="Times New Roman"/>
          <w:color w:val="000000"/>
        </w:rPr>
      </w:pPr>
    </w:p>
    <w:p w14:paraId="4864853F" w14:textId="64AB75C2" w:rsidR="00695D0F" w:rsidRPr="006D7A8C" w:rsidRDefault="0075172B" w:rsidP="0064723A">
      <w:pPr>
        <w:pStyle w:val="Aria"/>
        <w:spacing w:before="120" w:after="120"/>
        <w:jc w:val="both"/>
        <w:rPr>
          <w:rFonts w:eastAsia="Times New Roman"/>
          <w:color w:val="000000"/>
        </w:rPr>
      </w:pPr>
      <w:r w:rsidRPr="006D7A8C">
        <w:rPr>
          <w:rFonts w:eastAsia="Times New Roman"/>
          <w:color w:val="000000"/>
        </w:rPr>
        <w:t xml:space="preserve">O principal destino dessas exportações </w:t>
      </w:r>
      <w:r w:rsidR="00426B5A" w:rsidRPr="006D7A8C">
        <w:rPr>
          <w:rFonts w:eastAsia="Times New Roman"/>
          <w:color w:val="000000"/>
        </w:rPr>
        <w:t xml:space="preserve">é </w:t>
      </w:r>
      <w:r w:rsidR="004A5374">
        <w:rPr>
          <w:rFonts w:eastAsia="Times New Roman"/>
          <w:color w:val="000000"/>
        </w:rPr>
        <w:t>a China, que sozinha concentrou</w:t>
      </w:r>
      <w:r w:rsidRPr="006D7A8C">
        <w:rPr>
          <w:rFonts w:eastAsia="Times New Roman"/>
          <w:color w:val="000000"/>
        </w:rPr>
        <w:t xml:space="preserve"> quase um terço das importações de minérios brasileiros, seguida pelo Japão (6,7%), Países Baixos (5,8%) e Estados Unidos (4,2%). A tabela a seguir apresenta essas e os demais destinos do minério nacional. </w:t>
      </w:r>
    </w:p>
    <w:p w14:paraId="32023410" w14:textId="77777777" w:rsidR="00241E53" w:rsidRDefault="00241E53" w:rsidP="0064723A">
      <w:pPr>
        <w:pStyle w:val="Legenda"/>
        <w:jc w:val="both"/>
        <w:rPr>
          <w:rFonts w:ascii="Times New Roman" w:hAnsi="Times New Roman" w:cs="Times New Roman"/>
          <w:b/>
          <w:i w:val="0"/>
          <w:color w:val="000000" w:themeColor="text1"/>
          <w:sz w:val="24"/>
          <w:szCs w:val="24"/>
        </w:rPr>
      </w:pPr>
      <w:bookmarkStart w:id="10" w:name="_Toc510210950"/>
    </w:p>
    <w:p w14:paraId="11DA6538" w14:textId="7DE687E4" w:rsidR="002F2C27" w:rsidRPr="006D7A8C" w:rsidRDefault="0075172B" w:rsidP="0064723A">
      <w:pPr>
        <w:pStyle w:val="Legenda"/>
        <w:jc w:val="both"/>
        <w:rPr>
          <w:rFonts w:ascii="Times New Roman" w:hAnsi="Times New Roman" w:cs="Times New Roman"/>
          <w:i w:val="0"/>
          <w:color w:val="000000" w:themeColor="text1"/>
          <w:sz w:val="24"/>
          <w:szCs w:val="24"/>
        </w:rPr>
      </w:pPr>
      <w:r w:rsidRPr="006D7A8C">
        <w:rPr>
          <w:rFonts w:ascii="Times New Roman" w:hAnsi="Times New Roman" w:cs="Times New Roman"/>
          <w:b/>
          <w:i w:val="0"/>
          <w:color w:val="000000" w:themeColor="text1"/>
          <w:sz w:val="24"/>
          <w:szCs w:val="24"/>
        </w:rPr>
        <w:t xml:space="preserve">Tabela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Tabela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2</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Exportações das principais sustâncias metálicas Valores em US$ FOB - 2015</w:t>
      </w:r>
      <w:bookmarkEnd w:id="10"/>
    </w:p>
    <w:tbl>
      <w:tblPr>
        <w:tblW w:w="4705" w:type="dxa"/>
        <w:tblCellMar>
          <w:left w:w="70" w:type="dxa"/>
          <w:right w:w="70" w:type="dxa"/>
        </w:tblCellMar>
        <w:tblLook w:val="04A0" w:firstRow="1" w:lastRow="0" w:firstColumn="1" w:lastColumn="0" w:noHBand="0" w:noVBand="1"/>
      </w:tblPr>
      <w:tblGrid>
        <w:gridCol w:w="1985"/>
        <w:gridCol w:w="1460"/>
        <w:gridCol w:w="1260"/>
      </w:tblGrid>
      <w:tr w:rsidR="002F2C27" w:rsidRPr="006D7A8C" w14:paraId="2EDB83D6" w14:textId="77777777" w:rsidTr="00CD3001">
        <w:trPr>
          <w:trHeight w:val="300"/>
        </w:trPr>
        <w:tc>
          <w:tcPr>
            <w:tcW w:w="1985" w:type="dxa"/>
            <w:tcBorders>
              <w:top w:val="single" w:sz="4" w:space="0" w:color="auto"/>
              <w:left w:val="nil"/>
              <w:bottom w:val="single" w:sz="4" w:space="0" w:color="auto"/>
              <w:right w:val="nil"/>
            </w:tcBorders>
            <w:shd w:val="clear" w:color="000000" w:fill="FFFFFF"/>
            <w:noWrap/>
            <w:vAlign w:val="bottom"/>
            <w:hideMark/>
          </w:tcPr>
          <w:p w14:paraId="383A1BC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Destino</w:t>
            </w:r>
          </w:p>
        </w:tc>
        <w:tc>
          <w:tcPr>
            <w:tcW w:w="1460" w:type="dxa"/>
            <w:tcBorders>
              <w:top w:val="single" w:sz="4" w:space="0" w:color="auto"/>
              <w:left w:val="nil"/>
              <w:bottom w:val="single" w:sz="4" w:space="0" w:color="auto"/>
              <w:right w:val="nil"/>
            </w:tcBorders>
            <w:shd w:val="clear" w:color="000000" w:fill="FFFFFF"/>
            <w:noWrap/>
            <w:vAlign w:val="bottom"/>
            <w:hideMark/>
          </w:tcPr>
          <w:p w14:paraId="2847A058"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US$ milhões</w:t>
            </w:r>
          </w:p>
        </w:tc>
        <w:tc>
          <w:tcPr>
            <w:tcW w:w="1260" w:type="dxa"/>
            <w:tcBorders>
              <w:top w:val="single" w:sz="4" w:space="0" w:color="auto"/>
              <w:left w:val="nil"/>
              <w:bottom w:val="single" w:sz="4" w:space="0" w:color="auto"/>
              <w:right w:val="nil"/>
            </w:tcBorders>
            <w:shd w:val="clear" w:color="000000" w:fill="FFFFFF"/>
            <w:noWrap/>
            <w:vAlign w:val="bottom"/>
            <w:hideMark/>
          </w:tcPr>
          <w:p w14:paraId="5EDF12A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2F2C27" w:rsidRPr="006D7A8C" w14:paraId="2AECEB8E" w14:textId="77777777" w:rsidTr="00CD3001">
        <w:trPr>
          <w:trHeight w:val="300"/>
        </w:trPr>
        <w:tc>
          <w:tcPr>
            <w:tcW w:w="1985" w:type="dxa"/>
            <w:tcBorders>
              <w:top w:val="nil"/>
              <w:left w:val="nil"/>
              <w:bottom w:val="nil"/>
              <w:right w:val="nil"/>
            </w:tcBorders>
            <w:shd w:val="clear" w:color="000000" w:fill="FFFFFF"/>
            <w:noWrap/>
            <w:vAlign w:val="bottom"/>
            <w:hideMark/>
          </w:tcPr>
          <w:p w14:paraId="365D6330"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China</w:t>
            </w:r>
          </w:p>
        </w:tc>
        <w:tc>
          <w:tcPr>
            <w:tcW w:w="1460" w:type="dxa"/>
            <w:tcBorders>
              <w:top w:val="nil"/>
              <w:left w:val="nil"/>
              <w:bottom w:val="nil"/>
              <w:right w:val="nil"/>
            </w:tcBorders>
            <w:shd w:val="clear" w:color="000000" w:fill="FFFFFF"/>
            <w:noWrap/>
            <w:vAlign w:val="bottom"/>
            <w:hideMark/>
          </w:tcPr>
          <w:p w14:paraId="37B2F5FD" w14:textId="4186B5F9"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8.196,3</w:t>
            </w:r>
          </w:p>
        </w:tc>
        <w:tc>
          <w:tcPr>
            <w:tcW w:w="1260" w:type="dxa"/>
            <w:tcBorders>
              <w:top w:val="nil"/>
              <w:left w:val="nil"/>
              <w:bottom w:val="nil"/>
              <w:right w:val="nil"/>
            </w:tcBorders>
            <w:shd w:val="clear" w:color="000000" w:fill="FFFFFF"/>
            <w:noWrap/>
            <w:vAlign w:val="bottom"/>
            <w:hideMark/>
          </w:tcPr>
          <w:p w14:paraId="6793C4A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31,9%</w:t>
            </w:r>
          </w:p>
        </w:tc>
      </w:tr>
      <w:tr w:rsidR="002F2C27" w:rsidRPr="006D7A8C" w14:paraId="77BFD7FF" w14:textId="77777777" w:rsidTr="00CD3001">
        <w:trPr>
          <w:trHeight w:val="300"/>
        </w:trPr>
        <w:tc>
          <w:tcPr>
            <w:tcW w:w="1985" w:type="dxa"/>
            <w:tcBorders>
              <w:top w:val="nil"/>
              <w:left w:val="nil"/>
              <w:bottom w:val="nil"/>
              <w:right w:val="nil"/>
            </w:tcBorders>
            <w:shd w:val="clear" w:color="000000" w:fill="FFFFFF"/>
            <w:noWrap/>
            <w:vAlign w:val="bottom"/>
            <w:hideMark/>
          </w:tcPr>
          <w:p w14:paraId="5E155DB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Japão</w:t>
            </w:r>
          </w:p>
        </w:tc>
        <w:tc>
          <w:tcPr>
            <w:tcW w:w="1460" w:type="dxa"/>
            <w:tcBorders>
              <w:top w:val="nil"/>
              <w:left w:val="nil"/>
              <w:bottom w:val="nil"/>
              <w:right w:val="nil"/>
            </w:tcBorders>
            <w:shd w:val="clear" w:color="000000" w:fill="FFFFFF"/>
            <w:noWrap/>
            <w:vAlign w:val="bottom"/>
            <w:hideMark/>
          </w:tcPr>
          <w:p w14:paraId="74B9C325" w14:textId="17876DA9"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1.728,7</w:t>
            </w:r>
          </w:p>
        </w:tc>
        <w:tc>
          <w:tcPr>
            <w:tcW w:w="1260" w:type="dxa"/>
            <w:tcBorders>
              <w:top w:val="nil"/>
              <w:left w:val="nil"/>
              <w:bottom w:val="nil"/>
              <w:right w:val="nil"/>
            </w:tcBorders>
            <w:shd w:val="clear" w:color="000000" w:fill="FFFFFF"/>
            <w:noWrap/>
            <w:vAlign w:val="bottom"/>
            <w:hideMark/>
          </w:tcPr>
          <w:p w14:paraId="15805815"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6,7%</w:t>
            </w:r>
          </w:p>
        </w:tc>
      </w:tr>
      <w:tr w:rsidR="002F2C27" w:rsidRPr="006D7A8C" w14:paraId="084A1C79" w14:textId="77777777" w:rsidTr="00CD3001">
        <w:trPr>
          <w:trHeight w:val="300"/>
        </w:trPr>
        <w:tc>
          <w:tcPr>
            <w:tcW w:w="1985" w:type="dxa"/>
            <w:tcBorders>
              <w:top w:val="nil"/>
              <w:left w:val="nil"/>
              <w:bottom w:val="nil"/>
              <w:right w:val="nil"/>
            </w:tcBorders>
            <w:shd w:val="clear" w:color="000000" w:fill="FFFFFF"/>
            <w:noWrap/>
            <w:vAlign w:val="bottom"/>
            <w:hideMark/>
          </w:tcPr>
          <w:p w14:paraId="15CE3E9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Países Baixos</w:t>
            </w:r>
          </w:p>
        </w:tc>
        <w:tc>
          <w:tcPr>
            <w:tcW w:w="1460" w:type="dxa"/>
            <w:tcBorders>
              <w:top w:val="nil"/>
              <w:left w:val="nil"/>
              <w:bottom w:val="nil"/>
              <w:right w:val="nil"/>
            </w:tcBorders>
            <w:shd w:val="clear" w:color="000000" w:fill="FFFFFF"/>
            <w:noWrap/>
            <w:vAlign w:val="bottom"/>
            <w:hideMark/>
          </w:tcPr>
          <w:p w14:paraId="2443B82A" w14:textId="1ECC1D29"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1.478,9</w:t>
            </w:r>
          </w:p>
        </w:tc>
        <w:tc>
          <w:tcPr>
            <w:tcW w:w="1260" w:type="dxa"/>
            <w:tcBorders>
              <w:top w:val="nil"/>
              <w:left w:val="nil"/>
              <w:bottom w:val="nil"/>
              <w:right w:val="nil"/>
            </w:tcBorders>
            <w:shd w:val="clear" w:color="000000" w:fill="FFFFFF"/>
            <w:noWrap/>
            <w:vAlign w:val="bottom"/>
            <w:hideMark/>
          </w:tcPr>
          <w:p w14:paraId="54FCFB8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5,8%</w:t>
            </w:r>
          </w:p>
        </w:tc>
      </w:tr>
      <w:tr w:rsidR="002F2C27" w:rsidRPr="006D7A8C" w14:paraId="450B241D" w14:textId="77777777" w:rsidTr="00CD3001">
        <w:trPr>
          <w:trHeight w:val="300"/>
        </w:trPr>
        <w:tc>
          <w:tcPr>
            <w:tcW w:w="1985" w:type="dxa"/>
            <w:tcBorders>
              <w:top w:val="nil"/>
              <w:left w:val="nil"/>
              <w:bottom w:val="nil"/>
              <w:right w:val="nil"/>
            </w:tcBorders>
            <w:shd w:val="clear" w:color="000000" w:fill="FFFFFF"/>
            <w:noWrap/>
            <w:vAlign w:val="bottom"/>
            <w:hideMark/>
          </w:tcPr>
          <w:p w14:paraId="1E330ACD"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EUA</w:t>
            </w:r>
          </w:p>
        </w:tc>
        <w:tc>
          <w:tcPr>
            <w:tcW w:w="1460" w:type="dxa"/>
            <w:tcBorders>
              <w:top w:val="nil"/>
              <w:left w:val="nil"/>
              <w:bottom w:val="nil"/>
              <w:right w:val="nil"/>
            </w:tcBorders>
            <w:shd w:val="clear" w:color="000000" w:fill="FFFFFF"/>
            <w:noWrap/>
            <w:vAlign w:val="bottom"/>
            <w:hideMark/>
          </w:tcPr>
          <w:p w14:paraId="273220D5" w14:textId="2013485F"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1.067,3</w:t>
            </w:r>
          </w:p>
        </w:tc>
        <w:tc>
          <w:tcPr>
            <w:tcW w:w="1260" w:type="dxa"/>
            <w:tcBorders>
              <w:top w:val="nil"/>
              <w:left w:val="nil"/>
              <w:bottom w:val="nil"/>
              <w:right w:val="nil"/>
            </w:tcBorders>
            <w:shd w:val="clear" w:color="000000" w:fill="FFFFFF"/>
            <w:noWrap/>
            <w:vAlign w:val="bottom"/>
            <w:hideMark/>
          </w:tcPr>
          <w:p w14:paraId="4922545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4,2%</w:t>
            </w:r>
          </w:p>
        </w:tc>
      </w:tr>
      <w:tr w:rsidR="002F2C27" w:rsidRPr="006D7A8C" w14:paraId="36B7FBE6" w14:textId="77777777" w:rsidTr="00CD3001">
        <w:trPr>
          <w:trHeight w:val="300"/>
        </w:trPr>
        <w:tc>
          <w:tcPr>
            <w:tcW w:w="1985" w:type="dxa"/>
            <w:tcBorders>
              <w:top w:val="nil"/>
              <w:left w:val="nil"/>
              <w:bottom w:val="nil"/>
              <w:right w:val="nil"/>
            </w:tcBorders>
            <w:shd w:val="clear" w:color="000000" w:fill="FFFFFF"/>
            <w:noWrap/>
            <w:vAlign w:val="bottom"/>
            <w:hideMark/>
          </w:tcPr>
          <w:p w14:paraId="57754C71"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Canadá</w:t>
            </w:r>
          </w:p>
        </w:tc>
        <w:tc>
          <w:tcPr>
            <w:tcW w:w="1460" w:type="dxa"/>
            <w:tcBorders>
              <w:top w:val="nil"/>
              <w:left w:val="nil"/>
              <w:bottom w:val="nil"/>
              <w:right w:val="nil"/>
            </w:tcBorders>
            <w:shd w:val="clear" w:color="000000" w:fill="FFFFFF"/>
            <w:noWrap/>
            <w:vAlign w:val="bottom"/>
            <w:hideMark/>
          </w:tcPr>
          <w:p w14:paraId="4A027812" w14:textId="3962D85D"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1.049,6</w:t>
            </w:r>
          </w:p>
        </w:tc>
        <w:tc>
          <w:tcPr>
            <w:tcW w:w="1260" w:type="dxa"/>
            <w:tcBorders>
              <w:top w:val="nil"/>
              <w:left w:val="nil"/>
              <w:bottom w:val="nil"/>
              <w:right w:val="nil"/>
            </w:tcBorders>
            <w:shd w:val="clear" w:color="000000" w:fill="FFFFFF"/>
            <w:noWrap/>
            <w:vAlign w:val="bottom"/>
            <w:hideMark/>
          </w:tcPr>
          <w:p w14:paraId="5BC52F64"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4,1%</w:t>
            </w:r>
          </w:p>
        </w:tc>
      </w:tr>
      <w:tr w:rsidR="002F2C27" w:rsidRPr="006D7A8C" w14:paraId="073C4A0E" w14:textId="77777777" w:rsidTr="00CD3001">
        <w:trPr>
          <w:trHeight w:val="300"/>
        </w:trPr>
        <w:tc>
          <w:tcPr>
            <w:tcW w:w="1985" w:type="dxa"/>
            <w:tcBorders>
              <w:top w:val="nil"/>
              <w:left w:val="nil"/>
              <w:bottom w:val="nil"/>
              <w:right w:val="nil"/>
            </w:tcBorders>
            <w:shd w:val="clear" w:color="000000" w:fill="FFFFFF"/>
            <w:noWrap/>
            <w:vAlign w:val="bottom"/>
            <w:hideMark/>
          </w:tcPr>
          <w:p w14:paraId="4B4787F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Reino Unido</w:t>
            </w:r>
          </w:p>
        </w:tc>
        <w:tc>
          <w:tcPr>
            <w:tcW w:w="1460" w:type="dxa"/>
            <w:tcBorders>
              <w:top w:val="nil"/>
              <w:left w:val="nil"/>
              <w:bottom w:val="nil"/>
              <w:right w:val="nil"/>
            </w:tcBorders>
            <w:shd w:val="clear" w:color="000000" w:fill="FFFFFF"/>
            <w:noWrap/>
            <w:vAlign w:val="bottom"/>
            <w:hideMark/>
          </w:tcPr>
          <w:p w14:paraId="1237C74E" w14:textId="40668E03"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1.010,3</w:t>
            </w:r>
          </w:p>
        </w:tc>
        <w:tc>
          <w:tcPr>
            <w:tcW w:w="1260" w:type="dxa"/>
            <w:tcBorders>
              <w:top w:val="nil"/>
              <w:left w:val="nil"/>
              <w:bottom w:val="nil"/>
              <w:right w:val="nil"/>
            </w:tcBorders>
            <w:shd w:val="clear" w:color="000000" w:fill="FFFFFF"/>
            <w:noWrap/>
            <w:vAlign w:val="bottom"/>
            <w:hideMark/>
          </w:tcPr>
          <w:p w14:paraId="00E5B423"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3,9%</w:t>
            </w:r>
          </w:p>
        </w:tc>
      </w:tr>
      <w:tr w:rsidR="002F2C27" w:rsidRPr="006D7A8C" w14:paraId="33549824" w14:textId="77777777" w:rsidTr="00CD3001">
        <w:trPr>
          <w:trHeight w:val="300"/>
        </w:trPr>
        <w:tc>
          <w:tcPr>
            <w:tcW w:w="1985" w:type="dxa"/>
            <w:tcBorders>
              <w:top w:val="nil"/>
              <w:left w:val="nil"/>
              <w:bottom w:val="nil"/>
              <w:right w:val="nil"/>
            </w:tcBorders>
            <w:shd w:val="clear" w:color="000000" w:fill="FFFFFF"/>
            <w:noWrap/>
            <w:vAlign w:val="bottom"/>
            <w:hideMark/>
          </w:tcPr>
          <w:p w14:paraId="2EF1BC6D"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Emirados Árabes</w:t>
            </w:r>
          </w:p>
        </w:tc>
        <w:tc>
          <w:tcPr>
            <w:tcW w:w="1460" w:type="dxa"/>
            <w:tcBorders>
              <w:top w:val="nil"/>
              <w:left w:val="nil"/>
              <w:bottom w:val="nil"/>
              <w:right w:val="nil"/>
            </w:tcBorders>
            <w:shd w:val="clear" w:color="000000" w:fill="FFFFFF"/>
            <w:noWrap/>
            <w:vAlign w:val="bottom"/>
            <w:hideMark/>
          </w:tcPr>
          <w:p w14:paraId="0AD66F90"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872,0</w:t>
            </w:r>
          </w:p>
        </w:tc>
        <w:tc>
          <w:tcPr>
            <w:tcW w:w="1260" w:type="dxa"/>
            <w:tcBorders>
              <w:top w:val="nil"/>
              <w:left w:val="nil"/>
              <w:bottom w:val="nil"/>
              <w:right w:val="nil"/>
            </w:tcBorders>
            <w:shd w:val="clear" w:color="000000" w:fill="FFFFFF"/>
            <w:noWrap/>
            <w:vAlign w:val="bottom"/>
            <w:hideMark/>
          </w:tcPr>
          <w:p w14:paraId="5F82ADD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3,4%</w:t>
            </w:r>
          </w:p>
        </w:tc>
      </w:tr>
      <w:tr w:rsidR="002F2C27" w:rsidRPr="006D7A8C" w14:paraId="6D8D45CD" w14:textId="77777777" w:rsidTr="00CD3001">
        <w:trPr>
          <w:trHeight w:val="300"/>
        </w:trPr>
        <w:tc>
          <w:tcPr>
            <w:tcW w:w="1985" w:type="dxa"/>
            <w:tcBorders>
              <w:top w:val="nil"/>
              <w:left w:val="nil"/>
              <w:bottom w:val="nil"/>
              <w:right w:val="nil"/>
            </w:tcBorders>
            <w:shd w:val="clear" w:color="000000" w:fill="FFFFFF"/>
            <w:noWrap/>
            <w:vAlign w:val="bottom"/>
            <w:hideMark/>
          </w:tcPr>
          <w:p w14:paraId="4F5D7CB0"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Suíça</w:t>
            </w:r>
          </w:p>
        </w:tc>
        <w:tc>
          <w:tcPr>
            <w:tcW w:w="1460" w:type="dxa"/>
            <w:tcBorders>
              <w:top w:val="nil"/>
              <w:left w:val="nil"/>
              <w:bottom w:val="nil"/>
              <w:right w:val="nil"/>
            </w:tcBorders>
            <w:shd w:val="clear" w:color="000000" w:fill="FFFFFF"/>
            <w:noWrap/>
            <w:vAlign w:val="bottom"/>
            <w:hideMark/>
          </w:tcPr>
          <w:p w14:paraId="50853D1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794,7</w:t>
            </w:r>
          </w:p>
        </w:tc>
        <w:tc>
          <w:tcPr>
            <w:tcW w:w="1260" w:type="dxa"/>
            <w:tcBorders>
              <w:top w:val="nil"/>
              <w:left w:val="nil"/>
              <w:bottom w:val="nil"/>
              <w:right w:val="nil"/>
            </w:tcBorders>
            <w:shd w:val="clear" w:color="000000" w:fill="FFFFFF"/>
            <w:noWrap/>
            <w:vAlign w:val="bottom"/>
            <w:hideMark/>
          </w:tcPr>
          <w:p w14:paraId="228543F8"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3,1%</w:t>
            </w:r>
          </w:p>
        </w:tc>
      </w:tr>
      <w:tr w:rsidR="002F2C27" w:rsidRPr="006D7A8C" w14:paraId="608476C3" w14:textId="77777777" w:rsidTr="00CD3001">
        <w:trPr>
          <w:trHeight w:val="300"/>
        </w:trPr>
        <w:tc>
          <w:tcPr>
            <w:tcW w:w="1985" w:type="dxa"/>
            <w:tcBorders>
              <w:top w:val="nil"/>
              <w:left w:val="nil"/>
              <w:bottom w:val="nil"/>
              <w:right w:val="nil"/>
            </w:tcBorders>
            <w:shd w:val="clear" w:color="000000" w:fill="FFFFFF"/>
            <w:noWrap/>
            <w:vAlign w:val="bottom"/>
            <w:hideMark/>
          </w:tcPr>
          <w:p w14:paraId="5FBBB8F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Malásia</w:t>
            </w:r>
          </w:p>
        </w:tc>
        <w:tc>
          <w:tcPr>
            <w:tcW w:w="1460" w:type="dxa"/>
            <w:tcBorders>
              <w:top w:val="nil"/>
              <w:left w:val="nil"/>
              <w:bottom w:val="nil"/>
              <w:right w:val="nil"/>
            </w:tcBorders>
            <w:shd w:val="clear" w:color="000000" w:fill="FFFFFF"/>
            <w:noWrap/>
            <w:vAlign w:val="bottom"/>
            <w:hideMark/>
          </w:tcPr>
          <w:p w14:paraId="3FB3C05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790,5</w:t>
            </w:r>
          </w:p>
        </w:tc>
        <w:tc>
          <w:tcPr>
            <w:tcW w:w="1260" w:type="dxa"/>
            <w:tcBorders>
              <w:top w:val="nil"/>
              <w:left w:val="nil"/>
              <w:bottom w:val="nil"/>
              <w:right w:val="nil"/>
            </w:tcBorders>
            <w:shd w:val="clear" w:color="000000" w:fill="FFFFFF"/>
            <w:noWrap/>
            <w:vAlign w:val="bottom"/>
            <w:hideMark/>
          </w:tcPr>
          <w:p w14:paraId="6DE7611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3,1%</w:t>
            </w:r>
          </w:p>
        </w:tc>
      </w:tr>
      <w:tr w:rsidR="002F2C27" w:rsidRPr="006D7A8C" w14:paraId="53B8C9F2" w14:textId="77777777" w:rsidTr="00CD3001">
        <w:trPr>
          <w:trHeight w:val="300"/>
        </w:trPr>
        <w:tc>
          <w:tcPr>
            <w:tcW w:w="1985" w:type="dxa"/>
            <w:tcBorders>
              <w:top w:val="nil"/>
              <w:left w:val="nil"/>
              <w:bottom w:val="nil"/>
              <w:right w:val="nil"/>
            </w:tcBorders>
            <w:shd w:val="clear" w:color="000000" w:fill="FFFFFF"/>
            <w:noWrap/>
            <w:vAlign w:val="bottom"/>
            <w:hideMark/>
          </w:tcPr>
          <w:p w14:paraId="54CCF4B9"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Alemanha</w:t>
            </w:r>
          </w:p>
        </w:tc>
        <w:tc>
          <w:tcPr>
            <w:tcW w:w="1460" w:type="dxa"/>
            <w:tcBorders>
              <w:top w:val="nil"/>
              <w:left w:val="nil"/>
              <w:bottom w:val="nil"/>
              <w:right w:val="nil"/>
            </w:tcBorders>
            <w:shd w:val="clear" w:color="000000" w:fill="FFFFFF"/>
            <w:noWrap/>
            <w:vAlign w:val="bottom"/>
            <w:hideMark/>
          </w:tcPr>
          <w:p w14:paraId="55D54DE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781,4</w:t>
            </w:r>
          </w:p>
        </w:tc>
        <w:tc>
          <w:tcPr>
            <w:tcW w:w="1260" w:type="dxa"/>
            <w:tcBorders>
              <w:top w:val="nil"/>
              <w:left w:val="nil"/>
              <w:bottom w:val="nil"/>
              <w:right w:val="nil"/>
            </w:tcBorders>
            <w:shd w:val="clear" w:color="000000" w:fill="FFFFFF"/>
            <w:noWrap/>
            <w:vAlign w:val="bottom"/>
            <w:hideMark/>
          </w:tcPr>
          <w:p w14:paraId="731A519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w:t>
            </w:r>
          </w:p>
        </w:tc>
      </w:tr>
      <w:tr w:rsidR="002F2C27" w:rsidRPr="006D7A8C" w14:paraId="1DF277AD" w14:textId="77777777" w:rsidTr="00CD3001">
        <w:trPr>
          <w:trHeight w:val="300"/>
        </w:trPr>
        <w:tc>
          <w:tcPr>
            <w:tcW w:w="1985" w:type="dxa"/>
            <w:tcBorders>
              <w:top w:val="nil"/>
              <w:left w:val="nil"/>
              <w:bottom w:val="nil"/>
              <w:right w:val="nil"/>
            </w:tcBorders>
            <w:shd w:val="clear" w:color="000000" w:fill="FFFFFF"/>
            <w:noWrap/>
            <w:vAlign w:val="bottom"/>
            <w:hideMark/>
          </w:tcPr>
          <w:p w14:paraId="73283CD3"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Argentina</w:t>
            </w:r>
          </w:p>
        </w:tc>
        <w:tc>
          <w:tcPr>
            <w:tcW w:w="1460" w:type="dxa"/>
            <w:tcBorders>
              <w:top w:val="nil"/>
              <w:left w:val="nil"/>
              <w:bottom w:val="nil"/>
              <w:right w:val="nil"/>
            </w:tcBorders>
            <w:shd w:val="clear" w:color="000000" w:fill="FFFFFF"/>
            <w:noWrap/>
            <w:vAlign w:val="bottom"/>
            <w:hideMark/>
          </w:tcPr>
          <w:p w14:paraId="69B26AC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768,7</w:t>
            </w:r>
          </w:p>
        </w:tc>
        <w:tc>
          <w:tcPr>
            <w:tcW w:w="1260" w:type="dxa"/>
            <w:tcBorders>
              <w:top w:val="nil"/>
              <w:left w:val="nil"/>
              <w:bottom w:val="nil"/>
              <w:right w:val="nil"/>
            </w:tcBorders>
            <w:shd w:val="clear" w:color="000000" w:fill="FFFFFF"/>
            <w:noWrap/>
            <w:vAlign w:val="bottom"/>
            <w:hideMark/>
          </w:tcPr>
          <w:p w14:paraId="7CB7458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w:t>
            </w:r>
          </w:p>
        </w:tc>
      </w:tr>
      <w:tr w:rsidR="002F2C27" w:rsidRPr="006D7A8C" w14:paraId="192E8D71" w14:textId="77777777" w:rsidTr="00CD3001">
        <w:trPr>
          <w:trHeight w:val="300"/>
        </w:trPr>
        <w:tc>
          <w:tcPr>
            <w:tcW w:w="1985" w:type="dxa"/>
            <w:tcBorders>
              <w:top w:val="nil"/>
              <w:left w:val="nil"/>
              <w:bottom w:val="nil"/>
              <w:right w:val="nil"/>
            </w:tcBorders>
            <w:shd w:val="clear" w:color="000000" w:fill="FFFFFF"/>
            <w:noWrap/>
            <w:vAlign w:val="bottom"/>
            <w:hideMark/>
          </w:tcPr>
          <w:p w14:paraId="79E5ED9A"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Coréia do Sul</w:t>
            </w:r>
          </w:p>
        </w:tc>
        <w:tc>
          <w:tcPr>
            <w:tcW w:w="1460" w:type="dxa"/>
            <w:tcBorders>
              <w:top w:val="nil"/>
              <w:left w:val="nil"/>
              <w:bottom w:val="nil"/>
              <w:right w:val="nil"/>
            </w:tcBorders>
            <w:shd w:val="clear" w:color="000000" w:fill="FFFFFF"/>
            <w:noWrap/>
            <w:vAlign w:val="bottom"/>
            <w:hideMark/>
          </w:tcPr>
          <w:p w14:paraId="04D93146"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661,4</w:t>
            </w:r>
          </w:p>
        </w:tc>
        <w:tc>
          <w:tcPr>
            <w:tcW w:w="1260" w:type="dxa"/>
            <w:tcBorders>
              <w:top w:val="nil"/>
              <w:left w:val="nil"/>
              <w:bottom w:val="nil"/>
              <w:right w:val="nil"/>
            </w:tcBorders>
            <w:shd w:val="clear" w:color="000000" w:fill="FFFFFF"/>
            <w:noWrap/>
            <w:vAlign w:val="bottom"/>
            <w:hideMark/>
          </w:tcPr>
          <w:p w14:paraId="1B43F584"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2,6%</w:t>
            </w:r>
          </w:p>
        </w:tc>
      </w:tr>
      <w:tr w:rsidR="002F2C27" w:rsidRPr="006D7A8C" w14:paraId="58B71F43" w14:textId="77777777" w:rsidTr="00CD3001">
        <w:trPr>
          <w:trHeight w:val="300"/>
        </w:trPr>
        <w:tc>
          <w:tcPr>
            <w:tcW w:w="1985" w:type="dxa"/>
            <w:tcBorders>
              <w:top w:val="nil"/>
              <w:left w:val="nil"/>
              <w:bottom w:val="nil"/>
              <w:right w:val="nil"/>
            </w:tcBorders>
            <w:shd w:val="clear" w:color="000000" w:fill="FFFFFF"/>
            <w:noWrap/>
            <w:vAlign w:val="bottom"/>
            <w:hideMark/>
          </w:tcPr>
          <w:p w14:paraId="29F4DC4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Índia</w:t>
            </w:r>
          </w:p>
        </w:tc>
        <w:tc>
          <w:tcPr>
            <w:tcW w:w="1460" w:type="dxa"/>
            <w:tcBorders>
              <w:top w:val="nil"/>
              <w:left w:val="nil"/>
              <w:bottom w:val="nil"/>
              <w:right w:val="nil"/>
            </w:tcBorders>
            <w:shd w:val="clear" w:color="000000" w:fill="FFFFFF"/>
            <w:noWrap/>
            <w:vAlign w:val="bottom"/>
            <w:hideMark/>
          </w:tcPr>
          <w:p w14:paraId="31B35A6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635,8</w:t>
            </w:r>
          </w:p>
        </w:tc>
        <w:tc>
          <w:tcPr>
            <w:tcW w:w="1260" w:type="dxa"/>
            <w:tcBorders>
              <w:top w:val="nil"/>
              <w:left w:val="nil"/>
              <w:bottom w:val="nil"/>
              <w:right w:val="nil"/>
            </w:tcBorders>
            <w:shd w:val="clear" w:color="000000" w:fill="FFFFFF"/>
            <w:noWrap/>
            <w:vAlign w:val="bottom"/>
            <w:hideMark/>
          </w:tcPr>
          <w:p w14:paraId="48A0B7C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2,5%</w:t>
            </w:r>
          </w:p>
        </w:tc>
      </w:tr>
      <w:tr w:rsidR="002F2C27" w:rsidRPr="006D7A8C" w14:paraId="2BE199B6" w14:textId="77777777" w:rsidTr="00CD3001">
        <w:trPr>
          <w:trHeight w:val="300"/>
        </w:trPr>
        <w:tc>
          <w:tcPr>
            <w:tcW w:w="1985" w:type="dxa"/>
            <w:tcBorders>
              <w:top w:val="nil"/>
              <w:left w:val="nil"/>
              <w:bottom w:val="nil"/>
              <w:right w:val="nil"/>
            </w:tcBorders>
            <w:shd w:val="clear" w:color="000000" w:fill="FFFFFF"/>
            <w:noWrap/>
            <w:vAlign w:val="bottom"/>
            <w:hideMark/>
          </w:tcPr>
          <w:p w14:paraId="0437429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Filipinas</w:t>
            </w:r>
          </w:p>
        </w:tc>
        <w:tc>
          <w:tcPr>
            <w:tcW w:w="1460" w:type="dxa"/>
            <w:tcBorders>
              <w:top w:val="nil"/>
              <w:left w:val="nil"/>
              <w:bottom w:val="nil"/>
              <w:right w:val="nil"/>
            </w:tcBorders>
            <w:shd w:val="clear" w:color="000000" w:fill="FFFFFF"/>
            <w:noWrap/>
            <w:vAlign w:val="bottom"/>
            <w:hideMark/>
          </w:tcPr>
          <w:p w14:paraId="5702F20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506,7</w:t>
            </w:r>
          </w:p>
        </w:tc>
        <w:tc>
          <w:tcPr>
            <w:tcW w:w="1260" w:type="dxa"/>
            <w:tcBorders>
              <w:top w:val="nil"/>
              <w:left w:val="nil"/>
              <w:bottom w:val="nil"/>
              <w:right w:val="nil"/>
            </w:tcBorders>
            <w:shd w:val="clear" w:color="000000" w:fill="FFFFFF"/>
            <w:noWrap/>
            <w:vAlign w:val="bottom"/>
            <w:hideMark/>
          </w:tcPr>
          <w:p w14:paraId="270CA9FA"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2,0%</w:t>
            </w:r>
          </w:p>
        </w:tc>
      </w:tr>
      <w:tr w:rsidR="002F2C27" w:rsidRPr="006D7A8C" w14:paraId="7CF6D008" w14:textId="77777777" w:rsidTr="00CD3001">
        <w:trPr>
          <w:trHeight w:val="300"/>
        </w:trPr>
        <w:tc>
          <w:tcPr>
            <w:tcW w:w="1985" w:type="dxa"/>
            <w:tcBorders>
              <w:top w:val="nil"/>
              <w:left w:val="nil"/>
              <w:bottom w:val="nil"/>
              <w:right w:val="nil"/>
            </w:tcBorders>
            <w:shd w:val="clear" w:color="000000" w:fill="FFFFFF"/>
            <w:noWrap/>
            <w:vAlign w:val="bottom"/>
            <w:hideMark/>
          </w:tcPr>
          <w:p w14:paraId="08D2B64F"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Noruega</w:t>
            </w:r>
          </w:p>
        </w:tc>
        <w:tc>
          <w:tcPr>
            <w:tcW w:w="1460" w:type="dxa"/>
            <w:tcBorders>
              <w:top w:val="nil"/>
              <w:left w:val="nil"/>
              <w:bottom w:val="nil"/>
              <w:right w:val="nil"/>
            </w:tcBorders>
            <w:shd w:val="clear" w:color="000000" w:fill="FFFFFF"/>
            <w:noWrap/>
            <w:vAlign w:val="bottom"/>
            <w:hideMark/>
          </w:tcPr>
          <w:p w14:paraId="16A8AA5A"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447,3</w:t>
            </w:r>
          </w:p>
        </w:tc>
        <w:tc>
          <w:tcPr>
            <w:tcW w:w="1260" w:type="dxa"/>
            <w:tcBorders>
              <w:top w:val="nil"/>
              <w:left w:val="nil"/>
              <w:bottom w:val="nil"/>
              <w:right w:val="nil"/>
            </w:tcBorders>
            <w:shd w:val="clear" w:color="000000" w:fill="FFFFFF"/>
            <w:noWrap/>
            <w:vAlign w:val="bottom"/>
            <w:hideMark/>
          </w:tcPr>
          <w:p w14:paraId="5F9BF444"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1,7%</w:t>
            </w:r>
          </w:p>
        </w:tc>
      </w:tr>
      <w:tr w:rsidR="002F2C27" w:rsidRPr="006D7A8C" w14:paraId="05F13304" w14:textId="77777777" w:rsidTr="00CD3001">
        <w:trPr>
          <w:trHeight w:val="300"/>
        </w:trPr>
        <w:tc>
          <w:tcPr>
            <w:tcW w:w="1985" w:type="dxa"/>
            <w:tcBorders>
              <w:top w:val="nil"/>
              <w:left w:val="nil"/>
              <w:bottom w:val="nil"/>
              <w:right w:val="nil"/>
            </w:tcBorders>
            <w:shd w:val="clear" w:color="000000" w:fill="FFFFFF"/>
            <w:noWrap/>
            <w:vAlign w:val="bottom"/>
            <w:hideMark/>
          </w:tcPr>
          <w:p w14:paraId="2397C25D"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lastRenderedPageBreak/>
              <w:t>Taiwan</w:t>
            </w:r>
          </w:p>
        </w:tc>
        <w:tc>
          <w:tcPr>
            <w:tcW w:w="1460" w:type="dxa"/>
            <w:tcBorders>
              <w:top w:val="nil"/>
              <w:left w:val="nil"/>
              <w:bottom w:val="nil"/>
              <w:right w:val="nil"/>
            </w:tcBorders>
            <w:shd w:val="clear" w:color="000000" w:fill="FFFFFF"/>
            <w:noWrap/>
            <w:vAlign w:val="bottom"/>
            <w:hideMark/>
          </w:tcPr>
          <w:p w14:paraId="10081C3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420,0</w:t>
            </w:r>
          </w:p>
        </w:tc>
        <w:tc>
          <w:tcPr>
            <w:tcW w:w="1260" w:type="dxa"/>
            <w:tcBorders>
              <w:top w:val="nil"/>
              <w:left w:val="nil"/>
              <w:bottom w:val="nil"/>
              <w:right w:val="nil"/>
            </w:tcBorders>
            <w:shd w:val="clear" w:color="000000" w:fill="FFFFFF"/>
            <w:noWrap/>
            <w:vAlign w:val="bottom"/>
            <w:hideMark/>
          </w:tcPr>
          <w:p w14:paraId="222F26D3"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w:t>
            </w:r>
          </w:p>
        </w:tc>
      </w:tr>
      <w:tr w:rsidR="002F2C27" w:rsidRPr="006D7A8C" w14:paraId="3110D1A1" w14:textId="77777777" w:rsidTr="00CD3001">
        <w:trPr>
          <w:trHeight w:val="300"/>
        </w:trPr>
        <w:tc>
          <w:tcPr>
            <w:tcW w:w="1985" w:type="dxa"/>
            <w:tcBorders>
              <w:top w:val="nil"/>
              <w:left w:val="nil"/>
              <w:bottom w:val="nil"/>
              <w:right w:val="nil"/>
            </w:tcBorders>
            <w:shd w:val="clear" w:color="000000" w:fill="FFFFFF"/>
            <w:noWrap/>
            <w:vAlign w:val="bottom"/>
            <w:hideMark/>
          </w:tcPr>
          <w:p w14:paraId="113EC313" w14:textId="60E2FA29"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Om</w:t>
            </w:r>
            <w:r w:rsidR="0075172B" w:rsidRPr="006D7A8C">
              <w:rPr>
                <w:rFonts w:ascii="Times New Roman" w:eastAsia="Times New Roman" w:hAnsi="Times New Roman" w:cs="Times New Roman"/>
                <w:color w:val="000000"/>
                <w:sz w:val="24"/>
                <w:szCs w:val="24"/>
              </w:rPr>
              <w:t>ã</w:t>
            </w:r>
          </w:p>
        </w:tc>
        <w:tc>
          <w:tcPr>
            <w:tcW w:w="1460" w:type="dxa"/>
            <w:tcBorders>
              <w:top w:val="nil"/>
              <w:left w:val="nil"/>
              <w:bottom w:val="nil"/>
              <w:right w:val="nil"/>
            </w:tcBorders>
            <w:shd w:val="clear" w:color="000000" w:fill="FFFFFF"/>
            <w:noWrap/>
            <w:vAlign w:val="bottom"/>
            <w:hideMark/>
          </w:tcPr>
          <w:p w14:paraId="2FCE603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376,3</w:t>
            </w:r>
          </w:p>
        </w:tc>
        <w:tc>
          <w:tcPr>
            <w:tcW w:w="1260" w:type="dxa"/>
            <w:tcBorders>
              <w:top w:val="nil"/>
              <w:left w:val="nil"/>
              <w:bottom w:val="nil"/>
              <w:right w:val="nil"/>
            </w:tcBorders>
            <w:shd w:val="clear" w:color="000000" w:fill="FFFFFF"/>
            <w:noWrap/>
            <w:vAlign w:val="bottom"/>
            <w:hideMark/>
          </w:tcPr>
          <w:p w14:paraId="1B4E9758"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1,5%</w:t>
            </w:r>
          </w:p>
        </w:tc>
      </w:tr>
      <w:tr w:rsidR="002F2C27" w:rsidRPr="006D7A8C" w14:paraId="43B9E61A" w14:textId="77777777" w:rsidTr="00CD3001">
        <w:trPr>
          <w:trHeight w:val="300"/>
        </w:trPr>
        <w:tc>
          <w:tcPr>
            <w:tcW w:w="1985" w:type="dxa"/>
            <w:tcBorders>
              <w:top w:val="nil"/>
              <w:left w:val="nil"/>
              <w:bottom w:val="nil"/>
              <w:right w:val="nil"/>
            </w:tcBorders>
            <w:shd w:val="clear" w:color="000000" w:fill="FFFFFF"/>
            <w:noWrap/>
            <w:vAlign w:val="bottom"/>
            <w:hideMark/>
          </w:tcPr>
          <w:p w14:paraId="6D46CBFA"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Itália</w:t>
            </w:r>
          </w:p>
        </w:tc>
        <w:tc>
          <w:tcPr>
            <w:tcW w:w="1460" w:type="dxa"/>
            <w:tcBorders>
              <w:top w:val="nil"/>
              <w:left w:val="nil"/>
              <w:bottom w:val="nil"/>
              <w:right w:val="nil"/>
            </w:tcBorders>
            <w:shd w:val="clear" w:color="000000" w:fill="FFFFFF"/>
            <w:noWrap/>
            <w:vAlign w:val="bottom"/>
            <w:hideMark/>
          </w:tcPr>
          <w:p w14:paraId="500C2264"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313,7</w:t>
            </w:r>
          </w:p>
        </w:tc>
        <w:tc>
          <w:tcPr>
            <w:tcW w:w="1260" w:type="dxa"/>
            <w:tcBorders>
              <w:top w:val="nil"/>
              <w:left w:val="nil"/>
              <w:bottom w:val="nil"/>
              <w:right w:val="nil"/>
            </w:tcBorders>
            <w:shd w:val="clear" w:color="000000" w:fill="FFFFFF"/>
            <w:noWrap/>
            <w:vAlign w:val="bottom"/>
            <w:hideMark/>
          </w:tcPr>
          <w:p w14:paraId="7C9037CE"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1,2%</w:t>
            </w:r>
          </w:p>
        </w:tc>
      </w:tr>
      <w:tr w:rsidR="002F2C27" w:rsidRPr="006D7A8C" w14:paraId="1330C959" w14:textId="77777777" w:rsidTr="00CD3001">
        <w:trPr>
          <w:trHeight w:val="300"/>
        </w:trPr>
        <w:tc>
          <w:tcPr>
            <w:tcW w:w="1985" w:type="dxa"/>
            <w:tcBorders>
              <w:top w:val="nil"/>
              <w:left w:val="nil"/>
              <w:bottom w:val="nil"/>
              <w:right w:val="nil"/>
            </w:tcBorders>
            <w:shd w:val="clear" w:color="000000" w:fill="FFFFFF"/>
            <w:noWrap/>
            <w:vAlign w:val="bottom"/>
            <w:hideMark/>
          </w:tcPr>
          <w:p w14:paraId="4DBD4E7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França</w:t>
            </w:r>
          </w:p>
        </w:tc>
        <w:tc>
          <w:tcPr>
            <w:tcW w:w="1460" w:type="dxa"/>
            <w:tcBorders>
              <w:top w:val="nil"/>
              <w:left w:val="nil"/>
              <w:bottom w:val="nil"/>
              <w:right w:val="nil"/>
            </w:tcBorders>
            <w:shd w:val="clear" w:color="000000" w:fill="FFFFFF"/>
            <w:noWrap/>
            <w:vAlign w:val="bottom"/>
            <w:hideMark/>
          </w:tcPr>
          <w:p w14:paraId="7278B91F"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309,8</w:t>
            </w:r>
          </w:p>
        </w:tc>
        <w:tc>
          <w:tcPr>
            <w:tcW w:w="1260" w:type="dxa"/>
            <w:tcBorders>
              <w:top w:val="nil"/>
              <w:left w:val="nil"/>
              <w:bottom w:val="nil"/>
              <w:right w:val="nil"/>
            </w:tcBorders>
            <w:shd w:val="clear" w:color="000000" w:fill="FFFFFF"/>
            <w:noWrap/>
            <w:vAlign w:val="bottom"/>
            <w:hideMark/>
          </w:tcPr>
          <w:p w14:paraId="1C62BE71"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1,2%</w:t>
            </w:r>
          </w:p>
        </w:tc>
      </w:tr>
      <w:tr w:rsidR="002F2C27" w:rsidRPr="006D7A8C" w14:paraId="326CB189" w14:textId="77777777" w:rsidTr="00CD3001">
        <w:trPr>
          <w:trHeight w:val="300"/>
        </w:trPr>
        <w:tc>
          <w:tcPr>
            <w:tcW w:w="1985" w:type="dxa"/>
            <w:tcBorders>
              <w:top w:val="nil"/>
              <w:left w:val="nil"/>
              <w:bottom w:val="nil"/>
              <w:right w:val="nil"/>
            </w:tcBorders>
            <w:shd w:val="clear" w:color="000000" w:fill="FFFFFF"/>
            <w:noWrap/>
            <w:vAlign w:val="bottom"/>
            <w:hideMark/>
          </w:tcPr>
          <w:p w14:paraId="51A91C1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Espanha</w:t>
            </w:r>
          </w:p>
        </w:tc>
        <w:tc>
          <w:tcPr>
            <w:tcW w:w="1460" w:type="dxa"/>
            <w:tcBorders>
              <w:top w:val="nil"/>
              <w:left w:val="nil"/>
              <w:bottom w:val="nil"/>
              <w:right w:val="nil"/>
            </w:tcBorders>
            <w:shd w:val="clear" w:color="000000" w:fill="FFFFFF"/>
            <w:noWrap/>
            <w:vAlign w:val="bottom"/>
            <w:hideMark/>
          </w:tcPr>
          <w:p w14:paraId="5FA6B5F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303,5</w:t>
            </w:r>
          </w:p>
        </w:tc>
        <w:tc>
          <w:tcPr>
            <w:tcW w:w="1260" w:type="dxa"/>
            <w:tcBorders>
              <w:top w:val="nil"/>
              <w:left w:val="nil"/>
              <w:bottom w:val="nil"/>
              <w:right w:val="nil"/>
            </w:tcBorders>
            <w:shd w:val="clear" w:color="000000" w:fill="FFFFFF"/>
            <w:noWrap/>
            <w:vAlign w:val="bottom"/>
            <w:hideMark/>
          </w:tcPr>
          <w:p w14:paraId="19A0370D"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1,2%</w:t>
            </w:r>
          </w:p>
        </w:tc>
      </w:tr>
      <w:tr w:rsidR="002F2C27" w:rsidRPr="006D7A8C" w14:paraId="2CB6D4C7" w14:textId="77777777" w:rsidTr="00CD3001">
        <w:trPr>
          <w:trHeight w:val="300"/>
        </w:trPr>
        <w:tc>
          <w:tcPr>
            <w:tcW w:w="1985" w:type="dxa"/>
            <w:tcBorders>
              <w:top w:val="nil"/>
              <w:left w:val="nil"/>
              <w:bottom w:val="nil"/>
              <w:right w:val="nil"/>
            </w:tcBorders>
            <w:shd w:val="clear" w:color="000000" w:fill="FFFFFF"/>
            <w:noWrap/>
            <w:vAlign w:val="bottom"/>
            <w:hideMark/>
          </w:tcPr>
          <w:p w14:paraId="0EE3970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Islândia</w:t>
            </w:r>
          </w:p>
        </w:tc>
        <w:tc>
          <w:tcPr>
            <w:tcW w:w="1460" w:type="dxa"/>
            <w:tcBorders>
              <w:top w:val="nil"/>
              <w:left w:val="nil"/>
              <w:bottom w:val="nil"/>
              <w:right w:val="nil"/>
            </w:tcBorders>
            <w:shd w:val="clear" w:color="000000" w:fill="FFFFFF"/>
            <w:noWrap/>
            <w:vAlign w:val="bottom"/>
            <w:hideMark/>
          </w:tcPr>
          <w:p w14:paraId="4C24F115"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292,1</w:t>
            </w:r>
          </w:p>
        </w:tc>
        <w:tc>
          <w:tcPr>
            <w:tcW w:w="1260" w:type="dxa"/>
            <w:tcBorders>
              <w:top w:val="nil"/>
              <w:left w:val="nil"/>
              <w:bottom w:val="nil"/>
              <w:right w:val="nil"/>
            </w:tcBorders>
            <w:shd w:val="clear" w:color="000000" w:fill="FFFFFF"/>
            <w:noWrap/>
            <w:vAlign w:val="bottom"/>
            <w:hideMark/>
          </w:tcPr>
          <w:p w14:paraId="404185CD"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1,1%</w:t>
            </w:r>
          </w:p>
        </w:tc>
      </w:tr>
      <w:tr w:rsidR="002F2C27" w:rsidRPr="006D7A8C" w14:paraId="4338BD4C" w14:textId="77777777" w:rsidTr="00CD3001">
        <w:trPr>
          <w:trHeight w:val="300"/>
        </w:trPr>
        <w:tc>
          <w:tcPr>
            <w:tcW w:w="1985" w:type="dxa"/>
            <w:tcBorders>
              <w:top w:val="nil"/>
              <w:left w:val="nil"/>
              <w:bottom w:val="nil"/>
              <w:right w:val="nil"/>
            </w:tcBorders>
            <w:shd w:val="clear" w:color="000000" w:fill="FFFFFF"/>
            <w:noWrap/>
            <w:vAlign w:val="bottom"/>
            <w:hideMark/>
          </w:tcPr>
          <w:p w14:paraId="7D0D9ED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Polônia</w:t>
            </w:r>
          </w:p>
        </w:tc>
        <w:tc>
          <w:tcPr>
            <w:tcW w:w="1460" w:type="dxa"/>
            <w:tcBorders>
              <w:top w:val="nil"/>
              <w:left w:val="nil"/>
              <w:bottom w:val="nil"/>
              <w:right w:val="nil"/>
            </w:tcBorders>
            <w:shd w:val="clear" w:color="000000" w:fill="FFFFFF"/>
            <w:noWrap/>
            <w:vAlign w:val="bottom"/>
            <w:hideMark/>
          </w:tcPr>
          <w:p w14:paraId="0E92D7E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267,0</w:t>
            </w:r>
          </w:p>
        </w:tc>
        <w:tc>
          <w:tcPr>
            <w:tcW w:w="1260" w:type="dxa"/>
            <w:tcBorders>
              <w:top w:val="nil"/>
              <w:left w:val="nil"/>
              <w:bottom w:val="nil"/>
              <w:right w:val="nil"/>
            </w:tcBorders>
            <w:shd w:val="clear" w:color="000000" w:fill="FFFFFF"/>
            <w:noWrap/>
            <w:vAlign w:val="bottom"/>
            <w:hideMark/>
          </w:tcPr>
          <w:p w14:paraId="327164E7"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w:t>
            </w:r>
          </w:p>
        </w:tc>
      </w:tr>
      <w:tr w:rsidR="002F2C27" w:rsidRPr="006D7A8C" w14:paraId="65AB57DD" w14:textId="77777777" w:rsidTr="00CD3001">
        <w:trPr>
          <w:trHeight w:val="300"/>
        </w:trPr>
        <w:tc>
          <w:tcPr>
            <w:tcW w:w="1985" w:type="dxa"/>
            <w:tcBorders>
              <w:top w:val="nil"/>
              <w:left w:val="nil"/>
              <w:bottom w:val="single" w:sz="4" w:space="0" w:color="auto"/>
              <w:right w:val="nil"/>
            </w:tcBorders>
            <w:shd w:val="clear" w:color="000000" w:fill="FFFFFF"/>
            <w:noWrap/>
            <w:vAlign w:val="bottom"/>
            <w:hideMark/>
          </w:tcPr>
          <w:p w14:paraId="72C2DC1B"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Outros</w:t>
            </w:r>
          </w:p>
        </w:tc>
        <w:tc>
          <w:tcPr>
            <w:tcW w:w="1460" w:type="dxa"/>
            <w:tcBorders>
              <w:top w:val="nil"/>
              <w:left w:val="nil"/>
              <w:bottom w:val="single" w:sz="4" w:space="0" w:color="auto"/>
              <w:right w:val="nil"/>
            </w:tcBorders>
            <w:shd w:val="clear" w:color="000000" w:fill="FFFFFF"/>
            <w:noWrap/>
            <w:vAlign w:val="bottom"/>
            <w:hideMark/>
          </w:tcPr>
          <w:p w14:paraId="3882ED4C"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2595,4</w:t>
            </w:r>
          </w:p>
        </w:tc>
        <w:tc>
          <w:tcPr>
            <w:tcW w:w="1260" w:type="dxa"/>
            <w:tcBorders>
              <w:top w:val="nil"/>
              <w:left w:val="nil"/>
              <w:bottom w:val="single" w:sz="4" w:space="0" w:color="auto"/>
              <w:right w:val="nil"/>
            </w:tcBorders>
            <w:shd w:val="clear" w:color="000000" w:fill="FFFFFF"/>
            <w:noWrap/>
            <w:vAlign w:val="bottom"/>
            <w:hideMark/>
          </w:tcPr>
          <w:p w14:paraId="11D64F42" w14:textId="77777777" w:rsidR="002F2C27" w:rsidRPr="006D7A8C" w:rsidRDefault="002F2C27"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10,1%</w:t>
            </w:r>
          </w:p>
        </w:tc>
      </w:tr>
    </w:tbl>
    <w:p w14:paraId="6214BBB5" w14:textId="05E69F71" w:rsidR="002F2C27" w:rsidRPr="00241E53" w:rsidRDefault="002F2C27" w:rsidP="0064723A">
      <w:pPr>
        <w:pStyle w:val="Aria"/>
        <w:spacing w:before="120" w:after="120"/>
        <w:jc w:val="both"/>
        <w:rPr>
          <w:sz w:val="22"/>
          <w:szCs w:val="22"/>
        </w:rPr>
      </w:pPr>
      <w:r w:rsidRPr="00241E53">
        <w:rPr>
          <w:b/>
          <w:sz w:val="22"/>
          <w:szCs w:val="22"/>
        </w:rPr>
        <w:t xml:space="preserve">Fonte: </w:t>
      </w:r>
      <w:r w:rsidRPr="00241E53">
        <w:rPr>
          <w:sz w:val="22"/>
          <w:szCs w:val="22"/>
        </w:rPr>
        <w:t>Anuário Mineral Brasileiro – principais substâncias metálicas (2016)</w:t>
      </w:r>
    </w:p>
    <w:p w14:paraId="7B7F6752" w14:textId="70C411F1" w:rsidR="008021F6" w:rsidRPr="006D7A8C" w:rsidRDefault="008021F6" w:rsidP="0064723A">
      <w:pPr>
        <w:pStyle w:val="Aria"/>
        <w:spacing w:before="120" w:after="120"/>
        <w:jc w:val="both"/>
      </w:pPr>
    </w:p>
    <w:p w14:paraId="2CF13DF1" w14:textId="2A16AE5E" w:rsidR="007D405A" w:rsidRPr="006D7A8C" w:rsidRDefault="007D405A" w:rsidP="0064723A">
      <w:pPr>
        <w:pStyle w:val="Aria"/>
        <w:spacing w:before="120" w:after="120"/>
        <w:jc w:val="both"/>
      </w:pPr>
      <w:r w:rsidRPr="006D7A8C">
        <w:t xml:space="preserve">Uma vez </w:t>
      </w:r>
      <w:r w:rsidR="00E64845" w:rsidRPr="006D7A8C">
        <w:t>apresentados</w:t>
      </w:r>
      <w:r w:rsidRPr="006D7A8C">
        <w:t xml:space="preserve"> alguns dos elementos das condições básicas que compõem a análise ECD, a seção a seguir entrará nos indicadores próprios do </w:t>
      </w:r>
      <w:r w:rsidR="00B029EC">
        <w:t>paradigma</w:t>
      </w:r>
      <w:r w:rsidRPr="006D7A8C">
        <w:t xml:space="preserve">, ou seja, analisará alguns dos componentes da Estrutura, da Conduta e do Desempenho do setor extrativo mineral </w:t>
      </w:r>
      <w:r w:rsidR="00E64845" w:rsidRPr="006D7A8C">
        <w:t>brasileiro.</w:t>
      </w:r>
    </w:p>
    <w:p w14:paraId="3B14D429" w14:textId="291C01C3" w:rsidR="00A17D90" w:rsidRPr="006D7A8C" w:rsidRDefault="00A17D90" w:rsidP="0064723A">
      <w:pPr>
        <w:pStyle w:val="Aria"/>
        <w:spacing w:before="120" w:after="120"/>
        <w:jc w:val="both"/>
      </w:pPr>
    </w:p>
    <w:p w14:paraId="327C59A7" w14:textId="26471A01" w:rsidR="00A17D90" w:rsidRPr="006D7A8C" w:rsidRDefault="00CD3001" w:rsidP="0064723A">
      <w:pPr>
        <w:pStyle w:val="Aria"/>
        <w:numPr>
          <w:ilvl w:val="1"/>
          <w:numId w:val="5"/>
        </w:numPr>
        <w:spacing w:before="120" w:after="120"/>
        <w:jc w:val="both"/>
        <w:rPr>
          <w:b/>
        </w:rPr>
      </w:pPr>
      <w:bookmarkStart w:id="11" w:name="_Toc510211754"/>
      <w:r>
        <w:rPr>
          <w:b/>
        </w:rPr>
        <w:t xml:space="preserve"> </w:t>
      </w:r>
      <w:r w:rsidRPr="006D7A8C">
        <w:rPr>
          <w:b/>
        </w:rPr>
        <w:t>Estrutura da indústria extrativa mineral brasileira</w:t>
      </w:r>
      <w:bookmarkEnd w:id="11"/>
    </w:p>
    <w:p w14:paraId="0A1FCE7A" w14:textId="6222FB1B" w:rsidR="00BE7AA5" w:rsidRPr="006D7A8C" w:rsidRDefault="00BE7AA5"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Segundo </w:t>
      </w:r>
      <w:proofErr w:type="spellStart"/>
      <w:r w:rsidRPr="006D7A8C">
        <w:rPr>
          <w:rFonts w:ascii="Times New Roman" w:hAnsi="Times New Roman" w:cs="Times New Roman"/>
          <w:sz w:val="24"/>
          <w:szCs w:val="24"/>
        </w:rPr>
        <w:t>Bain</w:t>
      </w:r>
      <w:proofErr w:type="spellEnd"/>
      <w:r w:rsidRPr="006D7A8C">
        <w:rPr>
          <w:rFonts w:ascii="Times New Roman" w:hAnsi="Times New Roman" w:cs="Times New Roman"/>
          <w:sz w:val="24"/>
          <w:szCs w:val="24"/>
        </w:rPr>
        <w:t xml:space="preserve"> (1958 </w:t>
      </w:r>
      <w:r w:rsidRPr="006D7A8C">
        <w:rPr>
          <w:rFonts w:ascii="Times New Roman" w:hAnsi="Times New Roman" w:cs="Times New Roman"/>
          <w:i/>
          <w:sz w:val="24"/>
          <w:szCs w:val="24"/>
        </w:rPr>
        <w:t>apud</w:t>
      </w:r>
      <w:r w:rsidRPr="006D7A8C">
        <w:rPr>
          <w:rFonts w:ascii="Times New Roman" w:hAnsi="Times New Roman" w:cs="Times New Roman"/>
          <w:sz w:val="24"/>
          <w:szCs w:val="24"/>
        </w:rPr>
        <w:t xml:space="preserve"> Fagundes; </w:t>
      </w:r>
      <w:proofErr w:type="gramStart"/>
      <w:r w:rsidRPr="006D7A8C">
        <w:rPr>
          <w:rFonts w:ascii="Times New Roman" w:hAnsi="Times New Roman" w:cs="Times New Roman"/>
          <w:sz w:val="24"/>
          <w:szCs w:val="24"/>
        </w:rPr>
        <w:t>Ponde</w:t>
      </w:r>
      <w:proofErr w:type="gramEnd"/>
      <w:r w:rsidRPr="006D7A8C">
        <w:rPr>
          <w:rFonts w:ascii="Times New Roman" w:hAnsi="Times New Roman" w:cs="Times New Roman"/>
          <w:sz w:val="24"/>
          <w:szCs w:val="24"/>
        </w:rPr>
        <w:t xml:space="preserve">, 1998), o principal fator estrutural que afeta as condutas das empresas que já se encontram estabelecidas num determinado setor, é o nível de concentração da produção e das vendas. Inclusive, o autor parte do pressuposto que que comportamentos colusivos são mais comuns quando um reduzido número de firmas atua num determinado setor. </w:t>
      </w:r>
    </w:p>
    <w:p w14:paraId="10D05825" w14:textId="77777777" w:rsidR="00B96B14" w:rsidRPr="006D7A8C" w:rsidRDefault="00BE7AA5"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sz w:val="24"/>
          <w:szCs w:val="24"/>
        </w:rPr>
        <w:t xml:space="preserve">Para medir essa característica estrutural serão calculadas, como </w:t>
      </w:r>
      <w:r w:rsidRPr="006D7A8C">
        <w:rPr>
          <w:rFonts w:ascii="Times New Roman" w:hAnsi="Times New Roman" w:cs="Times New Roman"/>
          <w:color w:val="000000"/>
          <w:sz w:val="24"/>
          <w:szCs w:val="24"/>
          <w:shd w:val="clear" w:color="auto" w:fill="FFFFFF"/>
        </w:rPr>
        <w:t>medidas de concentração, a Razão de Concentração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K</w:t>
      </w:r>
      <w:r w:rsidRPr="006D7A8C">
        <w:rPr>
          <w:rFonts w:ascii="Times New Roman" w:hAnsi="Times New Roman" w:cs="Times New Roman"/>
          <w:color w:val="000000"/>
          <w:sz w:val="24"/>
          <w:szCs w:val="24"/>
          <w:shd w:val="clear" w:color="auto" w:fill="FFFFFF"/>
        </w:rPr>
        <w:t xml:space="preserve">) para as três </w:t>
      </w:r>
      <w:r w:rsidR="00B96B14" w:rsidRPr="006D7A8C">
        <w:rPr>
          <w:rFonts w:ascii="Times New Roman" w:hAnsi="Times New Roman" w:cs="Times New Roman"/>
          <w:i/>
          <w:color w:val="000000"/>
          <w:sz w:val="24"/>
          <w:szCs w:val="24"/>
          <w:shd w:val="clear" w:color="auto" w:fill="FFFFFF"/>
        </w:rPr>
        <w:t>k</w:t>
      </w:r>
      <w:r w:rsidR="00B96B14" w:rsidRPr="006D7A8C">
        <w:rPr>
          <w:rFonts w:ascii="Times New Roman" w:hAnsi="Times New Roman" w:cs="Times New Roman"/>
          <w:color w:val="000000"/>
          <w:sz w:val="24"/>
          <w:szCs w:val="24"/>
          <w:shd w:val="clear" w:color="auto" w:fill="FFFFFF"/>
        </w:rPr>
        <w:t xml:space="preserve"> </w:t>
      </w:r>
      <w:r w:rsidRPr="006D7A8C">
        <w:rPr>
          <w:rFonts w:ascii="Times New Roman" w:hAnsi="Times New Roman" w:cs="Times New Roman"/>
          <w:color w:val="000000"/>
          <w:sz w:val="24"/>
          <w:szCs w:val="24"/>
          <w:shd w:val="clear" w:color="auto" w:fill="FFFFFF"/>
        </w:rPr>
        <w:t xml:space="preserve">maiores empresas responsável pela produção dos principais minérios. </w:t>
      </w:r>
    </w:p>
    <w:p w14:paraId="6D990CEA" w14:textId="23D23160" w:rsidR="00EC6580" w:rsidRPr="006D7A8C" w:rsidRDefault="00EC6580"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Entre as substâncias que apresentam o maior grau de concentração destaca-se o Manganês, tendo em vista que Vale Mina do Azul, a Mineração Corumbaense Reunida e a Mineração Buritirama concentram 96,6% da produção dessa substância metálica.</w:t>
      </w:r>
    </w:p>
    <w:p w14:paraId="26F4A5E1" w14:textId="43D6669B" w:rsidR="00BE7AA5" w:rsidRPr="006D7A8C" w:rsidRDefault="00EC6580"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Na sequência, se observa que o Nióbio tem o maior grau de concentração de mercado, uma vez que apenas duas empresas Anglo American Nióbio e Companhia Mineradora do Pirocloro de Araxá são responsáveis por 52,2% e 41,1% da produção no setor, respectivamente.</w:t>
      </w:r>
    </w:p>
    <w:p w14:paraId="132B0E5F" w14:textId="172EECBA" w:rsidR="00EC6580" w:rsidRPr="006D7A8C" w:rsidRDefault="00EC6580"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 xml:space="preserve">O Alumínio também apresenta um grau de concentração considerado bastante elevado, uma vez que as três principais empresas do segmento, a Mineração Rio do Norte, a Mineração Paragominas e a Alcoa World Alumina Brasil são responsáveis, conjuntamente, por 94,75% da produção de bauxita no País. </w:t>
      </w:r>
    </w:p>
    <w:p w14:paraId="7E3C5EA1" w14:textId="1554A664" w:rsidR="00EC6580" w:rsidRPr="006D7A8C" w:rsidRDefault="00EC6580"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 xml:space="preserve">O quarto segmento mais concentrado é o de produção de Cobre, </w:t>
      </w:r>
      <w:r w:rsidR="002B5B8F" w:rsidRPr="006D7A8C">
        <w:rPr>
          <w:rFonts w:ascii="Times New Roman" w:hAnsi="Times New Roman" w:cs="Times New Roman"/>
          <w:color w:val="000000"/>
          <w:sz w:val="24"/>
          <w:szCs w:val="24"/>
          <w:shd w:val="clear" w:color="auto" w:fill="FFFFFF"/>
        </w:rPr>
        <w:t>com uma</w:t>
      </w:r>
      <w:r w:rsidRPr="006D7A8C">
        <w:rPr>
          <w:rFonts w:ascii="Times New Roman" w:hAnsi="Times New Roman" w:cs="Times New Roman"/>
          <w:color w:val="000000"/>
          <w:sz w:val="24"/>
          <w:szCs w:val="24"/>
          <w:shd w:val="clear" w:color="auto" w:fill="FFFFFF"/>
        </w:rPr>
        <w:t xml:space="preserve">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3</w:t>
      </w:r>
      <w:r w:rsidRPr="006D7A8C">
        <w:rPr>
          <w:rFonts w:ascii="Times New Roman" w:hAnsi="Times New Roman" w:cs="Times New Roman"/>
          <w:color w:val="000000"/>
          <w:sz w:val="24"/>
          <w:szCs w:val="24"/>
          <w:shd w:val="clear" w:color="auto" w:fill="FFFFFF"/>
        </w:rPr>
        <w:t>=92,8%, sendo que as empresas que figuram neste estrato são, na ordem: Salobo Metais, Vale e Mineração Maracá.</w:t>
      </w:r>
    </w:p>
    <w:p w14:paraId="3B4D9C0D" w14:textId="392A941D" w:rsidR="00F56C8D" w:rsidRPr="006D7A8C" w:rsidRDefault="00F56C8D"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 xml:space="preserve">O ferro, que como foi apontado nas seções iniciais do trabalho, responde por 61,7% do valor da produção comercializada e 91,3% das exportações brasileiras de minerais, também apresenta um grau de concentração elevado, com um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3</w:t>
      </w:r>
      <w:r w:rsidRPr="006D7A8C">
        <w:rPr>
          <w:rFonts w:ascii="Times New Roman" w:hAnsi="Times New Roman" w:cs="Times New Roman"/>
          <w:color w:val="000000"/>
          <w:sz w:val="24"/>
          <w:szCs w:val="24"/>
          <w:shd w:val="clear" w:color="auto" w:fill="FFFFFF"/>
        </w:rPr>
        <w:t xml:space="preserve">=82,2%, fato que se explica pela participação relativa da Vale no segmento ser </w:t>
      </w:r>
      <w:r w:rsidR="00783AC1" w:rsidRPr="006D7A8C">
        <w:rPr>
          <w:rFonts w:ascii="Times New Roman" w:hAnsi="Times New Roman" w:cs="Times New Roman"/>
          <w:color w:val="000000"/>
          <w:sz w:val="24"/>
          <w:szCs w:val="24"/>
          <w:shd w:val="clear" w:color="auto" w:fill="FFFFFF"/>
        </w:rPr>
        <w:t xml:space="preserve">de </w:t>
      </w:r>
      <w:r w:rsidRPr="006D7A8C">
        <w:rPr>
          <w:rFonts w:ascii="Times New Roman" w:hAnsi="Times New Roman" w:cs="Times New Roman"/>
          <w:color w:val="000000"/>
          <w:sz w:val="24"/>
          <w:szCs w:val="24"/>
          <w:shd w:val="clear" w:color="auto" w:fill="FFFFFF"/>
        </w:rPr>
        <w:t xml:space="preserve">73,8%. </w:t>
      </w:r>
    </w:p>
    <w:p w14:paraId="32E43436" w14:textId="3F2A039E" w:rsidR="00F56C8D" w:rsidRPr="006D7A8C" w:rsidRDefault="00F56C8D"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lastRenderedPageBreak/>
        <w:t xml:space="preserve">A produção de Estanho tem um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3</w:t>
      </w:r>
      <w:r w:rsidRPr="006D7A8C">
        <w:rPr>
          <w:rFonts w:ascii="Times New Roman" w:hAnsi="Times New Roman" w:cs="Times New Roman"/>
          <w:color w:val="000000"/>
          <w:sz w:val="24"/>
          <w:szCs w:val="24"/>
          <w:shd w:val="clear" w:color="auto" w:fill="FFFFFF"/>
        </w:rPr>
        <w:t>=74,4%, sendo que apenas uma empresa, Mineração Taboca, é responsável por quase 53% da produção desse minério.</w:t>
      </w:r>
    </w:p>
    <w:p w14:paraId="1500FFE1" w14:textId="3AD4B9EB" w:rsidR="00F56C8D" w:rsidRPr="006D7A8C" w:rsidRDefault="00F56C8D" w:rsidP="0064723A">
      <w:pPr>
        <w:spacing w:line="240" w:lineRule="auto"/>
        <w:jc w:val="both"/>
        <w:rPr>
          <w:rFonts w:ascii="Times New Roman" w:hAnsi="Times New Roman" w:cs="Times New Roman"/>
          <w:color w:val="000000"/>
          <w:sz w:val="24"/>
          <w:szCs w:val="24"/>
          <w:shd w:val="clear" w:color="auto" w:fill="FFFFFF"/>
        </w:rPr>
      </w:pPr>
      <w:r w:rsidRPr="006D7A8C">
        <w:rPr>
          <w:rFonts w:ascii="Times New Roman" w:hAnsi="Times New Roman" w:cs="Times New Roman"/>
          <w:color w:val="000000"/>
          <w:sz w:val="24"/>
          <w:szCs w:val="24"/>
          <w:shd w:val="clear" w:color="auto" w:fill="FFFFFF"/>
        </w:rPr>
        <w:t xml:space="preserve">O Níquel apresenta um grau de concentração menor, não obstante ainda ser considerado bastante elevado. Com um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3</w:t>
      </w:r>
      <w:r w:rsidRPr="006D7A8C">
        <w:rPr>
          <w:rFonts w:ascii="Times New Roman" w:hAnsi="Times New Roman" w:cs="Times New Roman"/>
          <w:color w:val="000000"/>
          <w:sz w:val="24"/>
          <w:szCs w:val="24"/>
          <w:shd w:val="clear" w:color="auto" w:fill="FFFFFF"/>
        </w:rPr>
        <w:t xml:space="preserve">=63,6%, que se explica pela presença maciça das seguintes empresas no segmento: Anglo American Níquel Brasil, </w:t>
      </w:r>
      <w:r w:rsidR="00783AC1" w:rsidRPr="006D7A8C">
        <w:rPr>
          <w:rFonts w:ascii="Times New Roman" w:hAnsi="Times New Roman" w:cs="Times New Roman"/>
          <w:color w:val="000000"/>
          <w:sz w:val="24"/>
          <w:szCs w:val="24"/>
          <w:shd w:val="clear" w:color="auto" w:fill="FFFFFF"/>
        </w:rPr>
        <w:t>Vale e</w:t>
      </w:r>
      <w:r w:rsidRPr="006D7A8C">
        <w:rPr>
          <w:rFonts w:ascii="Times New Roman" w:hAnsi="Times New Roman" w:cs="Times New Roman"/>
          <w:color w:val="000000"/>
          <w:sz w:val="24"/>
          <w:szCs w:val="24"/>
          <w:shd w:val="clear" w:color="auto" w:fill="FFFFFF"/>
        </w:rPr>
        <w:t xml:space="preserve"> Votorantim Metais.</w:t>
      </w:r>
    </w:p>
    <w:p w14:paraId="721C75BC" w14:textId="58678E7A" w:rsidR="00563537" w:rsidRPr="006D7A8C" w:rsidRDefault="00F56C8D" w:rsidP="0064723A">
      <w:pPr>
        <w:spacing w:line="240" w:lineRule="auto"/>
        <w:jc w:val="both"/>
        <w:rPr>
          <w:rFonts w:ascii="Times New Roman" w:hAnsi="Times New Roman" w:cs="Times New Roman"/>
          <w:sz w:val="24"/>
          <w:szCs w:val="24"/>
        </w:rPr>
      </w:pPr>
      <w:r w:rsidRPr="006D7A8C">
        <w:rPr>
          <w:rFonts w:ascii="Times New Roman" w:hAnsi="Times New Roman" w:cs="Times New Roman"/>
          <w:color w:val="000000"/>
          <w:sz w:val="24"/>
          <w:szCs w:val="24"/>
          <w:shd w:val="clear" w:color="auto" w:fill="FFFFFF"/>
        </w:rPr>
        <w:t xml:space="preserve">Por fim, o Ouro tem um </w:t>
      </w:r>
      <w:r w:rsidRPr="006D7A8C">
        <w:rPr>
          <w:rFonts w:ascii="Times New Roman" w:hAnsi="Times New Roman" w:cs="Times New Roman"/>
          <w:i/>
          <w:color w:val="000000"/>
          <w:sz w:val="24"/>
          <w:szCs w:val="24"/>
          <w:shd w:val="clear" w:color="auto" w:fill="FFFFFF"/>
        </w:rPr>
        <w:t>CR</w:t>
      </w:r>
      <w:r w:rsidRPr="006D7A8C">
        <w:rPr>
          <w:rFonts w:ascii="Times New Roman" w:hAnsi="Times New Roman" w:cs="Times New Roman"/>
          <w:i/>
          <w:color w:val="000000"/>
          <w:sz w:val="24"/>
          <w:szCs w:val="24"/>
          <w:shd w:val="clear" w:color="auto" w:fill="FFFFFF"/>
          <w:vertAlign w:val="subscript"/>
        </w:rPr>
        <w:t>3</w:t>
      </w:r>
      <w:r w:rsidRPr="006D7A8C">
        <w:rPr>
          <w:rFonts w:ascii="Times New Roman" w:hAnsi="Times New Roman" w:cs="Times New Roman"/>
          <w:color w:val="000000"/>
          <w:sz w:val="24"/>
          <w:szCs w:val="24"/>
          <w:shd w:val="clear" w:color="auto" w:fill="FFFFFF"/>
        </w:rPr>
        <w:t xml:space="preserve">=44,6%, resultado que se explica pela forte atuação da canadense </w:t>
      </w:r>
      <w:proofErr w:type="spellStart"/>
      <w:r w:rsidRPr="006D7A8C">
        <w:rPr>
          <w:rFonts w:ascii="Times New Roman" w:hAnsi="Times New Roman" w:cs="Times New Roman"/>
          <w:color w:val="000000"/>
          <w:sz w:val="24"/>
          <w:szCs w:val="24"/>
          <w:shd w:val="clear" w:color="auto" w:fill="FFFFFF"/>
        </w:rPr>
        <w:t>Kinross</w:t>
      </w:r>
      <w:proofErr w:type="spellEnd"/>
      <w:r w:rsidRPr="006D7A8C">
        <w:rPr>
          <w:rFonts w:ascii="Times New Roman" w:hAnsi="Times New Roman" w:cs="Times New Roman"/>
          <w:color w:val="000000"/>
          <w:sz w:val="24"/>
          <w:szCs w:val="24"/>
          <w:shd w:val="clear" w:color="auto" w:fill="FFFFFF"/>
        </w:rPr>
        <w:t xml:space="preserve">, a sul africana </w:t>
      </w:r>
      <w:proofErr w:type="spellStart"/>
      <w:r w:rsidRPr="006D7A8C">
        <w:rPr>
          <w:rFonts w:ascii="Times New Roman" w:hAnsi="Times New Roman" w:cs="Times New Roman"/>
          <w:color w:val="000000"/>
          <w:sz w:val="24"/>
          <w:szCs w:val="24"/>
          <w:shd w:val="clear" w:color="auto" w:fill="FFFFFF"/>
        </w:rPr>
        <w:t>Anglogold</w:t>
      </w:r>
      <w:proofErr w:type="spellEnd"/>
      <w:r w:rsidRPr="006D7A8C">
        <w:rPr>
          <w:rFonts w:ascii="Times New Roman" w:hAnsi="Times New Roman" w:cs="Times New Roman"/>
          <w:color w:val="000000"/>
          <w:sz w:val="24"/>
          <w:szCs w:val="24"/>
          <w:shd w:val="clear" w:color="auto" w:fill="FFFFFF"/>
        </w:rPr>
        <w:t xml:space="preserve"> </w:t>
      </w:r>
      <w:proofErr w:type="spellStart"/>
      <w:r w:rsidR="00783AC1" w:rsidRPr="006D7A8C">
        <w:rPr>
          <w:rFonts w:ascii="Times New Roman" w:hAnsi="Times New Roman" w:cs="Times New Roman"/>
          <w:color w:val="000000"/>
          <w:sz w:val="24"/>
          <w:szCs w:val="24"/>
          <w:shd w:val="clear" w:color="auto" w:fill="FFFFFF"/>
        </w:rPr>
        <w:t>Ashanti</w:t>
      </w:r>
      <w:proofErr w:type="spellEnd"/>
      <w:r w:rsidR="00783AC1" w:rsidRPr="006D7A8C">
        <w:rPr>
          <w:rFonts w:ascii="Times New Roman" w:hAnsi="Times New Roman" w:cs="Times New Roman"/>
          <w:color w:val="000000"/>
          <w:sz w:val="24"/>
          <w:szCs w:val="24"/>
          <w:shd w:val="clear" w:color="auto" w:fill="FFFFFF"/>
        </w:rPr>
        <w:t xml:space="preserve"> e</w:t>
      </w:r>
      <w:r w:rsidRPr="006D7A8C">
        <w:rPr>
          <w:rFonts w:ascii="Times New Roman" w:hAnsi="Times New Roman" w:cs="Times New Roman"/>
          <w:color w:val="000000"/>
          <w:sz w:val="24"/>
          <w:szCs w:val="24"/>
          <w:shd w:val="clear" w:color="auto" w:fill="FFFFFF"/>
        </w:rPr>
        <w:t xml:space="preserve"> da Salobo Metais, que faz parte da Vale. </w:t>
      </w:r>
    </w:p>
    <w:p w14:paraId="624A260D" w14:textId="0DEB6168" w:rsidR="00783AC1" w:rsidRPr="006D7A8C" w:rsidRDefault="00B96B14" w:rsidP="0064723A">
      <w:pPr>
        <w:pStyle w:val="Aria"/>
        <w:spacing w:before="120" w:after="120"/>
        <w:jc w:val="both"/>
      </w:pPr>
      <w:r w:rsidRPr="006D7A8C">
        <w:t xml:space="preserve">Uma vez analisado o grau de concentração, buscar-se-á evidência no outro elemento estrutural do </w:t>
      </w:r>
      <w:r w:rsidR="00B029EC">
        <w:t>paradigma</w:t>
      </w:r>
      <w:r w:rsidRPr="006D7A8C">
        <w:t>, que é a</w:t>
      </w:r>
      <w:r w:rsidR="0052355E" w:rsidRPr="006D7A8C">
        <w:t xml:space="preserve"> análise d</w:t>
      </w:r>
      <w:r w:rsidRPr="006D7A8C">
        <w:t xml:space="preserve">as barreiras à entrada no setor, visando </w:t>
      </w:r>
      <w:r w:rsidR="0052355E" w:rsidRPr="006D7A8C">
        <w:t>identificar e avaliar os determinantes do seu desempenho, forma</w:t>
      </w:r>
      <w:r w:rsidRPr="006D7A8C">
        <w:t>ndo</w:t>
      </w:r>
      <w:r w:rsidR="0052355E" w:rsidRPr="006D7A8C">
        <w:t xml:space="preserve"> uma das principais bases sobre a qual foi elaborado o paradigma Estrutura- Conduta- Desempenho (ECD).</w:t>
      </w:r>
    </w:p>
    <w:p w14:paraId="3701EAEE" w14:textId="1EB805E5" w:rsidR="0064739B" w:rsidRPr="006D7A8C" w:rsidRDefault="00380509" w:rsidP="0064723A">
      <w:pPr>
        <w:pStyle w:val="Aria"/>
        <w:spacing w:before="120" w:after="120"/>
        <w:jc w:val="both"/>
      </w:pPr>
      <w:r w:rsidRPr="006D7A8C">
        <w:t xml:space="preserve">Segundo </w:t>
      </w:r>
      <w:proofErr w:type="spellStart"/>
      <w:r w:rsidRPr="006D7A8C">
        <w:t>Kupfer</w:t>
      </w:r>
      <w:proofErr w:type="spellEnd"/>
      <w:r w:rsidRPr="006D7A8C">
        <w:t xml:space="preserve"> (2013), na prática as principais barreiras estruturais </w:t>
      </w:r>
      <w:r w:rsidR="0052355E" w:rsidRPr="006D7A8C">
        <w:t xml:space="preserve">à entrada de novos concorrentes </w:t>
      </w:r>
      <w:r w:rsidRPr="006D7A8C">
        <w:t>numa indústria são: a existência de vantagens</w:t>
      </w:r>
      <w:r w:rsidR="0010129F">
        <w:t xml:space="preserve"> </w:t>
      </w:r>
      <w:r w:rsidRPr="006D7A8C">
        <w:t>absolutas de custos por parte das empresas</w:t>
      </w:r>
      <w:r w:rsidR="0010129F">
        <w:t xml:space="preserve"> estabelecidas</w:t>
      </w:r>
      <w:r w:rsidRPr="006D7A8C">
        <w:t xml:space="preserve">, </w:t>
      </w:r>
      <w:r w:rsidR="0010129F">
        <w:t>as</w:t>
      </w:r>
      <w:r w:rsidRPr="006D7A8C">
        <w:t xml:space="preserve"> preferências dos consumidores, </w:t>
      </w:r>
      <w:r w:rsidR="0010129F">
        <w:t xml:space="preserve">as </w:t>
      </w:r>
      <w:r w:rsidRPr="006D7A8C">
        <w:t>estruturas de custos com significativas economias de escala e, por fim, de elevados investimentos em capita.</w:t>
      </w:r>
    </w:p>
    <w:p w14:paraId="1F80577A" w14:textId="219EB687" w:rsidR="00380509" w:rsidRPr="006D7A8C" w:rsidRDefault="00380509" w:rsidP="0064723A">
      <w:pPr>
        <w:pStyle w:val="Aria"/>
        <w:spacing w:before="120" w:after="120"/>
        <w:jc w:val="both"/>
      </w:pPr>
      <w:r w:rsidRPr="006D7A8C">
        <w:t xml:space="preserve">Neste sentido, o presente estudo identifica que a </w:t>
      </w:r>
      <w:r w:rsidR="00783AC1" w:rsidRPr="006D7A8C">
        <w:t>I</w:t>
      </w:r>
      <w:r w:rsidRPr="006D7A8C">
        <w:t xml:space="preserve">ndústria </w:t>
      </w:r>
      <w:r w:rsidR="00783AC1" w:rsidRPr="006D7A8C">
        <w:t>E</w:t>
      </w:r>
      <w:r w:rsidRPr="006D7A8C">
        <w:t xml:space="preserve">xtrativa </w:t>
      </w:r>
      <w:r w:rsidR="00783AC1" w:rsidRPr="006D7A8C">
        <w:t xml:space="preserve">Mineral </w:t>
      </w:r>
      <w:r w:rsidRPr="006D7A8C">
        <w:t>possui elevadas barreiras à entrada, sobretudo quando comparad</w:t>
      </w:r>
      <w:r w:rsidR="00783AC1" w:rsidRPr="006D7A8C">
        <w:t>a</w:t>
      </w:r>
      <w:r w:rsidRPr="006D7A8C">
        <w:t>s as medidas de concentração aliadas ao porte das lavras de minérios no país. Apesar de</w:t>
      </w:r>
      <w:r w:rsidR="00783AC1" w:rsidRPr="006D7A8C">
        <w:t xml:space="preserve"> </w:t>
      </w:r>
      <w:r w:rsidRPr="006D7A8C">
        <w:t>tais informações</w:t>
      </w:r>
      <w:r w:rsidR="00783AC1" w:rsidRPr="006D7A8C">
        <w:t xml:space="preserve"> não estarem detalhadas</w:t>
      </w:r>
      <w:r w:rsidRPr="006D7A8C">
        <w:t>, é possível analisar, de forma intuitiva, que as principais lavras são de grande e médio porte</w:t>
      </w:r>
      <w:r w:rsidR="00137942" w:rsidRPr="006D7A8C">
        <w:rPr>
          <w:rStyle w:val="Refdenotaderodap"/>
        </w:rPr>
        <w:footnoteReference w:id="4"/>
      </w:r>
      <w:r w:rsidRPr="006D7A8C">
        <w:t xml:space="preserve">, o que permite </w:t>
      </w:r>
      <w:r w:rsidR="00783AC1" w:rsidRPr="006D7A8C">
        <w:t xml:space="preserve">supor </w:t>
      </w:r>
      <w:r w:rsidRPr="006D7A8C">
        <w:t xml:space="preserve">que essas atividades, pelo menos as principais, são desenvolvidas a partir de reduzidos custos gerados por significativas economias de escala. </w:t>
      </w:r>
    </w:p>
    <w:p w14:paraId="4A7B4A43" w14:textId="51AED435" w:rsidR="00380509" w:rsidRPr="006D7A8C" w:rsidRDefault="00380509" w:rsidP="0064723A">
      <w:pPr>
        <w:pStyle w:val="Aria"/>
        <w:spacing w:before="120" w:after="120"/>
        <w:jc w:val="both"/>
      </w:pPr>
      <w:r w:rsidRPr="006D7A8C">
        <w:t xml:space="preserve">O principal exemplo que corrobora essa avaliação é a produção de minério de ferro, uma vez que sua atividade é responsável por quase dois terços do valor da produção nacional e tem um grau de concentração bastante elevado, fato que se explica pela </w:t>
      </w:r>
      <w:r w:rsidR="005F6858" w:rsidRPr="006D7A8C">
        <w:t xml:space="preserve">produção em </w:t>
      </w:r>
      <w:r w:rsidRPr="006D7A8C">
        <w:t>lavras</w:t>
      </w:r>
      <w:r w:rsidR="005F6858" w:rsidRPr="006D7A8C">
        <w:t xml:space="preserve"> de grande porte (62,1%) e médio porte (22,7%). </w:t>
      </w:r>
    </w:p>
    <w:p w14:paraId="6C0C54E9" w14:textId="77777777" w:rsidR="005F6858" w:rsidRPr="006D7A8C" w:rsidRDefault="005F6858" w:rsidP="0064723A">
      <w:pPr>
        <w:pStyle w:val="Aria"/>
        <w:spacing w:before="120" w:after="120"/>
        <w:jc w:val="both"/>
      </w:pPr>
      <w:r w:rsidRPr="006D7A8C">
        <w:t xml:space="preserve">Vale ressaltar que as lavras de médio e pequeno porte também podem ser de propriedade de grandes empresas, fato que reforça o argumento de elevada barreira no setor. Para as demais substâncias é possível identificar a presença de lavras de pequeno porte, conforme mostra a tabela a seguir. </w:t>
      </w:r>
    </w:p>
    <w:p w14:paraId="393CC4CC" w14:textId="77777777" w:rsidR="008528F1" w:rsidRPr="006D7A8C" w:rsidRDefault="008528F1" w:rsidP="0064723A">
      <w:pPr>
        <w:pStyle w:val="Aria"/>
        <w:spacing w:before="120" w:after="120"/>
        <w:jc w:val="both"/>
      </w:pPr>
    </w:p>
    <w:p w14:paraId="4AF70468" w14:textId="0225E7D6" w:rsidR="00EC6FF0" w:rsidRPr="006D7A8C" w:rsidRDefault="005F6858" w:rsidP="0064723A">
      <w:pPr>
        <w:pStyle w:val="Legenda"/>
        <w:jc w:val="both"/>
        <w:rPr>
          <w:rFonts w:ascii="Times New Roman" w:hAnsi="Times New Roman" w:cs="Times New Roman"/>
          <w:i w:val="0"/>
          <w:color w:val="000000" w:themeColor="text1"/>
          <w:sz w:val="24"/>
          <w:szCs w:val="24"/>
        </w:rPr>
      </w:pPr>
      <w:bookmarkStart w:id="12" w:name="_Toc510210951"/>
      <w:r w:rsidRPr="006D7A8C">
        <w:rPr>
          <w:rFonts w:ascii="Times New Roman" w:hAnsi="Times New Roman" w:cs="Times New Roman"/>
          <w:b/>
          <w:i w:val="0"/>
          <w:color w:val="000000" w:themeColor="text1"/>
          <w:sz w:val="24"/>
          <w:szCs w:val="24"/>
        </w:rPr>
        <w:t xml:space="preserve">Tabela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Tabela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3</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 Porte e modalidade de lavras das minas - 2015</w:t>
      </w:r>
      <w:bookmarkEnd w:id="12"/>
    </w:p>
    <w:tbl>
      <w:tblPr>
        <w:tblW w:w="10261" w:type="dxa"/>
        <w:tblInd w:w="-851" w:type="dxa"/>
        <w:tblCellMar>
          <w:left w:w="70" w:type="dxa"/>
          <w:right w:w="70" w:type="dxa"/>
        </w:tblCellMar>
        <w:tblLook w:val="04A0" w:firstRow="1" w:lastRow="0" w:firstColumn="1" w:lastColumn="0" w:noHBand="0" w:noVBand="1"/>
      </w:tblPr>
      <w:tblGrid>
        <w:gridCol w:w="1860"/>
        <w:gridCol w:w="912"/>
        <w:gridCol w:w="726"/>
        <w:gridCol w:w="462"/>
        <w:gridCol w:w="777"/>
        <w:gridCol w:w="619"/>
        <w:gridCol w:w="705"/>
        <w:gridCol w:w="912"/>
        <w:gridCol w:w="726"/>
        <w:gridCol w:w="462"/>
        <w:gridCol w:w="911"/>
        <w:gridCol w:w="556"/>
        <w:gridCol w:w="633"/>
      </w:tblGrid>
      <w:tr w:rsidR="00EC6FF0" w:rsidRPr="006D7A8C" w14:paraId="0D8EDCD5" w14:textId="77777777" w:rsidTr="005F6858">
        <w:trPr>
          <w:trHeight w:val="300"/>
        </w:trPr>
        <w:tc>
          <w:tcPr>
            <w:tcW w:w="1860" w:type="dxa"/>
            <w:vMerge w:val="restart"/>
            <w:tcBorders>
              <w:top w:val="single" w:sz="4" w:space="0" w:color="auto"/>
              <w:left w:val="nil"/>
              <w:bottom w:val="single" w:sz="4" w:space="0" w:color="000000"/>
              <w:right w:val="single" w:sz="4" w:space="0" w:color="auto"/>
            </w:tcBorders>
            <w:shd w:val="clear" w:color="000000" w:fill="FFFFFF"/>
            <w:noWrap/>
            <w:vAlign w:val="center"/>
            <w:hideMark/>
          </w:tcPr>
          <w:p w14:paraId="48F9E03D"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Substâncias</w:t>
            </w:r>
          </w:p>
        </w:tc>
        <w:tc>
          <w:tcPr>
            <w:tcW w:w="2100"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51C6F15"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Grandes</w:t>
            </w:r>
          </w:p>
        </w:tc>
        <w:tc>
          <w:tcPr>
            <w:tcW w:w="2101"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EDE5A30"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Médias</w:t>
            </w:r>
          </w:p>
        </w:tc>
        <w:tc>
          <w:tcPr>
            <w:tcW w:w="2100"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336A9F2"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Pequenas</w:t>
            </w:r>
          </w:p>
        </w:tc>
        <w:tc>
          <w:tcPr>
            <w:tcW w:w="2100" w:type="dxa"/>
            <w:gridSpan w:val="3"/>
            <w:tcBorders>
              <w:top w:val="single" w:sz="4" w:space="0" w:color="auto"/>
              <w:left w:val="nil"/>
              <w:bottom w:val="single" w:sz="4" w:space="0" w:color="auto"/>
              <w:right w:val="nil"/>
            </w:tcBorders>
            <w:shd w:val="clear" w:color="000000" w:fill="FFFFFF"/>
            <w:noWrap/>
            <w:vAlign w:val="bottom"/>
            <w:hideMark/>
          </w:tcPr>
          <w:p w14:paraId="73227FD4"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Subtotal</w:t>
            </w:r>
          </w:p>
        </w:tc>
      </w:tr>
      <w:tr w:rsidR="00EC6FF0" w:rsidRPr="006D7A8C" w14:paraId="3204ADAA" w14:textId="77777777" w:rsidTr="005F6858">
        <w:trPr>
          <w:trHeight w:val="300"/>
        </w:trPr>
        <w:tc>
          <w:tcPr>
            <w:tcW w:w="1860" w:type="dxa"/>
            <w:vMerge/>
            <w:tcBorders>
              <w:top w:val="single" w:sz="4" w:space="0" w:color="auto"/>
              <w:left w:val="nil"/>
              <w:bottom w:val="single" w:sz="4" w:space="0" w:color="000000"/>
              <w:right w:val="single" w:sz="4" w:space="0" w:color="auto"/>
            </w:tcBorders>
            <w:vAlign w:val="center"/>
            <w:hideMark/>
          </w:tcPr>
          <w:p w14:paraId="3CBA91C0"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p>
        </w:tc>
        <w:tc>
          <w:tcPr>
            <w:tcW w:w="912" w:type="dxa"/>
            <w:tcBorders>
              <w:top w:val="nil"/>
              <w:left w:val="nil"/>
              <w:bottom w:val="single" w:sz="4" w:space="0" w:color="auto"/>
              <w:right w:val="nil"/>
            </w:tcBorders>
            <w:shd w:val="clear" w:color="000000" w:fill="FFFFFF"/>
            <w:noWrap/>
            <w:vAlign w:val="bottom"/>
            <w:hideMark/>
          </w:tcPr>
          <w:p w14:paraId="5C763955"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CA</w:t>
            </w:r>
          </w:p>
        </w:tc>
        <w:tc>
          <w:tcPr>
            <w:tcW w:w="726" w:type="dxa"/>
            <w:tcBorders>
              <w:top w:val="nil"/>
              <w:left w:val="nil"/>
              <w:bottom w:val="single" w:sz="4" w:space="0" w:color="auto"/>
              <w:right w:val="nil"/>
            </w:tcBorders>
            <w:shd w:val="clear" w:color="000000" w:fill="FFFFFF"/>
            <w:noWrap/>
            <w:vAlign w:val="bottom"/>
            <w:hideMark/>
          </w:tcPr>
          <w:p w14:paraId="3E824FC4"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w:t>
            </w:r>
          </w:p>
        </w:tc>
        <w:tc>
          <w:tcPr>
            <w:tcW w:w="462" w:type="dxa"/>
            <w:tcBorders>
              <w:top w:val="nil"/>
              <w:left w:val="nil"/>
              <w:bottom w:val="single" w:sz="4" w:space="0" w:color="auto"/>
              <w:right w:val="single" w:sz="4" w:space="0" w:color="auto"/>
            </w:tcBorders>
            <w:shd w:val="clear" w:color="000000" w:fill="FFFFFF"/>
            <w:noWrap/>
            <w:vAlign w:val="bottom"/>
            <w:hideMark/>
          </w:tcPr>
          <w:p w14:paraId="283ADC89"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w:t>
            </w:r>
          </w:p>
        </w:tc>
        <w:tc>
          <w:tcPr>
            <w:tcW w:w="777" w:type="dxa"/>
            <w:tcBorders>
              <w:top w:val="nil"/>
              <w:left w:val="nil"/>
              <w:bottom w:val="single" w:sz="4" w:space="0" w:color="auto"/>
              <w:right w:val="nil"/>
            </w:tcBorders>
            <w:shd w:val="clear" w:color="000000" w:fill="FFFFFF"/>
            <w:noWrap/>
            <w:vAlign w:val="bottom"/>
            <w:hideMark/>
          </w:tcPr>
          <w:p w14:paraId="752B2E6F"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CA</w:t>
            </w:r>
          </w:p>
        </w:tc>
        <w:tc>
          <w:tcPr>
            <w:tcW w:w="619" w:type="dxa"/>
            <w:tcBorders>
              <w:top w:val="nil"/>
              <w:left w:val="nil"/>
              <w:bottom w:val="single" w:sz="4" w:space="0" w:color="auto"/>
              <w:right w:val="nil"/>
            </w:tcBorders>
            <w:shd w:val="clear" w:color="000000" w:fill="FFFFFF"/>
            <w:noWrap/>
            <w:vAlign w:val="bottom"/>
            <w:hideMark/>
          </w:tcPr>
          <w:p w14:paraId="14A16125"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w:t>
            </w:r>
          </w:p>
        </w:tc>
        <w:tc>
          <w:tcPr>
            <w:tcW w:w="705" w:type="dxa"/>
            <w:tcBorders>
              <w:top w:val="nil"/>
              <w:left w:val="nil"/>
              <w:bottom w:val="single" w:sz="4" w:space="0" w:color="auto"/>
              <w:right w:val="single" w:sz="4" w:space="0" w:color="auto"/>
            </w:tcBorders>
            <w:shd w:val="clear" w:color="000000" w:fill="FFFFFF"/>
            <w:noWrap/>
            <w:vAlign w:val="bottom"/>
            <w:hideMark/>
          </w:tcPr>
          <w:p w14:paraId="0E1895FF"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w:t>
            </w:r>
          </w:p>
        </w:tc>
        <w:tc>
          <w:tcPr>
            <w:tcW w:w="912" w:type="dxa"/>
            <w:tcBorders>
              <w:top w:val="nil"/>
              <w:left w:val="nil"/>
              <w:bottom w:val="single" w:sz="4" w:space="0" w:color="auto"/>
              <w:right w:val="nil"/>
            </w:tcBorders>
            <w:shd w:val="clear" w:color="000000" w:fill="FFFFFF"/>
            <w:noWrap/>
            <w:vAlign w:val="bottom"/>
            <w:hideMark/>
          </w:tcPr>
          <w:p w14:paraId="603F0B09"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CA</w:t>
            </w:r>
          </w:p>
        </w:tc>
        <w:tc>
          <w:tcPr>
            <w:tcW w:w="726" w:type="dxa"/>
            <w:tcBorders>
              <w:top w:val="nil"/>
              <w:left w:val="nil"/>
              <w:bottom w:val="single" w:sz="4" w:space="0" w:color="auto"/>
              <w:right w:val="nil"/>
            </w:tcBorders>
            <w:shd w:val="clear" w:color="000000" w:fill="FFFFFF"/>
            <w:noWrap/>
            <w:vAlign w:val="bottom"/>
            <w:hideMark/>
          </w:tcPr>
          <w:p w14:paraId="6D974955"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w:t>
            </w:r>
          </w:p>
        </w:tc>
        <w:tc>
          <w:tcPr>
            <w:tcW w:w="462" w:type="dxa"/>
            <w:tcBorders>
              <w:top w:val="nil"/>
              <w:left w:val="nil"/>
              <w:bottom w:val="single" w:sz="4" w:space="0" w:color="auto"/>
              <w:right w:val="single" w:sz="4" w:space="0" w:color="auto"/>
            </w:tcBorders>
            <w:shd w:val="clear" w:color="000000" w:fill="FFFFFF"/>
            <w:noWrap/>
            <w:vAlign w:val="bottom"/>
            <w:hideMark/>
          </w:tcPr>
          <w:p w14:paraId="5FE545C0"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w:t>
            </w:r>
          </w:p>
        </w:tc>
        <w:tc>
          <w:tcPr>
            <w:tcW w:w="911" w:type="dxa"/>
            <w:tcBorders>
              <w:top w:val="nil"/>
              <w:left w:val="nil"/>
              <w:bottom w:val="single" w:sz="4" w:space="0" w:color="auto"/>
              <w:right w:val="nil"/>
            </w:tcBorders>
            <w:shd w:val="clear" w:color="000000" w:fill="FFFFFF"/>
            <w:noWrap/>
            <w:vAlign w:val="bottom"/>
            <w:hideMark/>
          </w:tcPr>
          <w:p w14:paraId="79B1CAF6"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CA</w:t>
            </w:r>
          </w:p>
        </w:tc>
        <w:tc>
          <w:tcPr>
            <w:tcW w:w="556" w:type="dxa"/>
            <w:tcBorders>
              <w:top w:val="nil"/>
              <w:left w:val="nil"/>
              <w:bottom w:val="single" w:sz="4" w:space="0" w:color="auto"/>
              <w:right w:val="nil"/>
            </w:tcBorders>
            <w:shd w:val="clear" w:color="000000" w:fill="FFFFFF"/>
            <w:noWrap/>
            <w:vAlign w:val="bottom"/>
            <w:hideMark/>
          </w:tcPr>
          <w:p w14:paraId="34C43501"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w:t>
            </w:r>
          </w:p>
        </w:tc>
        <w:tc>
          <w:tcPr>
            <w:tcW w:w="633" w:type="dxa"/>
            <w:tcBorders>
              <w:top w:val="nil"/>
              <w:left w:val="nil"/>
              <w:bottom w:val="single" w:sz="4" w:space="0" w:color="auto"/>
              <w:right w:val="nil"/>
            </w:tcBorders>
            <w:shd w:val="clear" w:color="000000" w:fill="FFFFFF"/>
            <w:noWrap/>
            <w:vAlign w:val="bottom"/>
            <w:hideMark/>
          </w:tcPr>
          <w:p w14:paraId="66324818"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w:t>
            </w:r>
          </w:p>
        </w:tc>
      </w:tr>
      <w:tr w:rsidR="00EC6FF0" w:rsidRPr="006D7A8C" w14:paraId="005FF3F2" w14:textId="77777777" w:rsidTr="005F6858">
        <w:trPr>
          <w:trHeight w:val="315"/>
        </w:trPr>
        <w:tc>
          <w:tcPr>
            <w:tcW w:w="1860" w:type="dxa"/>
            <w:tcBorders>
              <w:top w:val="nil"/>
              <w:left w:val="nil"/>
              <w:bottom w:val="double" w:sz="6" w:space="0" w:color="auto"/>
              <w:right w:val="single" w:sz="4" w:space="0" w:color="auto"/>
            </w:tcBorders>
            <w:shd w:val="clear" w:color="000000" w:fill="FFFFFF"/>
            <w:noWrap/>
            <w:vAlign w:val="bottom"/>
            <w:hideMark/>
          </w:tcPr>
          <w:p w14:paraId="788730A4"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Brasil</w:t>
            </w:r>
          </w:p>
        </w:tc>
        <w:tc>
          <w:tcPr>
            <w:tcW w:w="912" w:type="dxa"/>
            <w:tcBorders>
              <w:top w:val="nil"/>
              <w:left w:val="nil"/>
              <w:bottom w:val="double" w:sz="6" w:space="0" w:color="auto"/>
              <w:right w:val="nil"/>
            </w:tcBorders>
            <w:shd w:val="clear" w:color="000000" w:fill="FFFFFF"/>
            <w:noWrap/>
            <w:vAlign w:val="bottom"/>
            <w:hideMark/>
          </w:tcPr>
          <w:p w14:paraId="7561F44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64</w:t>
            </w:r>
          </w:p>
        </w:tc>
        <w:tc>
          <w:tcPr>
            <w:tcW w:w="726" w:type="dxa"/>
            <w:tcBorders>
              <w:top w:val="nil"/>
              <w:left w:val="nil"/>
              <w:bottom w:val="double" w:sz="6" w:space="0" w:color="auto"/>
              <w:right w:val="nil"/>
            </w:tcBorders>
            <w:shd w:val="clear" w:color="000000" w:fill="FFFFFF"/>
            <w:noWrap/>
            <w:vAlign w:val="bottom"/>
            <w:hideMark/>
          </w:tcPr>
          <w:p w14:paraId="49E4DC1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double" w:sz="6" w:space="0" w:color="auto"/>
              <w:right w:val="single" w:sz="4" w:space="0" w:color="auto"/>
            </w:tcBorders>
            <w:shd w:val="clear" w:color="000000" w:fill="FFFFFF"/>
            <w:noWrap/>
            <w:vAlign w:val="bottom"/>
            <w:hideMark/>
          </w:tcPr>
          <w:p w14:paraId="6BDC8D9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777" w:type="dxa"/>
            <w:tcBorders>
              <w:top w:val="nil"/>
              <w:left w:val="nil"/>
              <w:bottom w:val="double" w:sz="6" w:space="0" w:color="auto"/>
              <w:right w:val="nil"/>
            </w:tcBorders>
            <w:shd w:val="clear" w:color="000000" w:fill="FFFFFF"/>
            <w:noWrap/>
            <w:vAlign w:val="bottom"/>
            <w:hideMark/>
          </w:tcPr>
          <w:p w14:paraId="0731946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49</w:t>
            </w:r>
          </w:p>
        </w:tc>
        <w:tc>
          <w:tcPr>
            <w:tcW w:w="619" w:type="dxa"/>
            <w:tcBorders>
              <w:top w:val="nil"/>
              <w:left w:val="nil"/>
              <w:bottom w:val="double" w:sz="6" w:space="0" w:color="auto"/>
              <w:right w:val="nil"/>
            </w:tcBorders>
            <w:shd w:val="clear" w:color="000000" w:fill="FFFFFF"/>
            <w:noWrap/>
            <w:vAlign w:val="bottom"/>
            <w:hideMark/>
          </w:tcPr>
          <w:p w14:paraId="141721A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705" w:type="dxa"/>
            <w:tcBorders>
              <w:top w:val="nil"/>
              <w:left w:val="nil"/>
              <w:bottom w:val="double" w:sz="6" w:space="0" w:color="auto"/>
              <w:right w:val="single" w:sz="4" w:space="0" w:color="auto"/>
            </w:tcBorders>
            <w:shd w:val="clear" w:color="000000" w:fill="FFFFFF"/>
            <w:noWrap/>
            <w:vAlign w:val="bottom"/>
            <w:hideMark/>
          </w:tcPr>
          <w:p w14:paraId="56724B7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17</w:t>
            </w:r>
          </w:p>
        </w:tc>
        <w:tc>
          <w:tcPr>
            <w:tcW w:w="912" w:type="dxa"/>
            <w:tcBorders>
              <w:top w:val="nil"/>
              <w:left w:val="nil"/>
              <w:bottom w:val="double" w:sz="6" w:space="0" w:color="auto"/>
              <w:right w:val="nil"/>
            </w:tcBorders>
            <w:shd w:val="clear" w:color="000000" w:fill="FFFFFF"/>
            <w:noWrap/>
            <w:vAlign w:val="bottom"/>
            <w:hideMark/>
          </w:tcPr>
          <w:p w14:paraId="79C631F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49</w:t>
            </w:r>
          </w:p>
        </w:tc>
        <w:tc>
          <w:tcPr>
            <w:tcW w:w="726" w:type="dxa"/>
            <w:tcBorders>
              <w:top w:val="nil"/>
              <w:left w:val="nil"/>
              <w:bottom w:val="double" w:sz="6" w:space="0" w:color="auto"/>
              <w:right w:val="nil"/>
            </w:tcBorders>
            <w:shd w:val="clear" w:color="000000" w:fill="FFFFFF"/>
            <w:noWrap/>
            <w:vAlign w:val="bottom"/>
            <w:hideMark/>
          </w:tcPr>
          <w:p w14:paraId="4377450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double" w:sz="6" w:space="0" w:color="auto"/>
              <w:right w:val="single" w:sz="4" w:space="0" w:color="auto"/>
            </w:tcBorders>
            <w:shd w:val="clear" w:color="000000" w:fill="FFFFFF"/>
            <w:noWrap/>
            <w:vAlign w:val="bottom"/>
            <w:hideMark/>
          </w:tcPr>
          <w:p w14:paraId="51A083F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c>
          <w:tcPr>
            <w:tcW w:w="911" w:type="dxa"/>
            <w:tcBorders>
              <w:top w:val="nil"/>
              <w:left w:val="nil"/>
              <w:bottom w:val="double" w:sz="6" w:space="0" w:color="auto"/>
              <w:right w:val="nil"/>
            </w:tcBorders>
            <w:shd w:val="clear" w:color="000000" w:fill="FFFFFF"/>
            <w:noWrap/>
            <w:vAlign w:val="bottom"/>
            <w:hideMark/>
          </w:tcPr>
          <w:p w14:paraId="15F2C9A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162</w:t>
            </w:r>
          </w:p>
        </w:tc>
        <w:tc>
          <w:tcPr>
            <w:tcW w:w="556" w:type="dxa"/>
            <w:tcBorders>
              <w:top w:val="nil"/>
              <w:left w:val="nil"/>
              <w:bottom w:val="double" w:sz="6" w:space="0" w:color="auto"/>
              <w:right w:val="nil"/>
            </w:tcBorders>
            <w:shd w:val="clear" w:color="000000" w:fill="FFFFFF"/>
            <w:noWrap/>
            <w:vAlign w:val="bottom"/>
            <w:hideMark/>
          </w:tcPr>
          <w:p w14:paraId="1E2F1DB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633" w:type="dxa"/>
            <w:tcBorders>
              <w:top w:val="nil"/>
              <w:left w:val="nil"/>
              <w:bottom w:val="double" w:sz="6" w:space="0" w:color="auto"/>
              <w:right w:val="nil"/>
            </w:tcBorders>
            <w:shd w:val="clear" w:color="000000" w:fill="FFFFFF"/>
            <w:noWrap/>
            <w:vAlign w:val="bottom"/>
            <w:hideMark/>
          </w:tcPr>
          <w:p w14:paraId="10935CE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25</w:t>
            </w:r>
          </w:p>
        </w:tc>
      </w:tr>
      <w:tr w:rsidR="00EC6FF0" w:rsidRPr="006D7A8C" w14:paraId="5B8CEB93" w14:textId="77777777" w:rsidTr="005F6858">
        <w:trPr>
          <w:trHeight w:val="315"/>
        </w:trPr>
        <w:tc>
          <w:tcPr>
            <w:tcW w:w="1860" w:type="dxa"/>
            <w:tcBorders>
              <w:top w:val="nil"/>
              <w:left w:val="nil"/>
              <w:bottom w:val="nil"/>
              <w:right w:val="single" w:sz="4" w:space="0" w:color="auto"/>
            </w:tcBorders>
            <w:shd w:val="clear" w:color="000000" w:fill="FFFFFF"/>
            <w:noWrap/>
            <w:vAlign w:val="bottom"/>
            <w:hideMark/>
          </w:tcPr>
          <w:p w14:paraId="7C1E3F36"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Alumínio (Bauxita)</w:t>
            </w:r>
          </w:p>
        </w:tc>
        <w:tc>
          <w:tcPr>
            <w:tcW w:w="912" w:type="dxa"/>
            <w:tcBorders>
              <w:top w:val="nil"/>
              <w:left w:val="nil"/>
              <w:bottom w:val="nil"/>
              <w:right w:val="nil"/>
            </w:tcBorders>
            <w:shd w:val="clear" w:color="000000" w:fill="FFFFFF"/>
            <w:noWrap/>
            <w:vAlign w:val="bottom"/>
            <w:hideMark/>
          </w:tcPr>
          <w:p w14:paraId="2F6BF29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c>
          <w:tcPr>
            <w:tcW w:w="726" w:type="dxa"/>
            <w:tcBorders>
              <w:top w:val="nil"/>
              <w:left w:val="nil"/>
              <w:bottom w:val="nil"/>
              <w:right w:val="nil"/>
            </w:tcBorders>
            <w:shd w:val="clear" w:color="000000" w:fill="FFFFFF"/>
            <w:noWrap/>
            <w:vAlign w:val="bottom"/>
            <w:hideMark/>
          </w:tcPr>
          <w:p w14:paraId="5B45F8A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2660CCD3"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6A9E904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w:t>
            </w:r>
          </w:p>
        </w:tc>
        <w:tc>
          <w:tcPr>
            <w:tcW w:w="619" w:type="dxa"/>
            <w:tcBorders>
              <w:top w:val="nil"/>
              <w:left w:val="nil"/>
              <w:bottom w:val="nil"/>
              <w:right w:val="nil"/>
            </w:tcBorders>
            <w:shd w:val="clear" w:color="000000" w:fill="FFFFFF"/>
            <w:noWrap/>
            <w:vAlign w:val="bottom"/>
            <w:hideMark/>
          </w:tcPr>
          <w:p w14:paraId="60127EB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4092FFE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627106B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13</w:t>
            </w:r>
          </w:p>
        </w:tc>
        <w:tc>
          <w:tcPr>
            <w:tcW w:w="726" w:type="dxa"/>
            <w:tcBorders>
              <w:top w:val="nil"/>
              <w:left w:val="nil"/>
              <w:bottom w:val="nil"/>
              <w:right w:val="nil"/>
            </w:tcBorders>
            <w:shd w:val="clear" w:color="000000" w:fill="FFFFFF"/>
            <w:noWrap/>
            <w:vAlign w:val="bottom"/>
            <w:hideMark/>
          </w:tcPr>
          <w:p w14:paraId="251B1EE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1C7D52E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0EE1DFE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24</w:t>
            </w:r>
          </w:p>
        </w:tc>
        <w:tc>
          <w:tcPr>
            <w:tcW w:w="556" w:type="dxa"/>
            <w:tcBorders>
              <w:top w:val="nil"/>
              <w:left w:val="nil"/>
              <w:bottom w:val="nil"/>
              <w:right w:val="nil"/>
            </w:tcBorders>
            <w:shd w:val="clear" w:color="000000" w:fill="FFFFFF"/>
            <w:noWrap/>
            <w:vAlign w:val="bottom"/>
            <w:hideMark/>
          </w:tcPr>
          <w:p w14:paraId="0A576A0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568C32F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EC6FF0" w:rsidRPr="006D7A8C" w14:paraId="41786A2E"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4836542C"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Cobre</w:t>
            </w:r>
          </w:p>
        </w:tc>
        <w:tc>
          <w:tcPr>
            <w:tcW w:w="912" w:type="dxa"/>
            <w:tcBorders>
              <w:top w:val="nil"/>
              <w:left w:val="nil"/>
              <w:bottom w:val="nil"/>
              <w:right w:val="nil"/>
            </w:tcBorders>
            <w:shd w:val="clear" w:color="000000" w:fill="FFFFFF"/>
            <w:noWrap/>
            <w:vAlign w:val="bottom"/>
            <w:hideMark/>
          </w:tcPr>
          <w:p w14:paraId="6747F9C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726" w:type="dxa"/>
            <w:tcBorders>
              <w:top w:val="nil"/>
              <w:left w:val="nil"/>
              <w:bottom w:val="nil"/>
              <w:right w:val="nil"/>
            </w:tcBorders>
            <w:shd w:val="clear" w:color="000000" w:fill="FFFFFF"/>
            <w:noWrap/>
            <w:vAlign w:val="bottom"/>
            <w:hideMark/>
          </w:tcPr>
          <w:p w14:paraId="4F46CA7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69D242B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777" w:type="dxa"/>
            <w:tcBorders>
              <w:top w:val="nil"/>
              <w:left w:val="nil"/>
              <w:bottom w:val="nil"/>
              <w:right w:val="nil"/>
            </w:tcBorders>
            <w:shd w:val="clear" w:color="000000" w:fill="FFFFFF"/>
            <w:noWrap/>
            <w:vAlign w:val="bottom"/>
            <w:hideMark/>
          </w:tcPr>
          <w:p w14:paraId="42577B7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619" w:type="dxa"/>
            <w:tcBorders>
              <w:top w:val="nil"/>
              <w:left w:val="nil"/>
              <w:bottom w:val="nil"/>
              <w:right w:val="nil"/>
            </w:tcBorders>
            <w:shd w:val="clear" w:color="000000" w:fill="FFFFFF"/>
            <w:noWrap/>
            <w:vAlign w:val="bottom"/>
            <w:hideMark/>
          </w:tcPr>
          <w:p w14:paraId="31287B8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7917576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0F80420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726" w:type="dxa"/>
            <w:tcBorders>
              <w:top w:val="nil"/>
              <w:left w:val="nil"/>
              <w:bottom w:val="nil"/>
              <w:right w:val="nil"/>
            </w:tcBorders>
            <w:shd w:val="clear" w:color="000000" w:fill="FFFFFF"/>
            <w:noWrap/>
            <w:vAlign w:val="bottom"/>
            <w:hideMark/>
          </w:tcPr>
          <w:p w14:paraId="467241C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2852B92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0895CDA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w:t>
            </w:r>
          </w:p>
        </w:tc>
        <w:tc>
          <w:tcPr>
            <w:tcW w:w="556" w:type="dxa"/>
            <w:tcBorders>
              <w:top w:val="nil"/>
              <w:left w:val="nil"/>
              <w:bottom w:val="nil"/>
              <w:right w:val="nil"/>
            </w:tcBorders>
            <w:shd w:val="clear" w:color="000000" w:fill="FFFFFF"/>
            <w:noWrap/>
            <w:vAlign w:val="bottom"/>
            <w:hideMark/>
          </w:tcPr>
          <w:p w14:paraId="7600751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0A99986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r>
      <w:tr w:rsidR="00EC6FF0" w:rsidRPr="006D7A8C" w14:paraId="1EA30E50"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438E3A7B"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Estanho</w:t>
            </w:r>
          </w:p>
        </w:tc>
        <w:tc>
          <w:tcPr>
            <w:tcW w:w="912" w:type="dxa"/>
            <w:tcBorders>
              <w:top w:val="nil"/>
              <w:left w:val="nil"/>
              <w:bottom w:val="nil"/>
              <w:right w:val="nil"/>
            </w:tcBorders>
            <w:shd w:val="clear" w:color="000000" w:fill="FFFFFF"/>
            <w:noWrap/>
            <w:vAlign w:val="bottom"/>
            <w:hideMark/>
          </w:tcPr>
          <w:p w14:paraId="42665D5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c>
          <w:tcPr>
            <w:tcW w:w="726" w:type="dxa"/>
            <w:tcBorders>
              <w:top w:val="nil"/>
              <w:left w:val="nil"/>
              <w:bottom w:val="nil"/>
              <w:right w:val="nil"/>
            </w:tcBorders>
            <w:shd w:val="clear" w:color="000000" w:fill="FFFFFF"/>
            <w:noWrap/>
            <w:vAlign w:val="bottom"/>
            <w:hideMark/>
          </w:tcPr>
          <w:p w14:paraId="6C18D36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0F7445E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7AAB97F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18</w:t>
            </w:r>
          </w:p>
        </w:tc>
        <w:tc>
          <w:tcPr>
            <w:tcW w:w="619" w:type="dxa"/>
            <w:tcBorders>
              <w:top w:val="nil"/>
              <w:left w:val="nil"/>
              <w:bottom w:val="nil"/>
              <w:right w:val="nil"/>
            </w:tcBorders>
            <w:shd w:val="clear" w:color="000000" w:fill="FFFFFF"/>
            <w:noWrap/>
            <w:vAlign w:val="bottom"/>
            <w:hideMark/>
          </w:tcPr>
          <w:p w14:paraId="23F2F7F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3B20838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6963552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8</w:t>
            </w:r>
          </w:p>
        </w:tc>
        <w:tc>
          <w:tcPr>
            <w:tcW w:w="726" w:type="dxa"/>
            <w:tcBorders>
              <w:top w:val="nil"/>
              <w:left w:val="nil"/>
              <w:bottom w:val="nil"/>
              <w:right w:val="nil"/>
            </w:tcBorders>
            <w:shd w:val="clear" w:color="000000" w:fill="FFFFFF"/>
            <w:noWrap/>
            <w:vAlign w:val="bottom"/>
            <w:hideMark/>
          </w:tcPr>
          <w:p w14:paraId="22C64AA1"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2C29C25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5910E11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30</w:t>
            </w:r>
          </w:p>
        </w:tc>
        <w:tc>
          <w:tcPr>
            <w:tcW w:w="556" w:type="dxa"/>
            <w:tcBorders>
              <w:top w:val="nil"/>
              <w:left w:val="nil"/>
              <w:bottom w:val="nil"/>
              <w:right w:val="nil"/>
            </w:tcBorders>
            <w:shd w:val="clear" w:color="000000" w:fill="FFFFFF"/>
            <w:noWrap/>
            <w:vAlign w:val="bottom"/>
            <w:hideMark/>
          </w:tcPr>
          <w:p w14:paraId="779706C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77EB72E1"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EC6FF0" w:rsidRPr="006D7A8C" w14:paraId="6CB2C4B6"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7068CE2E"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lastRenderedPageBreak/>
              <w:t>Ferro</w:t>
            </w:r>
          </w:p>
        </w:tc>
        <w:tc>
          <w:tcPr>
            <w:tcW w:w="912" w:type="dxa"/>
            <w:tcBorders>
              <w:top w:val="nil"/>
              <w:left w:val="nil"/>
              <w:bottom w:val="nil"/>
              <w:right w:val="nil"/>
            </w:tcBorders>
            <w:shd w:val="clear" w:color="000000" w:fill="FFFFFF"/>
            <w:noWrap/>
            <w:vAlign w:val="bottom"/>
            <w:hideMark/>
          </w:tcPr>
          <w:p w14:paraId="7FBAA09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41</w:t>
            </w:r>
          </w:p>
        </w:tc>
        <w:tc>
          <w:tcPr>
            <w:tcW w:w="726" w:type="dxa"/>
            <w:tcBorders>
              <w:top w:val="nil"/>
              <w:left w:val="nil"/>
              <w:bottom w:val="nil"/>
              <w:right w:val="nil"/>
            </w:tcBorders>
            <w:shd w:val="clear" w:color="000000" w:fill="FFFFFF"/>
            <w:noWrap/>
            <w:vAlign w:val="bottom"/>
            <w:hideMark/>
          </w:tcPr>
          <w:p w14:paraId="35B08213"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4F7AE10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38189AD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15</w:t>
            </w:r>
          </w:p>
        </w:tc>
        <w:tc>
          <w:tcPr>
            <w:tcW w:w="619" w:type="dxa"/>
            <w:tcBorders>
              <w:top w:val="nil"/>
              <w:left w:val="nil"/>
              <w:bottom w:val="nil"/>
              <w:right w:val="nil"/>
            </w:tcBorders>
            <w:shd w:val="clear" w:color="000000" w:fill="FFFFFF"/>
            <w:noWrap/>
            <w:vAlign w:val="bottom"/>
            <w:hideMark/>
          </w:tcPr>
          <w:p w14:paraId="22FA2D1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72A16BA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35ACCA41"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w:t>
            </w:r>
          </w:p>
        </w:tc>
        <w:tc>
          <w:tcPr>
            <w:tcW w:w="726" w:type="dxa"/>
            <w:tcBorders>
              <w:top w:val="nil"/>
              <w:left w:val="nil"/>
              <w:bottom w:val="nil"/>
              <w:right w:val="nil"/>
            </w:tcBorders>
            <w:shd w:val="clear" w:color="000000" w:fill="FFFFFF"/>
            <w:noWrap/>
            <w:vAlign w:val="bottom"/>
            <w:hideMark/>
          </w:tcPr>
          <w:p w14:paraId="40D7E393"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35424E9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4BCD44E1"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66</w:t>
            </w:r>
          </w:p>
        </w:tc>
        <w:tc>
          <w:tcPr>
            <w:tcW w:w="556" w:type="dxa"/>
            <w:tcBorders>
              <w:top w:val="nil"/>
              <w:left w:val="nil"/>
              <w:bottom w:val="nil"/>
              <w:right w:val="nil"/>
            </w:tcBorders>
            <w:shd w:val="clear" w:color="000000" w:fill="FFFFFF"/>
            <w:noWrap/>
            <w:vAlign w:val="bottom"/>
            <w:hideMark/>
          </w:tcPr>
          <w:p w14:paraId="1CD83FA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2F0EFAA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EC6FF0" w:rsidRPr="006D7A8C" w14:paraId="3FB9266F"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21317779"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Manganês</w:t>
            </w:r>
          </w:p>
        </w:tc>
        <w:tc>
          <w:tcPr>
            <w:tcW w:w="912" w:type="dxa"/>
            <w:tcBorders>
              <w:top w:val="nil"/>
              <w:left w:val="nil"/>
              <w:bottom w:val="nil"/>
              <w:right w:val="nil"/>
            </w:tcBorders>
            <w:shd w:val="clear" w:color="000000" w:fill="FFFFFF"/>
            <w:noWrap/>
            <w:vAlign w:val="bottom"/>
            <w:hideMark/>
          </w:tcPr>
          <w:p w14:paraId="01C1327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726" w:type="dxa"/>
            <w:tcBorders>
              <w:top w:val="nil"/>
              <w:left w:val="nil"/>
              <w:bottom w:val="nil"/>
              <w:right w:val="nil"/>
            </w:tcBorders>
            <w:shd w:val="clear" w:color="000000" w:fill="FFFFFF"/>
            <w:noWrap/>
            <w:vAlign w:val="bottom"/>
            <w:hideMark/>
          </w:tcPr>
          <w:p w14:paraId="6BB9494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3E3D316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4C9C98D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619" w:type="dxa"/>
            <w:tcBorders>
              <w:top w:val="nil"/>
              <w:left w:val="nil"/>
              <w:bottom w:val="nil"/>
              <w:right w:val="nil"/>
            </w:tcBorders>
            <w:shd w:val="clear" w:color="000000" w:fill="FFFFFF"/>
            <w:noWrap/>
            <w:vAlign w:val="bottom"/>
            <w:hideMark/>
          </w:tcPr>
          <w:p w14:paraId="2E9FCC2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436753B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912" w:type="dxa"/>
            <w:tcBorders>
              <w:top w:val="nil"/>
              <w:left w:val="nil"/>
              <w:bottom w:val="nil"/>
              <w:right w:val="nil"/>
            </w:tcBorders>
            <w:shd w:val="clear" w:color="000000" w:fill="FFFFFF"/>
            <w:noWrap/>
            <w:vAlign w:val="bottom"/>
            <w:hideMark/>
          </w:tcPr>
          <w:p w14:paraId="6E03C77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c>
          <w:tcPr>
            <w:tcW w:w="726" w:type="dxa"/>
            <w:tcBorders>
              <w:top w:val="nil"/>
              <w:left w:val="nil"/>
              <w:bottom w:val="nil"/>
              <w:right w:val="nil"/>
            </w:tcBorders>
            <w:shd w:val="clear" w:color="000000" w:fill="FFFFFF"/>
            <w:noWrap/>
            <w:vAlign w:val="bottom"/>
            <w:hideMark/>
          </w:tcPr>
          <w:p w14:paraId="2207B8E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1D4C86C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1BDC3201"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w:t>
            </w:r>
          </w:p>
        </w:tc>
        <w:tc>
          <w:tcPr>
            <w:tcW w:w="556" w:type="dxa"/>
            <w:tcBorders>
              <w:top w:val="nil"/>
              <w:left w:val="nil"/>
              <w:bottom w:val="nil"/>
              <w:right w:val="nil"/>
            </w:tcBorders>
            <w:shd w:val="clear" w:color="000000" w:fill="FFFFFF"/>
            <w:noWrap/>
            <w:vAlign w:val="bottom"/>
            <w:hideMark/>
          </w:tcPr>
          <w:p w14:paraId="6977076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16651A93"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r>
      <w:tr w:rsidR="00EC6FF0" w:rsidRPr="006D7A8C" w14:paraId="263453DA"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3D045088"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Nióbio</w:t>
            </w:r>
          </w:p>
        </w:tc>
        <w:tc>
          <w:tcPr>
            <w:tcW w:w="912" w:type="dxa"/>
            <w:tcBorders>
              <w:top w:val="nil"/>
              <w:left w:val="nil"/>
              <w:bottom w:val="nil"/>
              <w:right w:val="nil"/>
            </w:tcBorders>
            <w:shd w:val="clear" w:color="000000" w:fill="FFFFFF"/>
            <w:noWrap/>
            <w:vAlign w:val="bottom"/>
            <w:hideMark/>
          </w:tcPr>
          <w:p w14:paraId="699253E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726" w:type="dxa"/>
            <w:tcBorders>
              <w:top w:val="nil"/>
              <w:left w:val="nil"/>
              <w:bottom w:val="nil"/>
              <w:right w:val="nil"/>
            </w:tcBorders>
            <w:shd w:val="clear" w:color="000000" w:fill="FFFFFF"/>
            <w:noWrap/>
            <w:vAlign w:val="bottom"/>
            <w:hideMark/>
          </w:tcPr>
          <w:p w14:paraId="2DAAF28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12281FA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2853435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619" w:type="dxa"/>
            <w:tcBorders>
              <w:top w:val="nil"/>
              <w:left w:val="nil"/>
              <w:bottom w:val="nil"/>
              <w:right w:val="nil"/>
            </w:tcBorders>
            <w:shd w:val="clear" w:color="000000" w:fill="FFFFFF"/>
            <w:noWrap/>
            <w:vAlign w:val="bottom"/>
            <w:hideMark/>
          </w:tcPr>
          <w:p w14:paraId="1D4BACF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7B36337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6961A35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726" w:type="dxa"/>
            <w:tcBorders>
              <w:top w:val="nil"/>
              <w:left w:val="nil"/>
              <w:bottom w:val="nil"/>
              <w:right w:val="nil"/>
            </w:tcBorders>
            <w:shd w:val="clear" w:color="000000" w:fill="FFFFFF"/>
            <w:noWrap/>
            <w:vAlign w:val="bottom"/>
            <w:hideMark/>
          </w:tcPr>
          <w:p w14:paraId="61C325B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168B3F7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770E8B7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w:t>
            </w:r>
          </w:p>
        </w:tc>
        <w:tc>
          <w:tcPr>
            <w:tcW w:w="556" w:type="dxa"/>
            <w:tcBorders>
              <w:top w:val="nil"/>
              <w:left w:val="nil"/>
              <w:bottom w:val="nil"/>
              <w:right w:val="nil"/>
            </w:tcBorders>
            <w:shd w:val="clear" w:color="000000" w:fill="FFFFFF"/>
            <w:noWrap/>
            <w:vAlign w:val="bottom"/>
            <w:hideMark/>
          </w:tcPr>
          <w:p w14:paraId="0409999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7F5620C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EC6FF0" w:rsidRPr="006D7A8C" w14:paraId="40234372" w14:textId="77777777" w:rsidTr="005F6858">
        <w:trPr>
          <w:trHeight w:val="300"/>
        </w:trPr>
        <w:tc>
          <w:tcPr>
            <w:tcW w:w="1860" w:type="dxa"/>
            <w:tcBorders>
              <w:top w:val="nil"/>
              <w:left w:val="nil"/>
              <w:bottom w:val="nil"/>
              <w:right w:val="single" w:sz="4" w:space="0" w:color="auto"/>
            </w:tcBorders>
            <w:shd w:val="clear" w:color="000000" w:fill="FFFFFF"/>
            <w:noWrap/>
            <w:vAlign w:val="bottom"/>
            <w:hideMark/>
          </w:tcPr>
          <w:p w14:paraId="408198DA"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Níquel</w:t>
            </w:r>
          </w:p>
        </w:tc>
        <w:tc>
          <w:tcPr>
            <w:tcW w:w="912" w:type="dxa"/>
            <w:tcBorders>
              <w:top w:val="nil"/>
              <w:left w:val="nil"/>
              <w:bottom w:val="nil"/>
              <w:right w:val="nil"/>
            </w:tcBorders>
            <w:shd w:val="clear" w:color="000000" w:fill="FFFFFF"/>
            <w:noWrap/>
            <w:vAlign w:val="bottom"/>
            <w:hideMark/>
          </w:tcPr>
          <w:p w14:paraId="46D1C80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c>
          <w:tcPr>
            <w:tcW w:w="726" w:type="dxa"/>
            <w:tcBorders>
              <w:top w:val="nil"/>
              <w:left w:val="nil"/>
              <w:bottom w:val="nil"/>
              <w:right w:val="nil"/>
            </w:tcBorders>
            <w:shd w:val="clear" w:color="000000" w:fill="FFFFFF"/>
            <w:noWrap/>
            <w:vAlign w:val="bottom"/>
            <w:hideMark/>
          </w:tcPr>
          <w:p w14:paraId="78F460E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52376BD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77" w:type="dxa"/>
            <w:tcBorders>
              <w:top w:val="nil"/>
              <w:left w:val="nil"/>
              <w:bottom w:val="nil"/>
              <w:right w:val="nil"/>
            </w:tcBorders>
            <w:shd w:val="clear" w:color="000000" w:fill="FFFFFF"/>
            <w:noWrap/>
            <w:vAlign w:val="bottom"/>
            <w:hideMark/>
          </w:tcPr>
          <w:p w14:paraId="3332029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619" w:type="dxa"/>
            <w:tcBorders>
              <w:top w:val="nil"/>
              <w:left w:val="nil"/>
              <w:bottom w:val="nil"/>
              <w:right w:val="nil"/>
            </w:tcBorders>
            <w:shd w:val="clear" w:color="000000" w:fill="FFFFFF"/>
            <w:noWrap/>
            <w:vAlign w:val="bottom"/>
            <w:hideMark/>
          </w:tcPr>
          <w:p w14:paraId="2099ED4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705" w:type="dxa"/>
            <w:tcBorders>
              <w:top w:val="nil"/>
              <w:left w:val="nil"/>
              <w:bottom w:val="nil"/>
              <w:right w:val="single" w:sz="4" w:space="0" w:color="auto"/>
            </w:tcBorders>
            <w:shd w:val="clear" w:color="000000" w:fill="FFFFFF"/>
            <w:noWrap/>
            <w:vAlign w:val="bottom"/>
            <w:hideMark/>
          </w:tcPr>
          <w:p w14:paraId="4C30FD9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2" w:type="dxa"/>
            <w:tcBorders>
              <w:top w:val="nil"/>
              <w:left w:val="nil"/>
              <w:bottom w:val="nil"/>
              <w:right w:val="nil"/>
            </w:tcBorders>
            <w:shd w:val="clear" w:color="000000" w:fill="FFFFFF"/>
            <w:noWrap/>
            <w:vAlign w:val="bottom"/>
            <w:hideMark/>
          </w:tcPr>
          <w:p w14:paraId="0E7D24D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726" w:type="dxa"/>
            <w:tcBorders>
              <w:top w:val="nil"/>
              <w:left w:val="nil"/>
              <w:bottom w:val="nil"/>
              <w:right w:val="nil"/>
            </w:tcBorders>
            <w:shd w:val="clear" w:color="000000" w:fill="FFFFFF"/>
            <w:noWrap/>
            <w:vAlign w:val="bottom"/>
            <w:hideMark/>
          </w:tcPr>
          <w:p w14:paraId="71FAC1D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nil"/>
              <w:right w:val="single" w:sz="4" w:space="0" w:color="auto"/>
            </w:tcBorders>
            <w:shd w:val="clear" w:color="000000" w:fill="FFFFFF"/>
            <w:noWrap/>
            <w:vAlign w:val="bottom"/>
            <w:hideMark/>
          </w:tcPr>
          <w:p w14:paraId="3BEB335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911" w:type="dxa"/>
            <w:tcBorders>
              <w:top w:val="nil"/>
              <w:left w:val="nil"/>
              <w:bottom w:val="nil"/>
              <w:right w:val="nil"/>
            </w:tcBorders>
            <w:shd w:val="clear" w:color="000000" w:fill="FFFFFF"/>
            <w:noWrap/>
            <w:vAlign w:val="bottom"/>
            <w:hideMark/>
          </w:tcPr>
          <w:p w14:paraId="491E641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w:t>
            </w:r>
          </w:p>
        </w:tc>
        <w:tc>
          <w:tcPr>
            <w:tcW w:w="556" w:type="dxa"/>
            <w:tcBorders>
              <w:top w:val="nil"/>
              <w:left w:val="nil"/>
              <w:bottom w:val="nil"/>
              <w:right w:val="nil"/>
            </w:tcBorders>
            <w:shd w:val="clear" w:color="000000" w:fill="FFFFFF"/>
            <w:noWrap/>
            <w:vAlign w:val="bottom"/>
            <w:hideMark/>
          </w:tcPr>
          <w:p w14:paraId="2DF33A2C"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633" w:type="dxa"/>
            <w:tcBorders>
              <w:top w:val="nil"/>
              <w:left w:val="nil"/>
              <w:bottom w:val="nil"/>
              <w:right w:val="nil"/>
            </w:tcBorders>
            <w:shd w:val="clear" w:color="000000" w:fill="FFFFFF"/>
            <w:noWrap/>
            <w:vAlign w:val="bottom"/>
            <w:hideMark/>
          </w:tcPr>
          <w:p w14:paraId="670B861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r>
      <w:tr w:rsidR="00EC6FF0" w:rsidRPr="006D7A8C" w14:paraId="2592A5B0" w14:textId="77777777" w:rsidTr="005F6858">
        <w:trPr>
          <w:trHeight w:val="300"/>
        </w:trPr>
        <w:tc>
          <w:tcPr>
            <w:tcW w:w="1860" w:type="dxa"/>
            <w:tcBorders>
              <w:top w:val="nil"/>
              <w:left w:val="nil"/>
              <w:bottom w:val="single" w:sz="4" w:space="0" w:color="auto"/>
              <w:right w:val="single" w:sz="4" w:space="0" w:color="auto"/>
            </w:tcBorders>
            <w:shd w:val="clear" w:color="000000" w:fill="FFFFFF"/>
            <w:noWrap/>
            <w:vAlign w:val="bottom"/>
            <w:hideMark/>
          </w:tcPr>
          <w:p w14:paraId="23DF3D44"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Ouro</w:t>
            </w:r>
          </w:p>
        </w:tc>
        <w:tc>
          <w:tcPr>
            <w:tcW w:w="912" w:type="dxa"/>
            <w:tcBorders>
              <w:top w:val="nil"/>
              <w:left w:val="nil"/>
              <w:bottom w:val="single" w:sz="4" w:space="0" w:color="auto"/>
              <w:right w:val="nil"/>
            </w:tcBorders>
            <w:shd w:val="clear" w:color="000000" w:fill="FFFFFF"/>
            <w:noWrap/>
            <w:vAlign w:val="bottom"/>
            <w:hideMark/>
          </w:tcPr>
          <w:p w14:paraId="463E0CC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c>
          <w:tcPr>
            <w:tcW w:w="726" w:type="dxa"/>
            <w:tcBorders>
              <w:top w:val="nil"/>
              <w:left w:val="nil"/>
              <w:bottom w:val="single" w:sz="4" w:space="0" w:color="auto"/>
              <w:right w:val="nil"/>
            </w:tcBorders>
            <w:shd w:val="clear" w:color="000000" w:fill="FFFFFF"/>
            <w:noWrap/>
            <w:vAlign w:val="bottom"/>
            <w:hideMark/>
          </w:tcPr>
          <w:p w14:paraId="557E100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single" w:sz="4" w:space="0" w:color="auto"/>
              <w:right w:val="single" w:sz="4" w:space="0" w:color="auto"/>
            </w:tcBorders>
            <w:shd w:val="clear" w:color="000000" w:fill="FFFFFF"/>
            <w:noWrap/>
            <w:vAlign w:val="bottom"/>
            <w:hideMark/>
          </w:tcPr>
          <w:p w14:paraId="6039CA8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777" w:type="dxa"/>
            <w:tcBorders>
              <w:top w:val="nil"/>
              <w:left w:val="nil"/>
              <w:bottom w:val="single" w:sz="4" w:space="0" w:color="auto"/>
              <w:right w:val="nil"/>
            </w:tcBorders>
            <w:shd w:val="clear" w:color="000000" w:fill="FFFFFF"/>
            <w:noWrap/>
            <w:vAlign w:val="bottom"/>
            <w:hideMark/>
          </w:tcPr>
          <w:p w14:paraId="241BDC7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619" w:type="dxa"/>
            <w:tcBorders>
              <w:top w:val="nil"/>
              <w:left w:val="nil"/>
              <w:bottom w:val="single" w:sz="4" w:space="0" w:color="auto"/>
              <w:right w:val="nil"/>
            </w:tcBorders>
            <w:shd w:val="clear" w:color="000000" w:fill="FFFFFF"/>
            <w:noWrap/>
            <w:vAlign w:val="bottom"/>
            <w:hideMark/>
          </w:tcPr>
          <w:p w14:paraId="5BE65E6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705" w:type="dxa"/>
            <w:tcBorders>
              <w:top w:val="nil"/>
              <w:left w:val="nil"/>
              <w:bottom w:val="single" w:sz="4" w:space="0" w:color="auto"/>
              <w:right w:val="single" w:sz="4" w:space="0" w:color="auto"/>
            </w:tcBorders>
            <w:shd w:val="clear" w:color="000000" w:fill="FFFFFF"/>
            <w:noWrap/>
            <w:vAlign w:val="bottom"/>
            <w:hideMark/>
          </w:tcPr>
          <w:p w14:paraId="2FC0A20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w:t>
            </w:r>
          </w:p>
        </w:tc>
        <w:tc>
          <w:tcPr>
            <w:tcW w:w="912" w:type="dxa"/>
            <w:tcBorders>
              <w:top w:val="nil"/>
              <w:left w:val="nil"/>
              <w:bottom w:val="single" w:sz="4" w:space="0" w:color="auto"/>
              <w:right w:val="nil"/>
            </w:tcBorders>
            <w:shd w:val="clear" w:color="000000" w:fill="FFFFFF"/>
            <w:noWrap/>
            <w:vAlign w:val="bottom"/>
            <w:hideMark/>
          </w:tcPr>
          <w:p w14:paraId="0C15F0F8"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9</w:t>
            </w:r>
          </w:p>
        </w:tc>
        <w:tc>
          <w:tcPr>
            <w:tcW w:w="726" w:type="dxa"/>
            <w:tcBorders>
              <w:top w:val="nil"/>
              <w:left w:val="nil"/>
              <w:bottom w:val="single" w:sz="4" w:space="0" w:color="auto"/>
              <w:right w:val="nil"/>
            </w:tcBorders>
            <w:shd w:val="clear" w:color="000000" w:fill="FFFFFF"/>
            <w:noWrap/>
            <w:vAlign w:val="bottom"/>
            <w:hideMark/>
          </w:tcPr>
          <w:p w14:paraId="40CA139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462" w:type="dxa"/>
            <w:tcBorders>
              <w:top w:val="nil"/>
              <w:left w:val="nil"/>
              <w:bottom w:val="single" w:sz="4" w:space="0" w:color="auto"/>
              <w:right w:val="single" w:sz="4" w:space="0" w:color="auto"/>
            </w:tcBorders>
            <w:shd w:val="clear" w:color="000000" w:fill="FFFFFF"/>
            <w:noWrap/>
            <w:vAlign w:val="bottom"/>
            <w:hideMark/>
          </w:tcPr>
          <w:p w14:paraId="235D615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c>
          <w:tcPr>
            <w:tcW w:w="911" w:type="dxa"/>
            <w:tcBorders>
              <w:top w:val="nil"/>
              <w:left w:val="nil"/>
              <w:bottom w:val="single" w:sz="4" w:space="0" w:color="auto"/>
              <w:right w:val="nil"/>
            </w:tcBorders>
            <w:shd w:val="clear" w:color="000000" w:fill="FFFFFF"/>
            <w:noWrap/>
            <w:vAlign w:val="bottom"/>
            <w:hideMark/>
          </w:tcPr>
          <w:p w14:paraId="506D15C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w:t>
            </w:r>
          </w:p>
        </w:tc>
        <w:tc>
          <w:tcPr>
            <w:tcW w:w="556" w:type="dxa"/>
            <w:tcBorders>
              <w:top w:val="nil"/>
              <w:left w:val="nil"/>
              <w:bottom w:val="single" w:sz="4" w:space="0" w:color="auto"/>
              <w:right w:val="nil"/>
            </w:tcBorders>
            <w:shd w:val="clear" w:color="000000" w:fill="FFFFFF"/>
            <w:noWrap/>
            <w:vAlign w:val="bottom"/>
            <w:hideMark/>
          </w:tcPr>
          <w:p w14:paraId="03E89FAD"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633" w:type="dxa"/>
            <w:tcBorders>
              <w:top w:val="nil"/>
              <w:left w:val="nil"/>
              <w:bottom w:val="single" w:sz="4" w:space="0" w:color="auto"/>
              <w:right w:val="nil"/>
            </w:tcBorders>
            <w:shd w:val="clear" w:color="000000" w:fill="FFFFFF"/>
            <w:noWrap/>
            <w:vAlign w:val="bottom"/>
            <w:hideMark/>
          </w:tcPr>
          <w:p w14:paraId="0E426E6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23</w:t>
            </w:r>
          </w:p>
        </w:tc>
      </w:tr>
    </w:tbl>
    <w:p w14:paraId="6AC2D632" w14:textId="77777777" w:rsidR="00EC6FF0" w:rsidRPr="00241E53" w:rsidRDefault="00EC6FF0" w:rsidP="0064723A">
      <w:pPr>
        <w:pStyle w:val="Aria"/>
        <w:spacing w:before="120" w:after="120"/>
        <w:ind w:left="-851"/>
        <w:jc w:val="both"/>
        <w:rPr>
          <w:sz w:val="22"/>
          <w:szCs w:val="22"/>
        </w:rPr>
      </w:pPr>
      <w:r w:rsidRPr="00241E53">
        <w:rPr>
          <w:b/>
          <w:sz w:val="22"/>
          <w:szCs w:val="22"/>
        </w:rPr>
        <w:t xml:space="preserve">Fonte: </w:t>
      </w:r>
      <w:r w:rsidRPr="00241E53">
        <w:rPr>
          <w:sz w:val="22"/>
          <w:szCs w:val="22"/>
        </w:rPr>
        <w:t>Anuário Mineral Brasileiro – principais substâncias metálicas (2016)</w:t>
      </w:r>
    </w:p>
    <w:p w14:paraId="283A9715" w14:textId="079561D6" w:rsidR="00EC6FF0" w:rsidRPr="006D7A8C" w:rsidRDefault="00EC6FF0" w:rsidP="0064723A">
      <w:pPr>
        <w:pStyle w:val="Aria"/>
        <w:spacing w:before="120" w:after="120"/>
        <w:jc w:val="both"/>
      </w:pPr>
    </w:p>
    <w:p w14:paraId="08D70AB0" w14:textId="2A6499C7" w:rsidR="005F6858" w:rsidRPr="006D7A8C" w:rsidRDefault="005F6858" w:rsidP="0064723A">
      <w:pPr>
        <w:pStyle w:val="Aria"/>
        <w:spacing w:before="120" w:after="120"/>
        <w:jc w:val="both"/>
      </w:pPr>
      <w:r w:rsidRPr="006D7A8C">
        <w:t>Quanto ao porte das usinas</w:t>
      </w:r>
      <w:r w:rsidR="00137942" w:rsidRPr="006D7A8C">
        <w:rPr>
          <w:rStyle w:val="Refdenotaderodap"/>
        </w:rPr>
        <w:footnoteReference w:id="5"/>
      </w:r>
      <w:r w:rsidRPr="006D7A8C">
        <w:t xml:space="preserve">, </w:t>
      </w:r>
      <w:r w:rsidR="00137942" w:rsidRPr="006D7A8C">
        <w:t>independentemente</w:t>
      </w:r>
      <w:r w:rsidRPr="006D7A8C">
        <w:t xml:space="preserve"> do grau de adensamento da cadeia produtiva, também é possível identificar a </w:t>
      </w:r>
      <w:r w:rsidR="00137942" w:rsidRPr="006D7A8C">
        <w:t>predominância</w:t>
      </w:r>
      <w:r w:rsidRPr="006D7A8C">
        <w:t xml:space="preserve"> de empresas de grande porte, sobretudo na produção de ferro. </w:t>
      </w:r>
      <w:r w:rsidR="00137942" w:rsidRPr="006D7A8C">
        <w:t>Neste segmento, verifica-se que 62% das usinas são de grand</w:t>
      </w:r>
      <w:r w:rsidR="00B96B14" w:rsidRPr="006D7A8C">
        <w:t>e porte e 30,1% de médio porte.</w:t>
      </w:r>
      <w:r w:rsidR="0010129F">
        <w:t xml:space="preserve"> A tabela abaixo apresenta os dados de </w:t>
      </w:r>
      <w:proofErr w:type="gramStart"/>
      <w:r w:rsidR="0010129F">
        <w:t>todos os minério</w:t>
      </w:r>
      <w:proofErr w:type="gramEnd"/>
      <w:r w:rsidR="0010129F">
        <w:t xml:space="preserve"> produzidos.</w:t>
      </w:r>
    </w:p>
    <w:p w14:paraId="2105E87F" w14:textId="77777777" w:rsidR="00E37DF6" w:rsidRDefault="00E37DF6" w:rsidP="0064723A">
      <w:pPr>
        <w:pStyle w:val="Legenda"/>
        <w:jc w:val="both"/>
        <w:rPr>
          <w:rFonts w:ascii="Times New Roman" w:hAnsi="Times New Roman" w:cs="Times New Roman"/>
          <w:b/>
          <w:i w:val="0"/>
          <w:color w:val="000000" w:themeColor="text1"/>
          <w:sz w:val="24"/>
          <w:szCs w:val="24"/>
        </w:rPr>
      </w:pPr>
      <w:bookmarkStart w:id="13" w:name="_Toc510210952"/>
    </w:p>
    <w:p w14:paraId="5B98E8D5" w14:textId="654EE01C" w:rsidR="00EC6FF0" w:rsidRPr="006D7A8C" w:rsidRDefault="00137942" w:rsidP="0064723A">
      <w:pPr>
        <w:pStyle w:val="Legenda"/>
        <w:jc w:val="both"/>
        <w:rPr>
          <w:rFonts w:ascii="Times New Roman" w:hAnsi="Times New Roman" w:cs="Times New Roman"/>
          <w:i w:val="0"/>
          <w:color w:val="000000" w:themeColor="text1"/>
          <w:sz w:val="24"/>
          <w:szCs w:val="24"/>
        </w:rPr>
      </w:pPr>
      <w:r w:rsidRPr="006D7A8C">
        <w:rPr>
          <w:rFonts w:ascii="Times New Roman" w:hAnsi="Times New Roman" w:cs="Times New Roman"/>
          <w:b/>
          <w:i w:val="0"/>
          <w:color w:val="000000" w:themeColor="text1"/>
          <w:sz w:val="24"/>
          <w:szCs w:val="24"/>
        </w:rPr>
        <w:t xml:space="preserve">Tabela </w:t>
      </w:r>
      <w:r w:rsidRPr="006D7A8C">
        <w:rPr>
          <w:rFonts w:ascii="Times New Roman" w:hAnsi="Times New Roman" w:cs="Times New Roman"/>
          <w:b/>
          <w:i w:val="0"/>
          <w:color w:val="000000" w:themeColor="text1"/>
          <w:sz w:val="24"/>
          <w:szCs w:val="24"/>
        </w:rPr>
        <w:fldChar w:fldCharType="begin"/>
      </w:r>
      <w:r w:rsidRPr="006D7A8C">
        <w:rPr>
          <w:rFonts w:ascii="Times New Roman" w:hAnsi="Times New Roman" w:cs="Times New Roman"/>
          <w:b/>
          <w:i w:val="0"/>
          <w:color w:val="000000" w:themeColor="text1"/>
          <w:sz w:val="24"/>
          <w:szCs w:val="24"/>
        </w:rPr>
        <w:instrText xml:space="preserve"> SEQ Tabela \* ARABIC </w:instrText>
      </w:r>
      <w:r w:rsidRPr="006D7A8C">
        <w:rPr>
          <w:rFonts w:ascii="Times New Roman" w:hAnsi="Times New Roman" w:cs="Times New Roman"/>
          <w:b/>
          <w:i w:val="0"/>
          <w:color w:val="000000" w:themeColor="text1"/>
          <w:sz w:val="24"/>
          <w:szCs w:val="24"/>
        </w:rPr>
        <w:fldChar w:fldCharType="separate"/>
      </w:r>
      <w:r w:rsidR="00F4491E" w:rsidRPr="006D7A8C">
        <w:rPr>
          <w:rFonts w:ascii="Times New Roman" w:hAnsi="Times New Roman" w:cs="Times New Roman"/>
          <w:b/>
          <w:i w:val="0"/>
          <w:noProof/>
          <w:color w:val="000000" w:themeColor="text1"/>
          <w:sz w:val="24"/>
          <w:szCs w:val="24"/>
        </w:rPr>
        <w:t>4</w:t>
      </w:r>
      <w:r w:rsidRPr="006D7A8C">
        <w:rPr>
          <w:rFonts w:ascii="Times New Roman" w:hAnsi="Times New Roman" w:cs="Times New Roman"/>
          <w:b/>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 Porte das Usinas</w:t>
      </w:r>
      <w:bookmarkEnd w:id="13"/>
    </w:p>
    <w:tbl>
      <w:tblPr>
        <w:tblW w:w="6054" w:type="dxa"/>
        <w:tblCellMar>
          <w:left w:w="70" w:type="dxa"/>
          <w:right w:w="70" w:type="dxa"/>
        </w:tblCellMar>
        <w:tblLook w:val="04A0" w:firstRow="1" w:lastRow="0" w:firstColumn="1" w:lastColumn="0" w:noHBand="0" w:noVBand="1"/>
      </w:tblPr>
      <w:tblGrid>
        <w:gridCol w:w="1880"/>
        <w:gridCol w:w="1020"/>
        <w:gridCol w:w="1020"/>
        <w:gridCol w:w="1114"/>
        <w:gridCol w:w="1020"/>
      </w:tblGrid>
      <w:tr w:rsidR="00EC6FF0" w:rsidRPr="006D7A8C" w14:paraId="171EA389" w14:textId="77777777" w:rsidTr="00B42EE0">
        <w:trPr>
          <w:trHeight w:val="300"/>
        </w:trPr>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14:paraId="04DCEE53"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Substâncias</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2AAFAA90"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Grande</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302F29EF"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Médias</w:t>
            </w:r>
          </w:p>
        </w:tc>
        <w:tc>
          <w:tcPr>
            <w:tcW w:w="1114" w:type="dxa"/>
            <w:tcBorders>
              <w:top w:val="single" w:sz="4" w:space="0" w:color="auto"/>
              <w:left w:val="nil"/>
              <w:bottom w:val="single" w:sz="4" w:space="0" w:color="auto"/>
              <w:right w:val="single" w:sz="4" w:space="0" w:color="auto"/>
            </w:tcBorders>
            <w:shd w:val="clear" w:color="000000" w:fill="FFFFFF"/>
            <w:noWrap/>
            <w:vAlign w:val="bottom"/>
            <w:hideMark/>
          </w:tcPr>
          <w:p w14:paraId="1C688494"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Pequenas</w:t>
            </w:r>
          </w:p>
        </w:tc>
        <w:tc>
          <w:tcPr>
            <w:tcW w:w="1020" w:type="dxa"/>
            <w:tcBorders>
              <w:top w:val="single" w:sz="4" w:space="0" w:color="auto"/>
              <w:left w:val="nil"/>
              <w:bottom w:val="single" w:sz="4" w:space="0" w:color="auto"/>
              <w:right w:val="nil"/>
            </w:tcBorders>
            <w:shd w:val="clear" w:color="000000" w:fill="FFFFFF"/>
            <w:noWrap/>
            <w:vAlign w:val="bottom"/>
            <w:hideMark/>
          </w:tcPr>
          <w:p w14:paraId="70B2D191" w14:textId="77777777" w:rsidR="00EC6FF0" w:rsidRPr="006D7A8C" w:rsidRDefault="00EC6FF0"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Total</w:t>
            </w:r>
          </w:p>
        </w:tc>
      </w:tr>
      <w:tr w:rsidR="00EC6FF0" w:rsidRPr="006D7A8C" w14:paraId="3FCFF72B"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0D747BFD"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Brasil</w:t>
            </w:r>
          </w:p>
        </w:tc>
        <w:tc>
          <w:tcPr>
            <w:tcW w:w="1020" w:type="dxa"/>
            <w:tcBorders>
              <w:top w:val="nil"/>
              <w:left w:val="nil"/>
              <w:bottom w:val="nil"/>
              <w:right w:val="single" w:sz="4" w:space="0" w:color="auto"/>
            </w:tcBorders>
            <w:shd w:val="clear" w:color="000000" w:fill="FFFFFF"/>
            <w:noWrap/>
            <w:vAlign w:val="bottom"/>
            <w:hideMark/>
          </w:tcPr>
          <w:p w14:paraId="48C55BB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44</w:t>
            </w:r>
          </w:p>
        </w:tc>
        <w:tc>
          <w:tcPr>
            <w:tcW w:w="1020" w:type="dxa"/>
            <w:tcBorders>
              <w:top w:val="nil"/>
              <w:left w:val="nil"/>
              <w:bottom w:val="nil"/>
              <w:right w:val="single" w:sz="4" w:space="0" w:color="auto"/>
            </w:tcBorders>
            <w:shd w:val="clear" w:color="000000" w:fill="FFFFFF"/>
            <w:noWrap/>
            <w:vAlign w:val="bottom"/>
            <w:hideMark/>
          </w:tcPr>
          <w:p w14:paraId="565D892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32</w:t>
            </w:r>
          </w:p>
        </w:tc>
        <w:tc>
          <w:tcPr>
            <w:tcW w:w="1114" w:type="dxa"/>
            <w:tcBorders>
              <w:top w:val="nil"/>
              <w:left w:val="nil"/>
              <w:bottom w:val="nil"/>
              <w:right w:val="single" w:sz="4" w:space="0" w:color="auto"/>
            </w:tcBorders>
            <w:shd w:val="clear" w:color="000000" w:fill="FFFFFF"/>
            <w:noWrap/>
            <w:vAlign w:val="bottom"/>
            <w:hideMark/>
          </w:tcPr>
          <w:p w14:paraId="5D62693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18</w:t>
            </w:r>
          </w:p>
        </w:tc>
        <w:tc>
          <w:tcPr>
            <w:tcW w:w="1020" w:type="dxa"/>
            <w:tcBorders>
              <w:top w:val="nil"/>
              <w:left w:val="nil"/>
              <w:bottom w:val="nil"/>
              <w:right w:val="nil"/>
            </w:tcBorders>
            <w:shd w:val="clear" w:color="000000" w:fill="FFFFFF"/>
            <w:noWrap/>
            <w:vAlign w:val="bottom"/>
            <w:hideMark/>
          </w:tcPr>
          <w:p w14:paraId="236A4B1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94</w:t>
            </w:r>
          </w:p>
        </w:tc>
      </w:tr>
      <w:tr w:rsidR="00EC6FF0" w:rsidRPr="006D7A8C" w14:paraId="00F7DEB5" w14:textId="77777777" w:rsidTr="00B42EE0">
        <w:trPr>
          <w:trHeight w:val="315"/>
        </w:trPr>
        <w:tc>
          <w:tcPr>
            <w:tcW w:w="1880" w:type="dxa"/>
            <w:tcBorders>
              <w:top w:val="nil"/>
              <w:left w:val="nil"/>
              <w:bottom w:val="nil"/>
              <w:right w:val="single" w:sz="4" w:space="0" w:color="auto"/>
            </w:tcBorders>
            <w:shd w:val="clear" w:color="000000" w:fill="FFFFFF"/>
            <w:noWrap/>
            <w:vAlign w:val="bottom"/>
            <w:hideMark/>
          </w:tcPr>
          <w:p w14:paraId="2849F47B"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Alumínio (Bauxita)</w:t>
            </w:r>
          </w:p>
        </w:tc>
        <w:tc>
          <w:tcPr>
            <w:tcW w:w="1020" w:type="dxa"/>
            <w:tcBorders>
              <w:top w:val="nil"/>
              <w:left w:val="nil"/>
              <w:bottom w:val="nil"/>
              <w:right w:val="single" w:sz="4" w:space="0" w:color="auto"/>
            </w:tcBorders>
            <w:shd w:val="clear" w:color="000000" w:fill="FFFFFF"/>
            <w:noWrap/>
            <w:vAlign w:val="bottom"/>
            <w:hideMark/>
          </w:tcPr>
          <w:p w14:paraId="3834CD9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1020" w:type="dxa"/>
            <w:tcBorders>
              <w:top w:val="nil"/>
              <w:left w:val="nil"/>
              <w:bottom w:val="nil"/>
              <w:right w:val="single" w:sz="4" w:space="0" w:color="auto"/>
            </w:tcBorders>
            <w:shd w:val="clear" w:color="000000" w:fill="FFFFFF"/>
            <w:noWrap/>
            <w:vAlign w:val="bottom"/>
            <w:hideMark/>
          </w:tcPr>
          <w:p w14:paraId="5CBF77C3"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c>
          <w:tcPr>
            <w:tcW w:w="1114" w:type="dxa"/>
            <w:tcBorders>
              <w:top w:val="nil"/>
              <w:left w:val="nil"/>
              <w:bottom w:val="nil"/>
              <w:right w:val="single" w:sz="4" w:space="0" w:color="auto"/>
            </w:tcBorders>
            <w:shd w:val="clear" w:color="000000" w:fill="FFFFFF"/>
            <w:noWrap/>
            <w:vAlign w:val="bottom"/>
            <w:hideMark/>
          </w:tcPr>
          <w:p w14:paraId="38625B3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1020" w:type="dxa"/>
            <w:tcBorders>
              <w:top w:val="nil"/>
              <w:left w:val="nil"/>
              <w:bottom w:val="nil"/>
              <w:right w:val="nil"/>
            </w:tcBorders>
            <w:shd w:val="clear" w:color="000000" w:fill="FFFFFF"/>
            <w:noWrap/>
            <w:vAlign w:val="bottom"/>
            <w:hideMark/>
          </w:tcPr>
          <w:p w14:paraId="3053267A"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11</w:t>
            </w:r>
          </w:p>
        </w:tc>
      </w:tr>
      <w:tr w:rsidR="00EC6FF0" w:rsidRPr="006D7A8C" w14:paraId="1B33B728" w14:textId="77777777" w:rsidTr="00B42EE0">
        <w:trPr>
          <w:trHeight w:val="315"/>
        </w:trPr>
        <w:tc>
          <w:tcPr>
            <w:tcW w:w="1880" w:type="dxa"/>
            <w:tcBorders>
              <w:top w:val="nil"/>
              <w:left w:val="nil"/>
              <w:bottom w:val="nil"/>
              <w:right w:val="single" w:sz="4" w:space="0" w:color="auto"/>
            </w:tcBorders>
            <w:shd w:val="clear" w:color="000000" w:fill="FFFFFF"/>
            <w:noWrap/>
            <w:vAlign w:val="bottom"/>
            <w:hideMark/>
          </w:tcPr>
          <w:p w14:paraId="402764B3"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Cobre</w:t>
            </w:r>
          </w:p>
        </w:tc>
        <w:tc>
          <w:tcPr>
            <w:tcW w:w="1020" w:type="dxa"/>
            <w:tcBorders>
              <w:top w:val="nil"/>
              <w:left w:val="nil"/>
              <w:bottom w:val="nil"/>
              <w:right w:val="single" w:sz="4" w:space="0" w:color="auto"/>
            </w:tcBorders>
            <w:shd w:val="clear" w:color="000000" w:fill="FFFFFF"/>
            <w:noWrap/>
            <w:vAlign w:val="bottom"/>
            <w:hideMark/>
          </w:tcPr>
          <w:p w14:paraId="424F018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020" w:type="dxa"/>
            <w:tcBorders>
              <w:top w:val="nil"/>
              <w:left w:val="nil"/>
              <w:bottom w:val="nil"/>
              <w:right w:val="single" w:sz="4" w:space="0" w:color="auto"/>
            </w:tcBorders>
            <w:shd w:val="clear" w:color="000000" w:fill="FFFFFF"/>
            <w:noWrap/>
            <w:vAlign w:val="bottom"/>
            <w:hideMark/>
          </w:tcPr>
          <w:p w14:paraId="6BFB009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1114" w:type="dxa"/>
            <w:tcBorders>
              <w:top w:val="nil"/>
              <w:left w:val="nil"/>
              <w:bottom w:val="nil"/>
              <w:right w:val="single" w:sz="4" w:space="0" w:color="auto"/>
            </w:tcBorders>
            <w:shd w:val="clear" w:color="000000" w:fill="FFFFFF"/>
            <w:noWrap/>
            <w:vAlign w:val="bottom"/>
            <w:hideMark/>
          </w:tcPr>
          <w:p w14:paraId="1753A66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020" w:type="dxa"/>
            <w:tcBorders>
              <w:top w:val="nil"/>
              <w:left w:val="nil"/>
              <w:bottom w:val="nil"/>
              <w:right w:val="nil"/>
            </w:tcBorders>
            <w:shd w:val="clear" w:color="000000" w:fill="FFFFFF"/>
            <w:noWrap/>
            <w:vAlign w:val="bottom"/>
            <w:hideMark/>
          </w:tcPr>
          <w:p w14:paraId="7F23CB1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r>
      <w:tr w:rsidR="00EC6FF0" w:rsidRPr="006D7A8C" w14:paraId="6DB4E86B"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2A06462F"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Estanho</w:t>
            </w:r>
          </w:p>
        </w:tc>
        <w:tc>
          <w:tcPr>
            <w:tcW w:w="1020" w:type="dxa"/>
            <w:tcBorders>
              <w:top w:val="nil"/>
              <w:left w:val="nil"/>
              <w:bottom w:val="nil"/>
              <w:right w:val="single" w:sz="4" w:space="0" w:color="auto"/>
            </w:tcBorders>
            <w:shd w:val="clear" w:color="000000" w:fill="FFFFFF"/>
            <w:noWrap/>
            <w:vAlign w:val="bottom"/>
            <w:hideMark/>
          </w:tcPr>
          <w:p w14:paraId="4DBF4BF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020" w:type="dxa"/>
            <w:tcBorders>
              <w:top w:val="nil"/>
              <w:left w:val="nil"/>
              <w:bottom w:val="nil"/>
              <w:right w:val="single" w:sz="4" w:space="0" w:color="auto"/>
            </w:tcBorders>
            <w:shd w:val="clear" w:color="000000" w:fill="FFFFFF"/>
            <w:noWrap/>
            <w:vAlign w:val="bottom"/>
            <w:hideMark/>
          </w:tcPr>
          <w:p w14:paraId="3ED158B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114" w:type="dxa"/>
            <w:tcBorders>
              <w:top w:val="nil"/>
              <w:left w:val="nil"/>
              <w:bottom w:val="nil"/>
              <w:right w:val="single" w:sz="4" w:space="0" w:color="auto"/>
            </w:tcBorders>
            <w:shd w:val="clear" w:color="000000" w:fill="FFFFFF"/>
            <w:noWrap/>
            <w:vAlign w:val="bottom"/>
            <w:hideMark/>
          </w:tcPr>
          <w:p w14:paraId="0044F0C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020" w:type="dxa"/>
            <w:tcBorders>
              <w:top w:val="nil"/>
              <w:left w:val="nil"/>
              <w:bottom w:val="nil"/>
              <w:right w:val="nil"/>
            </w:tcBorders>
            <w:shd w:val="clear" w:color="000000" w:fill="FFFFFF"/>
            <w:noWrap/>
            <w:vAlign w:val="bottom"/>
            <w:hideMark/>
          </w:tcPr>
          <w:p w14:paraId="6FD5875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r>
      <w:tr w:rsidR="00EC6FF0" w:rsidRPr="006D7A8C" w14:paraId="726C1ACB"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50454FB9"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Ferro</w:t>
            </w:r>
          </w:p>
        </w:tc>
        <w:tc>
          <w:tcPr>
            <w:tcW w:w="1020" w:type="dxa"/>
            <w:tcBorders>
              <w:top w:val="nil"/>
              <w:left w:val="nil"/>
              <w:bottom w:val="nil"/>
              <w:right w:val="single" w:sz="4" w:space="0" w:color="auto"/>
            </w:tcBorders>
            <w:shd w:val="clear" w:color="000000" w:fill="FFFFFF"/>
            <w:noWrap/>
            <w:vAlign w:val="bottom"/>
            <w:hideMark/>
          </w:tcPr>
          <w:p w14:paraId="0E1059F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39</w:t>
            </w:r>
          </w:p>
        </w:tc>
        <w:tc>
          <w:tcPr>
            <w:tcW w:w="1020" w:type="dxa"/>
            <w:tcBorders>
              <w:top w:val="nil"/>
              <w:left w:val="nil"/>
              <w:bottom w:val="nil"/>
              <w:right w:val="single" w:sz="4" w:space="0" w:color="auto"/>
            </w:tcBorders>
            <w:shd w:val="clear" w:color="000000" w:fill="FFFFFF"/>
            <w:noWrap/>
            <w:vAlign w:val="bottom"/>
            <w:hideMark/>
          </w:tcPr>
          <w:p w14:paraId="2458A9A2"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19</w:t>
            </w:r>
          </w:p>
        </w:tc>
        <w:tc>
          <w:tcPr>
            <w:tcW w:w="1114" w:type="dxa"/>
            <w:tcBorders>
              <w:top w:val="nil"/>
              <w:left w:val="nil"/>
              <w:bottom w:val="nil"/>
              <w:right w:val="single" w:sz="4" w:space="0" w:color="auto"/>
            </w:tcBorders>
            <w:shd w:val="clear" w:color="000000" w:fill="FFFFFF"/>
            <w:noWrap/>
            <w:vAlign w:val="bottom"/>
            <w:hideMark/>
          </w:tcPr>
          <w:p w14:paraId="78706F35"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c>
          <w:tcPr>
            <w:tcW w:w="1020" w:type="dxa"/>
            <w:tcBorders>
              <w:top w:val="nil"/>
              <w:left w:val="nil"/>
              <w:bottom w:val="nil"/>
              <w:right w:val="nil"/>
            </w:tcBorders>
            <w:shd w:val="clear" w:color="000000" w:fill="FFFFFF"/>
            <w:noWrap/>
            <w:vAlign w:val="bottom"/>
            <w:hideMark/>
          </w:tcPr>
          <w:p w14:paraId="0C674FC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63</w:t>
            </w:r>
          </w:p>
        </w:tc>
      </w:tr>
      <w:tr w:rsidR="00EC6FF0" w:rsidRPr="006D7A8C" w14:paraId="5A42C817"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384CE2F8"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Manganês</w:t>
            </w:r>
          </w:p>
        </w:tc>
        <w:tc>
          <w:tcPr>
            <w:tcW w:w="1020" w:type="dxa"/>
            <w:tcBorders>
              <w:top w:val="nil"/>
              <w:left w:val="nil"/>
              <w:bottom w:val="nil"/>
              <w:right w:val="single" w:sz="4" w:space="0" w:color="auto"/>
            </w:tcBorders>
            <w:shd w:val="clear" w:color="000000" w:fill="FFFFFF"/>
            <w:noWrap/>
            <w:vAlign w:val="bottom"/>
            <w:hideMark/>
          </w:tcPr>
          <w:p w14:paraId="78AC1C6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020" w:type="dxa"/>
            <w:tcBorders>
              <w:top w:val="nil"/>
              <w:left w:val="nil"/>
              <w:bottom w:val="nil"/>
              <w:right w:val="single" w:sz="4" w:space="0" w:color="auto"/>
            </w:tcBorders>
            <w:shd w:val="clear" w:color="000000" w:fill="FFFFFF"/>
            <w:noWrap/>
            <w:vAlign w:val="bottom"/>
            <w:hideMark/>
          </w:tcPr>
          <w:p w14:paraId="7DCBAE1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c>
          <w:tcPr>
            <w:tcW w:w="1114" w:type="dxa"/>
            <w:tcBorders>
              <w:top w:val="nil"/>
              <w:left w:val="nil"/>
              <w:bottom w:val="nil"/>
              <w:right w:val="single" w:sz="4" w:space="0" w:color="auto"/>
            </w:tcBorders>
            <w:shd w:val="clear" w:color="000000" w:fill="FFFFFF"/>
            <w:noWrap/>
            <w:vAlign w:val="bottom"/>
            <w:hideMark/>
          </w:tcPr>
          <w:p w14:paraId="09E23AD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w:t>
            </w:r>
          </w:p>
        </w:tc>
        <w:tc>
          <w:tcPr>
            <w:tcW w:w="1020" w:type="dxa"/>
            <w:tcBorders>
              <w:top w:val="nil"/>
              <w:left w:val="nil"/>
              <w:bottom w:val="nil"/>
              <w:right w:val="nil"/>
            </w:tcBorders>
            <w:shd w:val="clear" w:color="000000" w:fill="FFFFFF"/>
            <w:noWrap/>
            <w:vAlign w:val="bottom"/>
            <w:hideMark/>
          </w:tcPr>
          <w:p w14:paraId="46F9050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w:t>
            </w:r>
          </w:p>
        </w:tc>
      </w:tr>
      <w:tr w:rsidR="00EC6FF0" w:rsidRPr="006D7A8C" w14:paraId="4653F342"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4F02FF6F"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Nióbio</w:t>
            </w:r>
          </w:p>
        </w:tc>
        <w:tc>
          <w:tcPr>
            <w:tcW w:w="1020" w:type="dxa"/>
            <w:tcBorders>
              <w:top w:val="nil"/>
              <w:left w:val="nil"/>
              <w:bottom w:val="nil"/>
              <w:right w:val="single" w:sz="4" w:space="0" w:color="auto"/>
            </w:tcBorders>
            <w:shd w:val="clear" w:color="000000" w:fill="FFFFFF"/>
            <w:noWrap/>
            <w:vAlign w:val="bottom"/>
            <w:hideMark/>
          </w:tcPr>
          <w:p w14:paraId="410E2070"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020" w:type="dxa"/>
            <w:tcBorders>
              <w:top w:val="nil"/>
              <w:left w:val="nil"/>
              <w:bottom w:val="nil"/>
              <w:right w:val="single" w:sz="4" w:space="0" w:color="auto"/>
            </w:tcBorders>
            <w:shd w:val="clear" w:color="000000" w:fill="FFFFFF"/>
            <w:noWrap/>
            <w:vAlign w:val="bottom"/>
            <w:hideMark/>
          </w:tcPr>
          <w:p w14:paraId="55FF3DB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114" w:type="dxa"/>
            <w:tcBorders>
              <w:top w:val="nil"/>
              <w:left w:val="nil"/>
              <w:bottom w:val="nil"/>
              <w:right w:val="single" w:sz="4" w:space="0" w:color="auto"/>
            </w:tcBorders>
            <w:shd w:val="clear" w:color="000000" w:fill="FFFFFF"/>
            <w:noWrap/>
            <w:vAlign w:val="bottom"/>
            <w:hideMark/>
          </w:tcPr>
          <w:p w14:paraId="3BF00EF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020" w:type="dxa"/>
            <w:tcBorders>
              <w:top w:val="nil"/>
              <w:left w:val="nil"/>
              <w:bottom w:val="nil"/>
              <w:right w:val="nil"/>
            </w:tcBorders>
            <w:shd w:val="clear" w:color="000000" w:fill="FFFFFF"/>
            <w:noWrap/>
            <w:vAlign w:val="bottom"/>
            <w:hideMark/>
          </w:tcPr>
          <w:p w14:paraId="037BFAD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r>
      <w:tr w:rsidR="00EC6FF0" w:rsidRPr="006D7A8C" w14:paraId="145BDA2C" w14:textId="77777777" w:rsidTr="00B42EE0">
        <w:trPr>
          <w:trHeight w:val="300"/>
        </w:trPr>
        <w:tc>
          <w:tcPr>
            <w:tcW w:w="1880" w:type="dxa"/>
            <w:tcBorders>
              <w:top w:val="nil"/>
              <w:left w:val="nil"/>
              <w:bottom w:val="nil"/>
              <w:right w:val="single" w:sz="4" w:space="0" w:color="auto"/>
            </w:tcBorders>
            <w:shd w:val="clear" w:color="000000" w:fill="FFFFFF"/>
            <w:noWrap/>
            <w:vAlign w:val="bottom"/>
            <w:hideMark/>
          </w:tcPr>
          <w:p w14:paraId="1DA8184D"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Níquel</w:t>
            </w:r>
          </w:p>
        </w:tc>
        <w:tc>
          <w:tcPr>
            <w:tcW w:w="1020" w:type="dxa"/>
            <w:tcBorders>
              <w:top w:val="nil"/>
              <w:left w:val="nil"/>
              <w:bottom w:val="nil"/>
              <w:right w:val="single" w:sz="4" w:space="0" w:color="auto"/>
            </w:tcBorders>
            <w:shd w:val="clear" w:color="000000" w:fill="FFFFFF"/>
            <w:noWrap/>
            <w:vAlign w:val="bottom"/>
            <w:hideMark/>
          </w:tcPr>
          <w:p w14:paraId="54B8F5F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020" w:type="dxa"/>
            <w:tcBorders>
              <w:top w:val="nil"/>
              <w:left w:val="nil"/>
              <w:bottom w:val="nil"/>
              <w:right w:val="single" w:sz="4" w:space="0" w:color="auto"/>
            </w:tcBorders>
            <w:shd w:val="clear" w:color="000000" w:fill="FFFFFF"/>
            <w:noWrap/>
            <w:vAlign w:val="bottom"/>
            <w:hideMark/>
          </w:tcPr>
          <w:p w14:paraId="56C12D8B"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114" w:type="dxa"/>
            <w:tcBorders>
              <w:top w:val="nil"/>
              <w:left w:val="nil"/>
              <w:bottom w:val="nil"/>
              <w:right w:val="single" w:sz="4" w:space="0" w:color="auto"/>
            </w:tcBorders>
            <w:shd w:val="clear" w:color="000000" w:fill="FFFFFF"/>
            <w:noWrap/>
            <w:vAlign w:val="bottom"/>
            <w:hideMark/>
          </w:tcPr>
          <w:p w14:paraId="4BFD1067"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w:t>
            </w:r>
          </w:p>
        </w:tc>
        <w:tc>
          <w:tcPr>
            <w:tcW w:w="1020" w:type="dxa"/>
            <w:tcBorders>
              <w:top w:val="nil"/>
              <w:left w:val="nil"/>
              <w:bottom w:val="nil"/>
              <w:right w:val="nil"/>
            </w:tcBorders>
            <w:shd w:val="clear" w:color="000000" w:fill="FFFFFF"/>
            <w:noWrap/>
            <w:vAlign w:val="bottom"/>
            <w:hideMark/>
          </w:tcPr>
          <w:p w14:paraId="466B1044"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5</w:t>
            </w:r>
          </w:p>
        </w:tc>
      </w:tr>
      <w:tr w:rsidR="00EC6FF0" w:rsidRPr="006D7A8C" w14:paraId="312B8F0C" w14:textId="77777777" w:rsidTr="00B42EE0">
        <w:trPr>
          <w:trHeight w:val="300"/>
        </w:trPr>
        <w:tc>
          <w:tcPr>
            <w:tcW w:w="1880" w:type="dxa"/>
            <w:tcBorders>
              <w:top w:val="nil"/>
              <w:left w:val="nil"/>
              <w:bottom w:val="single" w:sz="4" w:space="0" w:color="auto"/>
              <w:right w:val="single" w:sz="4" w:space="0" w:color="auto"/>
            </w:tcBorders>
            <w:shd w:val="clear" w:color="000000" w:fill="FFFFFF"/>
            <w:noWrap/>
            <w:vAlign w:val="bottom"/>
            <w:hideMark/>
          </w:tcPr>
          <w:p w14:paraId="22CD78D1" w14:textId="77777777" w:rsidR="00EC6FF0" w:rsidRPr="006D7A8C" w:rsidRDefault="00EC6FF0" w:rsidP="0064723A">
            <w:pPr>
              <w:spacing w:after="0" w:line="240" w:lineRule="auto"/>
              <w:ind w:left="213"/>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Ouro</w:t>
            </w:r>
          </w:p>
        </w:tc>
        <w:tc>
          <w:tcPr>
            <w:tcW w:w="1020" w:type="dxa"/>
            <w:tcBorders>
              <w:top w:val="nil"/>
              <w:left w:val="nil"/>
              <w:bottom w:val="single" w:sz="4" w:space="0" w:color="auto"/>
              <w:right w:val="single" w:sz="4" w:space="0" w:color="auto"/>
            </w:tcBorders>
            <w:shd w:val="clear" w:color="000000" w:fill="FFFFFF"/>
            <w:noWrap/>
            <w:vAlign w:val="bottom"/>
            <w:hideMark/>
          </w:tcPr>
          <w:p w14:paraId="3FA0B18F"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w:t>
            </w:r>
          </w:p>
        </w:tc>
        <w:tc>
          <w:tcPr>
            <w:tcW w:w="1020" w:type="dxa"/>
            <w:tcBorders>
              <w:top w:val="nil"/>
              <w:left w:val="nil"/>
              <w:bottom w:val="single" w:sz="4" w:space="0" w:color="auto"/>
              <w:right w:val="single" w:sz="4" w:space="0" w:color="auto"/>
            </w:tcBorders>
            <w:shd w:val="clear" w:color="000000" w:fill="FFFFFF"/>
            <w:noWrap/>
            <w:vAlign w:val="bottom"/>
            <w:hideMark/>
          </w:tcPr>
          <w:p w14:paraId="12C8874E"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114" w:type="dxa"/>
            <w:tcBorders>
              <w:top w:val="nil"/>
              <w:left w:val="nil"/>
              <w:bottom w:val="single" w:sz="4" w:space="0" w:color="auto"/>
              <w:right w:val="single" w:sz="4" w:space="0" w:color="auto"/>
            </w:tcBorders>
            <w:shd w:val="clear" w:color="000000" w:fill="FFFFFF"/>
            <w:noWrap/>
            <w:vAlign w:val="bottom"/>
            <w:hideMark/>
          </w:tcPr>
          <w:p w14:paraId="31FB7256"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w:t>
            </w:r>
          </w:p>
        </w:tc>
        <w:tc>
          <w:tcPr>
            <w:tcW w:w="1020" w:type="dxa"/>
            <w:tcBorders>
              <w:top w:val="nil"/>
              <w:left w:val="nil"/>
              <w:bottom w:val="single" w:sz="4" w:space="0" w:color="auto"/>
              <w:right w:val="nil"/>
            </w:tcBorders>
            <w:shd w:val="clear" w:color="000000" w:fill="FFFFFF"/>
            <w:noWrap/>
            <w:vAlign w:val="bottom"/>
            <w:hideMark/>
          </w:tcPr>
          <w:p w14:paraId="165E0D29" w14:textId="77777777" w:rsidR="00EC6FF0" w:rsidRPr="006D7A8C" w:rsidRDefault="00EC6FF0"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w:t>
            </w:r>
          </w:p>
        </w:tc>
      </w:tr>
    </w:tbl>
    <w:p w14:paraId="1B936464" w14:textId="77777777" w:rsidR="00EC6FF0" w:rsidRPr="00241E53" w:rsidRDefault="00EC6FF0" w:rsidP="0064723A">
      <w:pPr>
        <w:pStyle w:val="Aria"/>
        <w:spacing w:before="120" w:after="120"/>
        <w:jc w:val="both"/>
        <w:rPr>
          <w:sz w:val="22"/>
          <w:szCs w:val="22"/>
        </w:rPr>
      </w:pPr>
      <w:r w:rsidRPr="00241E53">
        <w:rPr>
          <w:b/>
          <w:sz w:val="22"/>
          <w:szCs w:val="22"/>
        </w:rPr>
        <w:t xml:space="preserve">Fonte: </w:t>
      </w:r>
      <w:r w:rsidRPr="00241E53">
        <w:rPr>
          <w:sz w:val="22"/>
          <w:szCs w:val="22"/>
        </w:rPr>
        <w:t>Anuário Mineral Brasileiro – principais substâncias metálicas (2016)</w:t>
      </w:r>
    </w:p>
    <w:p w14:paraId="4DF71953" w14:textId="77777777" w:rsidR="00EC6FF0" w:rsidRPr="006D7A8C" w:rsidRDefault="00EC6FF0" w:rsidP="0064723A">
      <w:pPr>
        <w:pStyle w:val="Aria"/>
        <w:spacing w:before="120" w:after="120"/>
        <w:jc w:val="both"/>
      </w:pPr>
    </w:p>
    <w:p w14:paraId="20BFFEA9" w14:textId="43931E87" w:rsidR="0080716C" w:rsidRPr="006D7A8C" w:rsidRDefault="00B96B14" w:rsidP="0064723A">
      <w:pPr>
        <w:pStyle w:val="Aria"/>
        <w:spacing w:before="120" w:after="120"/>
        <w:jc w:val="both"/>
      </w:pPr>
      <w:r w:rsidRPr="006D7A8C">
        <w:t>Dentre outros</w:t>
      </w:r>
      <w:r w:rsidR="0064739B" w:rsidRPr="006D7A8C">
        <w:t xml:space="preserve"> elementos que compõem </w:t>
      </w:r>
      <w:r w:rsidR="00CE23FC" w:rsidRPr="006D7A8C">
        <w:t>as barreiras à entrada</w:t>
      </w:r>
      <w:r w:rsidR="0010129F">
        <w:t>, e que não foram apresentadas anteriormente,</w:t>
      </w:r>
      <w:r w:rsidR="00CE23FC" w:rsidRPr="006D7A8C">
        <w:t xml:space="preserve"> destaca</w:t>
      </w:r>
      <w:r w:rsidR="0064739B" w:rsidRPr="006D7A8C">
        <w:t xml:space="preserve">-se o conjunto de obrigações impostas pelas políticas regulatórias do setor, </w:t>
      </w:r>
      <w:r w:rsidR="00783AC1" w:rsidRPr="006D7A8C">
        <w:t xml:space="preserve">sobretudo </w:t>
      </w:r>
      <w:r w:rsidR="0010129F">
        <w:t xml:space="preserve">a </w:t>
      </w:r>
      <w:r w:rsidR="00783AC1" w:rsidRPr="006D7A8C">
        <w:t xml:space="preserve">ambiental, </w:t>
      </w:r>
      <w:r w:rsidR="0064739B" w:rsidRPr="006D7A8C">
        <w:t xml:space="preserve">que impõem uma série de exigências </w:t>
      </w:r>
      <w:r w:rsidR="00CE23FC" w:rsidRPr="006D7A8C">
        <w:t>que não permite</w:t>
      </w:r>
      <w:r w:rsidR="00DA233C" w:rsidRPr="006D7A8C">
        <w:t>m</w:t>
      </w:r>
      <w:r w:rsidR="00CE23FC" w:rsidRPr="006D7A8C">
        <w:t xml:space="preserve"> a exploração mineral sem a devida autorização do Estado. O principal órgão regulador dessa atividade mineral no país, o</w:t>
      </w:r>
      <w:r w:rsidR="00911B6C" w:rsidRPr="006D7A8C">
        <w:t xml:space="preserve"> Departamento Nacional de Produção Mineral</w:t>
      </w:r>
      <w:r w:rsidR="00CE23FC" w:rsidRPr="006D7A8C">
        <w:t xml:space="preserve"> (</w:t>
      </w:r>
      <w:r w:rsidR="00911B6C" w:rsidRPr="006D7A8C">
        <w:t>DNPM</w:t>
      </w:r>
      <w:r w:rsidR="00CE23FC" w:rsidRPr="006D7A8C">
        <w:t>) é responsável por esse regramento</w:t>
      </w:r>
      <w:r w:rsidRPr="006D7A8C">
        <w:rPr>
          <w:rStyle w:val="Refdenotaderodap"/>
        </w:rPr>
        <w:footnoteReference w:id="6"/>
      </w:r>
      <w:r w:rsidR="00CE23FC" w:rsidRPr="006D7A8C">
        <w:t xml:space="preserve">. </w:t>
      </w:r>
    </w:p>
    <w:p w14:paraId="1D28A06C" w14:textId="0A3759A3" w:rsidR="00346442" w:rsidRPr="006D7A8C" w:rsidRDefault="00CE23FC" w:rsidP="0064723A">
      <w:pPr>
        <w:pStyle w:val="Aria"/>
        <w:spacing w:before="120" w:after="120"/>
        <w:jc w:val="both"/>
      </w:pPr>
      <w:r w:rsidRPr="006D7A8C">
        <w:t xml:space="preserve">A autorização para exploração mineral </w:t>
      </w:r>
      <w:r w:rsidR="00DA233C" w:rsidRPr="006D7A8C">
        <w:t xml:space="preserve">compõe o que aqui se denominará de barreiras institucionais, cujo objetivo é a concessão de um título que permite o aproveitamento do </w:t>
      </w:r>
      <w:r w:rsidR="00DA233C" w:rsidRPr="006D7A8C">
        <w:lastRenderedPageBreak/>
        <w:t>recurso mineral.</w:t>
      </w:r>
      <w:r w:rsidR="00DA233C" w:rsidRPr="006D7A8C">
        <w:rPr>
          <w:rStyle w:val="Refdenotaderodap"/>
        </w:rPr>
        <w:footnoteReference w:id="7"/>
      </w:r>
      <w:r w:rsidR="00771446" w:rsidRPr="006D7A8C">
        <w:t xml:space="preserve"> Ressaltando que a atuação do DNPM deve levar em consideração o interesse do setor mineral sem desconsiderar as questões de ordem social e ambiental.</w:t>
      </w:r>
    </w:p>
    <w:p w14:paraId="510C4B5E" w14:textId="235C0B42" w:rsidR="00346442" w:rsidRPr="006D7A8C" w:rsidRDefault="00DA233C" w:rsidP="0064723A">
      <w:pPr>
        <w:pStyle w:val="Aria"/>
        <w:spacing w:before="120" w:after="120"/>
        <w:jc w:val="both"/>
      </w:pPr>
      <w:r w:rsidRPr="006D7A8C">
        <w:t xml:space="preserve">Considera-se que tais barreiras podem compor diversos problemas quanto à entrada de </w:t>
      </w:r>
      <w:r w:rsidR="00783AC1" w:rsidRPr="006D7A8C">
        <w:t xml:space="preserve">novos </w:t>
      </w:r>
      <w:r w:rsidRPr="006D7A8C">
        <w:rPr>
          <w:i/>
        </w:rPr>
        <w:t>players</w:t>
      </w:r>
      <w:r w:rsidRPr="006D7A8C">
        <w:t xml:space="preserve"> no setor, sendo que essas estão </w:t>
      </w:r>
      <w:r w:rsidR="00CE23FC" w:rsidRPr="006D7A8C">
        <w:t>vinculada</w:t>
      </w:r>
      <w:r w:rsidRPr="006D7A8C">
        <w:t>s</w:t>
      </w:r>
      <w:r w:rsidR="00CE23FC" w:rsidRPr="006D7A8C">
        <w:t xml:space="preserve"> à quatro </w:t>
      </w:r>
      <w:r w:rsidR="0064739B" w:rsidRPr="006D7A8C">
        <w:t>Regimes</w:t>
      </w:r>
      <w:r w:rsidRPr="006D7A8C">
        <w:t xml:space="preserve"> determinados pelo Código de Mineração, são eles</w:t>
      </w:r>
      <w:r w:rsidR="00CE23FC" w:rsidRPr="006D7A8C">
        <w:t xml:space="preserve">:  </w:t>
      </w:r>
      <w:r w:rsidRPr="006D7A8C">
        <w:rPr>
          <w:i/>
        </w:rPr>
        <w:t>i</w:t>
      </w:r>
      <w:r w:rsidRPr="006D7A8C">
        <w:t xml:space="preserve">) </w:t>
      </w:r>
      <w:r w:rsidR="00CE23FC" w:rsidRPr="006D7A8C">
        <w:t xml:space="preserve">Autorização de Pesquisa; </w:t>
      </w:r>
      <w:proofErr w:type="spellStart"/>
      <w:r w:rsidRPr="006D7A8C">
        <w:rPr>
          <w:i/>
        </w:rPr>
        <w:t>ii</w:t>
      </w:r>
      <w:proofErr w:type="spellEnd"/>
      <w:r w:rsidRPr="006D7A8C">
        <w:t xml:space="preserve">) </w:t>
      </w:r>
      <w:r w:rsidR="00CE23FC" w:rsidRPr="006D7A8C">
        <w:t xml:space="preserve">Licença; </w:t>
      </w:r>
      <w:proofErr w:type="spellStart"/>
      <w:r w:rsidRPr="006D7A8C">
        <w:rPr>
          <w:i/>
        </w:rPr>
        <w:t>iii</w:t>
      </w:r>
      <w:proofErr w:type="spellEnd"/>
      <w:r w:rsidRPr="006D7A8C">
        <w:t xml:space="preserve">) </w:t>
      </w:r>
      <w:r w:rsidR="00CE23FC" w:rsidRPr="006D7A8C">
        <w:t xml:space="preserve">Permissão de Lavra Garimpeira; e, </w:t>
      </w:r>
      <w:proofErr w:type="spellStart"/>
      <w:r w:rsidRPr="006D7A8C">
        <w:rPr>
          <w:i/>
        </w:rPr>
        <w:t>iv</w:t>
      </w:r>
      <w:proofErr w:type="spellEnd"/>
      <w:r w:rsidRPr="006D7A8C">
        <w:t xml:space="preserve">) </w:t>
      </w:r>
      <w:r w:rsidR="00CE23FC" w:rsidRPr="006D7A8C">
        <w:t>Extração</w:t>
      </w:r>
      <w:r w:rsidR="00346442" w:rsidRPr="006D7A8C">
        <w:rPr>
          <w:rStyle w:val="Refdenotaderodap"/>
        </w:rPr>
        <w:footnoteReference w:id="8"/>
      </w:r>
    </w:p>
    <w:p w14:paraId="32B3FB8A" w14:textId="2E30B982" w:rsidR="00AF0AB8" w:rsidRPr="006D7A8C" w:rsidRDefault="00AF0AB8" w:rsidP="0064723A">
      <w:pPr>
        <w:pStyle w:val="Aria"/>
        <w:spacing w:before="120" w:after="120"/>
        <w:jc w:val="both"/>
      </w:pPr>
      <w:r w:rsidRPr="006D7A8C">
        <w:t xml:space="preserve">O licenciamento é um regime </w:t>
      </w:r>
      <w:r w:rsidR="00DA233C" w:rsidRPr="006D7A8C">
        <w:t xml:space="preserve">que permite o </w:t>
      </w:r>
      <w:r w:rsidRPr="006D7A8C">
        <w:t xml:space="preserve">aproveitamento </w:t>
      </w:r>
      <w:r w:rsidR="00DA233C" w:rsidRPr="006D7A8C">
        <w:t xml:space="preserve">das </w:t>
      </w:r>
      <w:r w:rsidRPr="006D7A8C">
        <w:t>substâncias minerais registrada</w:t>
      </w:r>
      <w:r w:rsidR="00DA233C" w:rsidRPr="006D7A8C">
        <w:t xml:space="preserve"> no </w:t>
      </w:r>
      <w:r w:rsidRPr="006D7A8C">
        <w:t>DNPM</w:t>
      </w:r>
      <w:r w:rsidR="00771446" w:rsidRPr="006D7A8C">
        <w:t xml:space="preserve">. Uma vez concedida a </w:t>
      </w:r>
      <w:r w:rsidRPr="006D7A8C">
        <w:t>licença</w:t>
      </w:r>
      <w:r w:rsidR="00771446" w:rsidRPr="006D7A8C">
        <w:t>,</w:t>
      </w:r>
      <w:r w:rsidRPr="006D7A8C">
        <w:t xml:space="preserve"> </w:t>
      </w:r>
      <w:r w:rsidR="00771446" w:rsidRPr="006D7A8C">
        <w:t xml:space="preserve">de acordo com os </w:t>
      </w:r>
      <w:r w:rsidRPr="006D7A8C">
        <w:t xml:space="preserve">regulamentos administrativos locais, </w:t>
      </w:r>
      <w:r w:rsidR="00771446" w:rsidRPr="006D7A8C">
        <w:t xml:space="preserve">é permitida </w:t>
      </w:r>
      <w:r w:rsidRPr="006D7A8C">
        <w:t>a extração de determinados bens minerais</w:t>
      </w:r>
      <w:r w:rsidR="00771446" w:rsidRPr="006D7A8C">
        <w:t>.</w:t>
      </w:r>
      <w:r w:rsidR="00771446" w:rsidRPr="006D7A8C">
        <w:rPr>
          <w:rStyle w:val="Refdenotaderodap"/>
        </w:rPr>
        <w:footnoteReference w:id="9"/>
      </w:r>
    </w:p>
    <w:p w14:paraId="4526B5E9" w14:textId="7A3110D7" w:rsidR="00AF0AB8" w:rsidRPr="006D7A8C" w:rsidRDefault="00771446" w:rsidP="0064723A">
      <w:pPr>
        <w:pStyle w:val="Aria"/>
        <w:spacing w:before="120" w:after="120"/>
        <w:jc w:val="both"/>
      </w:pPr>
      <w:r w:rsidRPr="006D7A8C">
        <w:t>O terceiro regime citado é a chamada</w:t>
      </w:r>
      <w:r w:rsidR="00AF0AB8" w:rsidRPr="006D7A8C">
        <w:t xml:space="preserve"> lavra garimpeira</w:t>
      </w:r>
      <w:r w:rsidRPr="006D7A8C">
        <w:t xml:space="preserve">, que consiste na </w:t>
      </w:r>
      <w:r w:rsidR="00AF0AB8" w:rsidRPr="006D7A8C">
        <w:t>extração de substâncias minerais com aproveitamento imediato d</w:t>
      </w:r>
      <w:r w:rsidRPr="006D7A8C">
        <w:t>a</w:t>
      </w:r>
      <w:r w:rsidR="00AF0AB8" w:rsidRPr="006D7A8C">
        <w:t xml:space="preserve"> </w:t>
      </w:r>
      <w:r w:rsidRPr="006D7A8C">
        <w:t>exploração</w:t>
      </w:r>
      <w:r w:rsidRPr="006D7A8C">
        <w:rPr>
          <w:rStyle w:val="Refdenotaderodap"/>
        </w:rPr>
        <w:footnoteReference w:id="10"/>
      </w:r>
      <w:r w:rsidR="00035795" w:rsidRPr="006D7A8C">
        <w:t>.</w:t>
      </w:r>
    </w:p>
    <w:p w14:paraId="68ED2F05" w14:textId="44BD634E" w:rsidR="00AF0AB8" w:rsidRPr="006D7A8C" w:rsidRDefault="00AF0AB8" w:rsidP="0064723A">
      <w:pPr>
        <w:pStyle w:val="Aria"/>
        <w:spacing w:before="120" w:after="120"/>
        <w:jc w:val="both"/>
      </w:pPr>
      <w:r w:rsidRPr="006D7A8C">
        <w:t xml:space="preserve">O </w:t>
      </w:r>
      <w:r w:rsidR="007B12E6" w:rsidRPr="006D7A8C">
        <w:t xml:space="preserve">quarto regime envolve o </w:t>
      </w:r>
      <w:r w:rsidRPr="006D7A8C">
        <w:t>registro de extração</w:t>
      </w:r>
      <w:r w:rsidR="007B12E6" w:rsidRPr="006D7A8C">
        <w:t>, que</w:t>
      </w:r>
      <w:r w:rsidRPr="006D7A8C">
        <w:t xml:space="preserve"> é uma declaração </w:t>
      </w:r>
      <w:r w:rsidR="007B12E6" w:rsidRPr="006D7A8C">
        <w:t xml:space="preserve">concedida </w:t>
      </w:r>
      <w:r w:rsidRPr="006D7A8C">
        <w:t xml:space="preserve">pelo DNPM exclusivamente aos órgãos da administração direta ou autárquica da União, dos Estados, do Distrito Federal e dos Municípios, </w:t>
      </w:r>
      <w:r w:rsidR="007B12E6" w:rsidRPr="006D7A8C">
        <w:t xml:space="preserve">autorizando </w:t>
      </w:r>
      <w:r w:rsidRPr="006D7A8C">
        <w:t>a extração de substâncias de uso imediato na construção civil, para que sejam utilizados somente em obras públicas, sendo proibida sua venda, lavra por terceiros ou transferência para empresas privadas.</w:t>
      </w:r>
      <w:r w:rsidR="00BB38B9" w:rsidRPr="006D7A8C">
        <w:rPr>
          <w:rStyle w:val="Refdenotaderodap"/>
        </w:rPr>
        <w:footnoteReference w:id="11"/>
      </w:r>
    </w:p>
    <w:p w14:paraId="48FD74EE" w14:textId="5DDCF9CF" w:rsidR="007B12E6" w:rsidRPr="006D7A8C" w:rsidRDefault="00BB38B9" w:rsidP="0064723A">
      <w:pPr>
        <w:pStyle w:val="Aria"/>
        <w:spacing w:before="120" w:after="120"/>
        <w:jc w:val="both"/>
      </w:pPr>
      <w:r w:rsidRPr="006D7A8C">
        <w:t xml:space="preserve">Para maior parte dos </w:t>
      </w:r>
      <w:r w:rsidR="007B12E6" w:rsidRPr="006D7A8C">
        <w:t xml:space="preserve">regimes </w:t>
      </w:r>
      <w:r w:rsidRPr="006D7A8C">
        <w:t xml:space="preserve">a efetiva </w:t>
      </w:r>
      <w:r w:rsidR="007B12E6" w:rsidRPr="006D7A8C">
        <w:t>obtenção dos títulos</w:t>
      </w:r>
      <w:r w:rsidRPr="006D7A8C">
        <w:t xml:space="preserve"> exige a </w:t>
      </w:r>
      <w:r w:rsidR="007B12E6" w:rsidRPr="006D7A8C">
        <w:t xml:space="preserve">apresentação pelo de Licenças Ambientais, </w:t>
      </w:r>
      <w:r w:rsidRPr="006D7A8C">
        <w:t xml:space="preserve">que podem ser </w:t>
      </w:r>
      <w:r w:rsidR="007B12E6" w:rsidRPr="006D7A8C">
        <w:t xml:space="preserve">emitidas </w:t>
      </w:r>
      <w:r w:rsidRPr="006D7A8C">
        <w:t xml:space="preserve">tanto </w:t>
      </w:r>
      <w:r w:rsidR="007B12E6" w:rsidRPr="006D7A8C">
        <w:t>pelos órgãos estaduais de meio-ambiente</w:t>
      </w:r>
      <w:r w:rsidRPr="006D7A8C">
        <w:t xml:space="preserve"> quanto pelo IBAMA. Tais relatório</w:t>
      </w:r>
      <w:r w:rsidR="00783AC1" w:rsidRPr="006D7A8C">
        <w:t>s</w:t>
      </w:r>
      <w:r w:rsidRPr="006D7A8C">
        <w:t xml:space="preserve"> devem ser apresentados ao </w:t>
      </w:r>
      <w:r w:rsidR="00035795" w:rsidRPr="006D7A8C">
        <w:t>DNPM</w:t>
      </w:r>
      <w:r w:rsidR="007B12E6" w:rsidRPr="006D7A8C">
        <w:t xml:space="preserve"> como </w:t>
      </w:r>
      <w:r w:rsidRPr="006D7A8C">
        <w:t>parte integrante d</w:t>
      </w:r>
      <w:r w:rsidR="007B12E6" w:rsidRPr="006D7A8C">
        <w:t>o Plano de Controle de Impactos Ambientais na Mineração.</w:t>
      </w:r>
      <w:r w:rsidRPr="006D7A8C">
        <w:rPr>
          <w:rStyle w:val="Refdenotaderodap"/>
        </w:rPr>
        <w:footnoteReference w:id="12"/>
      </w:r>
    </w:p>
    <w:p w14:paraId="1489FD6F" w14:textId="31428A07" w:rsidR="007B12E6" w:rsidRPr="006D7A8C" w:rsidRDefault="00BB38B9" w:rsidP="0064723A">
      <w:pPr>
        <w:pStyle w:val="Aria"/>
        <w:spacing w:before="120" w:after="120"/>
        <w:jc w:val="both"/>
      </w:pPr>
      <w:r w:rsidRPr="006D7A8C">
        <w:t xml:space="preserve">Vale </w:t>
      </w:r>
      <w:r w:rsidR="00783AC1" w:rsidRPr="006D7A8C">
        <w:t>lembrar</w:t>
      </w:r>
      <w:r w:rsidRPr="006D7A8C">
        <w:t xml:space="preserve"> que a obtenção do </w:t>
      </w:r>
      <w:r w:rsidR="007B12E6" w:rsidRPr="006D7A8C">
        <w:t xml:space="preserve">Licenciamento Ambiental nos Regimes de Autorização </w:t>
      </w:r>
      <w:r w:rsidRPr="006D7A8C">
        <w:t xml:space="preserve">prevê três tipos de licença: </w:t>
      </w:r>
      <w:r w:rsidR="007B12E6" w:rsidRPr="006D7A8C">
        <w:t xml:space="preserve">Licença Prévia </w:t>
      </w:r>
      <w:r w:rsidRPr="006D7A8C">
        <w:t>(</w:t>
      </w:r>
      <w:r w:rsidR="007B12E6" w:rsidRPr="006D7A8C">
        <w:t>LP</w:t>
      </w:r>
      <w:r w:rsidRPr="006D7A8C">
        <w:t xml:space="preserve">), que deve conter estudos de planejamento e de viabilidade do </w:t>
      </w:r>
      <w:r w:rsidR="007B12E6" w:rsidRPr="006D7A8C">
        <w:t>empreendimento</w:t>
      </w:r>
      <w:r w:rsidRPr="006D7A8C">
        <w:t xml:space="preserve">, o </w:t>
      </w:r>
      <w:r w:rsidR="007B12E6" w:rsidRPr="006D7A8C">
        <w:t xml:space="preserve">Estudo de Impacto Ambiental </w:t>
      </w:r>
      <w:r w:rsidRPr="006D7A8C">
        <w:t>(</w:t>
      </w:r>
      <w:r w:rsidR="007B12E6" w:rsidRPr="006D7A8C">
        <w:t>EIA</w:t>
      </w:r>
      <w:r w:rsidRPr="006D7A8C">
        <w:t>)</w:t>
      </w:r>
      <w:r w:rsidR="007B12E6" w:rsidRPr="006D7A8C">
        <w:t xml:space="preserve"> e</w:t>
      </w:r>
      <w:r w:rsidRPr="006D7A8C">
        <w:t xml:space="preserve"> o </w:t>
      </w:r>
      <w:r w:rsidR="007B12E6" w:rsidRPr="006D7A8C">
        <w:t xml:space="preserve">Relatório de Impacto Ambiental </w:t>
      </w:r>
      <w:r w:rsidRPr="006D7A8C">
        <w:t>–</w:t>
      </w:r>
      <w:r w:rsidR="007B12E6" w:rsidRPr="006D7A8C">
        <w:t xml:space="preserve"> </w:t>
      </w:r>
      <w:r w:rsidRPr="006D7A8C">
        <w:t>(</w:t>
      </w:r>
      <w:r w:rsidR="007B12E6" w:rsidRPr="006D7A8C">
        <w:t>RIMA</w:t>
      </w:r>
      <w:r w:rsidRPr="006D7A8C">
        <w:t xml:space="preserve">), além de outros documentos. A </w:t>
      </w:r>
      <w:r w:rsidR="007B12E6" w:rsidRPr="006D7A8C">
        <w:t xml:space="preserve">Licença de Instalação </w:t>
      </w:r>
      <w:r w:rsidRPr="006D7A8C">
        <w:t>(</w:t>
      </w:r>
      <w:r w:rsidR="007B12E6" w:rsidRPr="006D7A8C">
        <w:t>LI</w:t>
      </w:r>
      <w:r w:rsidRPr="006D7A8C">
        <w:t>), que ocorre na fase de d</w:t>
      </w:r>
      <w:r w:rsidR="007B12E6" w:rsidRPr="006D7A8C">
        <w:t xml:space="preserve">esenvolvimento </w:t>
      </w:r>
      <w:r w:rsidRPr="006D7A8C">
        <w:t xml:space="preserve">e </w:t>
      </w:r>
      <w:r w:rsidR="007B12E6" w:rsidRPr="006D7A8C">
        <w:t>instalação do complexo mineiro</w:t>
      </w:r>
      <w:r w:rsidRPr="006D7A8C">
        <w:t xml:space="preserve">, bem como na </w:t>
      </w:r>
      <w:r w:rsidR="007B12E6" w:rsidRPr="006D7A8C">
        <w:t>implantação dos projetos de controle ambiental</w:t>
      </w:r>
      <w:r w:rsidRPr="006D7A8C">
        <w:t xml:space="preserve"> previstos no EIA/RIMA</w:t>
      </w:r>
      <w:r w:rsidR="007B12E6" w:rsidRPr="006D7A8C">
        <w:t>.</w:t>
      </w:r>
      <w:r w:rsidRPr="006D7A8C">
        <w:t xml:space="preserve"> E a </w:t>
      </w:r>
      <w:r w:rsidR="007B12E6" w:rsidRPr="006D7A8C">
        <w:t xml:space="preserve">Licença de Operação </w:t>
      </w:r>
      <w:r w:rsidRPr="006D7A8C">
        <w:t>(</w:t>
      </w:r>
      <w:r w:rsidR="007B12E6" w:rsidRPr="006D7A8C">
        <w:t>LO</w:t>
      </w:r>
      <w:r w:rsidRPr="006D7A8C">
        <w:t xml:space="preserve">), que ocorre na fase de </w:t>
      </w:r>
      <w:r w:rsidR="007B12E6" w:rsidRPr="006D7A8C">
        <w:t>lavra, beneficiamento e acompanhamento de sistemas de controle ambiental.</w:t>
      </w:r>
    </w:p>
    <w:p w14:paraId="6E31B01A" w14:textId="6523C324" w:rsidR="00AF0AB8" w:rsidRDefault="00BB38B9" w:rsidP="0064723A">
      <w:pPr>
        <w:pStyle w:val="Aria"/>
        <w:spacing w:before="120" w:after="120"/>
        <w:jc w:val="both"/>
      </w:pPr>
      <w:r w:rsidRPr="006D7A8C">
        <w:lastRenderedPageBreak/>
        <w:t>De uma forma geral, considera-se que esse conjunto de exigências do processo regulatório da atividade extrativa mineral pode</w:t>
      </w:r>
      <w:r w:rsidR="00783AC1" w:rsidRPr="006D7A8C">
        <w:t xml:space="preserve"> ser</w:t>
      </w:r>
      <w:r w:rsidRPr="006D7A8C">
        <w:t xml:space="preserve">, e muitas vezes o é, um elemento dificultador para potenciais concorrentes, seja pela </w:t>
      </w:r>
      <w:r w:rsidR="00953661">
        <w:t>complexidade</w:t>
      </w:r>
      <w:r w:rsidRPr="006D7A8C">
        <w:t xml:space="preserve"> organizacional </w:t>
      </w:r>
      <w:r w:rsidR="00953661">
        <w:t xml:space="preserve">necessário para </w:t>
      </w:r>
      <w:r w:rsidRPr="006D7A8C">
        <w:t>pleitear as licenças, seja pelos custos envolvidos nesses processos</w:t>
      </w:r>
      <w:r w:rsidR="001E2293" w:rsidRPr="006D7A8C">
        <w:t>, o que</w:t>
      </w:r>
      <w:r w:rsidR="00953661">
        <w:t xml:space="preserve"> geralmente</w:t>
      </w:r>
      <w:r w:rsidR="001E2293" w:rsidRPr="006D7A8C">
        <w:t xml:space="preserve"> não é um fator complicador para os grandes produtores</w:t>
      </w:r>
      <w:r w:rsidR="00783AC1" w:rsidRPr="006D7A8C">
        <w:t xml:space="preserve"> já estabelecidos no setor</w:t>
      </w:r>
      <w:r w:rsidRPr="006D7A8C">
        <w:t xml:space="preserve">. Portanto, a legislação mineral pode ser um fator determinante </w:t>
      </w:r>
      <w:r w:rsidR="001E2293" w:rsidRPr="006D7A8C">
        <w:t xml:space="preserve">adicional que </w:t>
      </w:r>
      <w:r w:rsidRPr="006D7A8C">
        <w:t>eleva as condições de entrada no seto</w:t>
      </w:r>
      <w:r w:rsidR="001E2293" w:rsidRPr="006D7A8C">
        <w:t>r</w:t>
      </w:r>
      <w:r w:rsidR="00783AC1" w:rsidRPr="006D7A8C">
        <w:t xml:space="preserve">, mas não </w:t>
      </w:r>
      <w:r w:rsidR="00BC4411" w:rsidRPr="006D7A8C">
        <w:t xml:space="preserve">se pode </w:t>
      </w:r>
      <w:r w:rsidR="00783AC1" w:rsidRPr="006D7A8C">
        <w:t xml:space="preserve">deixar de enfatizar </w:t>
      </w:r>
      <w:r w:rsidR="00BC4411" w:rsidRPr="006D7A8C">
        <w:t xml:space="preserve">a </w:t>
      </w:r>
      <w:r w:rsidR="00783AC1" w:rsidRPr="006D7A8C">
        <w:t>sua importância</w:t>
      </w:r>
      <w:r w:rsidR="00BC4411" w:rsidRPr="006D7A8C">
        <w:t>,</w:t>
      </w:r>
      <w:r w:rsidR="00783AC1" w:rsidRPr="006D7A8C">
        <w:t xml:space="preserve"> dadas as externalidades negativas que o setor </w:t>
      </w:r>
      <w:r w:rsidR="00BC4411" w:rsidRPr="006D7A8C">
        <w:t>traz</w:t>
      </w:r>
      <w:r w:rsidR="00783AC1" w:rsidRPr="006D7A8C">
        <w:t>, sobretudo em relação ao meio ambiente e aos aspectos sócios econômicos</w:t>
      </w:r>
      <w:r w:rsidR="00BC4411" w:rsidRPr="006D7A8C">
        <w:t xml:space="preserve"> das localidades afetadas</w:t>
      </w:r>
      <w:r w:rsidR="00783AC1" w:rsidRPr="006D7A8C">
        <w:t xml:space="preserve">. </w:t>
      </w:r>
    </w:p>
    <w:p w14:paraId="13FB8AC5" w14:textId="77777777" w:rsidR="00B42EE0" w:rsidRPr="006D7A8C" w:rsidRDefault="00B42EE0" w:rsidP="0064723A">
      <w:pPr>
        <w:pStyle w:val="Aria"/>
        <w:spacing w:before="120" w:after="120"/>
        <w:jc w:val="both"/>
      </w:pPr>
    </w:p>
    <w:p w14:paraId="65EE21A8" w14:textId="77CD246E" w:rsidR="000536E3" w:rsidRPr="00CD3001" w:rsidRDefault="00B42EE0" w:rsidP="0064723A">
      <w:pPr>
        <w:pStyle w:val="Aria"/>
        <w:spacing w:before="120" w:after="120"/>
        <w:jc w:val="both"/>
        <w:rPr>
          <w:b/>
        </w:rPr>
      </w:pPr>
      <w:bookmarkStart w:id="14" w:name="_Toc510211755"/>
      <w:r>
        <w:rPr>
          <w:b/>
        </w:rPr>
        <w:t>2</w:t>
      </w:r>
      <w:r w:rsidR="00CD3001" w:rsidRPr="00CD3001">
        <w:rPr>
          <w:b/>
        </w:rPr>
        <w:t>.3.</w:t>
      </w:r>
      <w:r w:rsidR="00CF6933" w:rsidRPr="00CD3001">
        <w:rPr>
          <w:b/>
        </w:rPr>
        <w:t xml:space="preserve"> </w:t>
      </w:r>
      <w:r w:rsidR="00CD3001" w:rsidRPr="00CD3001">
        <w:rPr>
          <w:b/>
        </w:rPr>
        <w:t>Conduta da indústria extrativa mineral</w:t>
      </w:r>
      <w:bookmarkEnd w:id="14"/>
    </w:p>
    <w:p w14:paraId="6215616B" w14:textId="2FB84EBC" w:rsidR="00F55BDF" w:rsidRPr="006D7A8C" w:rsidRDefault="000E5056" w:rsidP="0064723A">
      <w:pPr>
        <w:pStyle w:val="Aria"/>
        <w:spacing w:before="120" w:after="120"/>
        <w:jc w:val="both"/>
      </w:pPr>
      <w:r w:rsidRPr="006D7A8C">
        <w:t>Os minérios são</w:t>
      </w:r>
      <w:r w:rsidR="005872DB">
        <w:t xml:space="preserve"> classificados como</w:t>
      </w:r>
      <w:r w:rsidRPr="006D7A8C">
        <w:t xml:space="preserve"> </w:t>
      </w:r>
      <w:r w:rsidR="00F55BDF" w:rsidRPr="006D7A8C">
        <w:rPr>
          <w:i/>
        </w:rPr>
        <w:t>commoditie</w:t>
      </w:r>
      <w:r w:rsidRPr="006D7A8C">
        <w:rPr>
          <w:i/>
        </w:rPr>
        <w:t xml:space="preserve">s, </w:t>
      </w:r>
      <w:r w:rsidRPr="006D7A8C">
        <w:t xml:space="preserve">uma vez que se encaixam nas caraterísticas de </w:t>
      </w:r>
      <w:r w:rsidR="00F55BDF" w:rsidRPr="006D7A8C">
        <w:t xml:space="preserve">mercadorias </w:t>
      </w:r>
      <w:r w:rsidRPr="006D7A8C">
        <w:t xml:space="preserve">comercializadas </w:t>
      </w:r>
      <w:r w:rsidR="00F55BDF" w:rsidRPr="006D7A8C">
        <w:t xml:space="preserve">em estado bruto ou de simples industrialização, </w:t>
      </w:r>
      <w:r w:rsidRPr="006D7A8C">
        <w:t xml:space="preserve">e que são </w:t>
      </w:r>
      <w:r w:rsidR="00F55BDF" w:rsidRPr="006D7A8C">
        <w:t xml:space="preserve">negociadas em escala mundial. A comercialização </w:t>
      </w:r>
      <w:r w:rsidRPr="006D7A8C">
        <w:t xml:space="preserve">das </w:t>
      </w:r>
      <w:r w:rsidRPr="006D7A8C">
        <w:rPr>
          <w:i/>
        </w:rPr>
        <w:t>commodities</w:t>
      </w:r>
      <w:r w:rsidRPr="006D7A8C">
        <w:t xml:space="preserve"> é feita pelo </w:t>
      </w:r>
      <w:r w:rsidR="00F55BDF" w:rsidRPr="006D7A8C">
        <w:t xml:space="preserve">mercado financeiro, </w:t>
      </w:r>
      <w:r w:rsidR="00CC11CC" w:rsidRPr="006D7A8C">
        <w:t xml:space="preserve">e </w:t>
      </w:r>
      <w:r w:rsidRPr="006D7A8C">
        <w:t xml:space="preserve">os preços geralmente </w:t>
      </w:r>
      <w:r w:rsidR="00CC11CC" w:rsidRPr="006D7A8C">
        <w:t xml:space="preserve">são </w:t>
      </w:r>
      <w:r w:rsidRPr="006D7A8C">
        <w:t xml:space="preserve">cotados em </w:t>
      </w:r>
      <w:r w:rsidR="00F55BDF" w:rsidRPr="006D7A8C">
        <w:t>dólar</w:t>
      </w:r>
      <w:r w:rsidR="00CC11CC" w:rsidRPr="006D7A8C">
        <w:t xml:space="preserve"> e</w:t>
      </w:r>
      <w:r w:rsidR="00F55BDF" w:rsidRPr="006D7A8C">
        <w:t xml:space="preserve"> </w:t>
      </w:r>
      <w:r w:rsidRPr="006D7A8C">
        <w:t xml:space="preserve">variam </w:t>
      </w:r>
      <w:r w:rsidR="00F55BDF" w:rsidRPr="006D7A8C">
        <w:t xml:space="preserve">de acordo com a oferta e a demanda </w:t>
      </w:r>
      <w:r w:rsidRPr="006D7A8C">
        <w:t>global</w:t>
      </w:r>
      <w:r w:rsidR="00F55BDF" w:rsidRPr="006D7A8C">
        <w:t>.</w:t>
      </w:r>
      <w:r w:rsidR="00F67AA7" w:rsidRPr="006D7A8C">
        <w:t xml:space="preserve"> </w:t>
      </w:r>
      <w:r w:rsidR="00F55BDF" w:rsidRPr="006D7A8C">
        <w:t xml:space="preserve">O ouro, ferro e cobre </w:t>
      </w:r>
      <w:r w:rsidR="001335E6" w:rsidRPr="006D7A8C">
        <w:t xml:space="preserve">são as </w:t>
      </w:r>
      <w:r w:rsidR="00F55BDF" w:rsidRPr="006D7A8C">
        <w:t xml:space="preserve">mercadorias mais negociadas, e são </w:t>
      </w:r>
      <w:r w:rsidR="00F55BDF" w:rsidRPr="006D7A8C">
        <w:rPr>
          <w:i/>
        </w:rPr>
        <w:t>commodities</w:t>
      </w:r>
      <w:r w:rsidR="00F55BDF" w:rsidRPr="006D7A8C">
        <w:t xml:space="preserve"> de extração ou minerais, denominadas </w:t>
      </w:r>
      <w:r w:rsidR="00F55BDF" w:rsidRPr="006D7A8C">
        <w:rPr>
          <w:i/>
        </w:rPr>
        <w:t>hard commodities</w:t>
      </w:r>
      <w:r w:rsidR="00F55BDF" w:rsidRPr="006D7A8C">
        <w:t>.</w:t>
      </w:r>
      <w:r w:rsidRPr="006D7A8C">
        <w:t xml:space="preserve"> </w:t>
      </w:r>
    </w:p>
    <w:p w14:paraId="45926660" w14:textId="44D57532" w:rsidR="00F55BDF" w:rsidRPr="006D7A8C" w:rsidRDefault="000E5056" w:rsidP="0064723A">
      <w:pPr>
        <w:pStyle w:val="Aria"/>
        <w:spacing w:before="120" w:after="120"/>
        <w:jc w:val="both"/>
      </w:pPr>
      <w:r w:rsidRPr="006D7A8C">
        <w:t>As p</w:t>
      </w:r>
      <w:r w:rsidR="00F55BDF" w:rsidRPr="006D7A8C">
        <w:t xml:space="preserve">rincipais bolsas de </w:t>
      </w:r>
      <w:r w:rsidR="00F55BDF" w:rsidRPr="006D7A8C">
        <w:rPr>
          <w:i/>
        </w:rPr>
        <w:t>commodities</w:t>
      </w:r>
      <w:r w:rsidRPr="006D7A8C">
        <w:t xml:space="preserve"> </w:t>
      </w:r>
      <w:r w:rsidR="00F55BDF" w:rsidRPr="006D7A8C">
        <w:t xml:space="preserve">do mundo </w:t>
      </w:r>
      <w:r w:rsidR="001335E6" w:rsidRPr="006D7A8C">
        <w:t>são</w:t>
      </w:r>
      <w:r w:rsidR="00F55BDF" w:rsidRPr="006D7A8C">
        <w:t xml:space="preserve"> a europeia </w:t>
      </w:r>
      <w:proofErr w:type="spellStart"/>
      <w:r w:rsidR="00F55BDF" w:rsidRPr="006D7A8C">
        <w:t>Euronext</w:t>
      </w:r>
      <w:proofErr w:type="spellEnd"/>
      <w:r w:rsidR="00F55BDF" w:rsidRPr="006D7A8C">
        <w:t xml:space="preserve"> LIFFE (ELMC), especialista em produtos agrícolas, a Bolsa de Metais de Londres (LME), a Bolsa Mercantil de Nova York (NYMEX), e a </w:t>
      </w:r>
      <w:r w:rsidR="00F55BDF" w:rsidRPr="006D7A8C">
        <w:rPr>
          <w:i/>
        </w:rPr>
        <w:t xml:space="preserve">Chicago Board </w:t>
      </w:r>
      <w:proofErr w:type="spellStart"/>
      <w:r w:rsidR="00F55BDF" w:rsidRPr="006D7A8C">
        <w:rPr>
          <w:i/>
        </w:rPr>
        <w:t>Of</w:t>
      </w:r>
      <w:proofErr w:type="spellEnd"/>
      <w:r w:rsidR="00F55BDF" w:rsidRPr="006D7A8C">
        <w:rPr>
          <w:i/>
        </w:rPr>
        <w:t xml:space="preserve"> Trade</w:t>
      </w:r>
      <w:r w:rsidR="00F55BDF" w:rsidRPr="006D7A8C">
        <w:t xml:space="preserve"> (CBOT). No Brasil, as </w:t>
      </w:r>
      <w:r w:rsidR="00F55BDF" w:rsidRPr="006D7A8C">
        <w:rPr>
          <w:i/>
        </w:rPr>
        <w:t>commodities</w:t>
      </w:r>
      <w:r w:rsidR="00F55BDF" w:rsidRPr="006D7A8C">
        <w:t xml:space="preserve"> são negociadas pela BM&amp;F Bovespa.</w:t>
      </w:r>
    </w:p>
    <w:p w14:paraId="3B80F72F" w14:textId="77777777" w:rsidR="00F67AA7" w:rsidRPr="006D7A8C" w:rsidRDefault="00F67AA7" w:rsidP="0064723A">
      <w:pPr>
        <w:pStyle w:val="Aria"/>
        <w:spacing w:before="120" w:after="120"/>
        <w:jc w:val="both"/>
      </w:pPr>
      <w:r w:rsidRPr="006D7A8C">
        <w:t>P</w:t>
      </w:r>
      <w:r w:rsidR="00684155" w:rsidRPr="006D7A8C">
        <w:t xml:space="preserve">ara o principal minério produzido pelo País, </w:t>
      </w:r>
      <w:r w:rsidRPr="006D7A8C">
        <w:t xml:space="preserve">ferro, </w:t>
      </w:r>
      <w:r w:rsidR="00684155" w:rsidRPr="006D7A8C">
        <w:t>observ</w:t>
      </w:r>
      <w:r w:rsidRPr="006D7A8C">
        <w:t>ou</w:t>
      </w:r>
      <w:r w:rsidR="00684155" w:rsidRPr="006D7A8C">
        <w:t xml:space="preserve">-se uma estrutura bastante concentrada tanto local como internacionalmente, </w:t>
      </w:r>
      <w:r w:rsidRPr="006D7A8C">
        <w:t xml:space="preserve">o que </w:t>
      </w:r>
      <w:r w:rsidR="00684155" w:rsidRPr="006D7A8C">
        <w:t xml:space="preserve">permite à Vale </w:t>
      </w:r>
      <w:r w:rsidR="001335E6" w:rsidRPr="006D7A8C">
        <w:t xml:space="preserve">desfrutar de </w:t>
      </w:r>
      <w:r w:rsidR="00684155" w:rsidRPr="006D7A8C">
        <w:t>suas vantagens de escala e o seu poder de mercado para afetar o preço do minério de ferro no mercado internacional</w:t>
      </w:r>
      <w:r w:rsidRPr="006D7A8C">
        <w:rPr>
          <w:rStyle w:val="Refdenotaderodap"/>
        </w:rPr>
        <w:footnoteReference w:id="13"/>
      </w:r>
      <w:r w:rsidR="00684155" w:rsidRPr="006D7A8C">
        <w:t xml:space="preserve">. </w:t>
      </w:r>
    </w:p>
    <w:p w14:paraId="3B769527" w14:textId="4A329B1A" w:rsidR="00F55BDF" w:rsidRPr="006D7A8C" w:rsidRDefault="00684155" w:rsidP="0064723A">
      <w:pPr>
        <w:pStyle w:val="Aria"/>
        <w:spacing w:before="120" w:after="120"/>
        <w:jc w:val="both"/>
      </w:pPr>
      <w:r w:rsidRPr="006D7A8C">
        <w:t xml:space="preserve">Em geral, </w:t>
      </w:r>
      <w:r w:rsidR="00F67AA7" w:rsidRPr="006D7A8C">
        <w:t xml:space="preserve">se </w:t>
      </w:r>
      <w:r w:rsidRPr="006D7A8C">
        <w:t>supõe que as condutas do segmento extrativo mineral seguem esse tipo de estratégia</w:t>
      </w:r>
      <w:r w:rsidR="00FE7B83" w:rsidRPr="006D7A8C">
        <w:t xml:space="preserve"> </w:t>
      </w:r>
      <w:r w:rsidRPr="006D7A8C">
        <w:t xml:space="preserve">quanto à definição dos preços. De todo modo, observa-se que os preços dos principais minerais brasileiros registraram elevadas majorações, não obstante estarem bem abaixo de um índice de inflação que reflete os preços no atacado, o IGP-DI. </w:t>
      </w:r>
      <w:r w:rsidR="00F67AA7" w:rsidRPr="006D7A8C">
        <w:t xml:space="preserve">Por exemplo, enquanto a variação acumulada do IGP-DI para o </w:t>
      </w:r>
      <w:r w:rsidR="00CE247D" w:rsidRPr="006D7A8C">
        <w:t>período</w:t>
      </w:r>
      <w:r w:rsidR="00F67AA7" w:rsidRPr="006D7A8C">
        <w:t xml:space="preserve"> 2000/2016 foi de 238,58%, o ferro teve o preço majorado em 115, 55%</w:t>
      </w:r>
      <w:r w:rsidR="00F67AA7" w:rsidRPr="006D7A8C">
        <w:rPr>
          <w:rStyle w:val="Refdenotaderodap"/>
        </w:rPr>
        <w:footnoteReference w:id="14"/>
      </w:r>
      <w:r w:rsidR="00F67AA7" w:rsidRPr="006D7A8C">
        <w:t xml:space="preserve">. </w:t>
      </w:r>
    </w:p>
    <w:p w14:paraId="0F73CCAA" w14:textId="34B0F832" w:rsidR="00FB0FF3" w:rsidRPr="006D7A8C" w:rsidRDefault="00FE7B83" w:rsidP="0064723A">
      <w:pPr>
        <w:pStyle w:val="Aria"/>
        <w:spacing w:before="120" w:after="120"/>
        <w:jc w:val="both"/>
      </w:pPr>
      <w:r w:rsidRPr="006D7A8C">
        <w:t>Já as figuras que seguem apresentam as variações de preço a partir de 2000 para os mesmos minérios produzidos e exportados pelo Brasil</w:t>
      </w:r>
    </w:p>
    <w:p w14:paraId="20AF9181" w14:textId="77777777" w:rsidR="00F879F6" w:rsidRPr="006D7A8C" w:rsidRDefault="00F55BDF" w:rsidP="0064723A">
      <w:pPr>
        <w:pStyle w:val="Aria"/>
        <w:spacing w:before="120" w:after="120"/>
        <w:ind w:left="-1418"/>
        <w:jc w:val="both"/>
        <w:rPr>
          <w:b/>
          <w:i/>
          <w:color w:val="000000" w:themeColor="text1"/>
        </w:rPr>
      </w:pPr>
      <w:r w:rsidRPr="006D7A8C">
        <w:rPr>
          <w:noProof/>
        </w:rPr>
        <w:lastRenderedPageBreak/>
        <w:drawing>
          <wp:inline distT="0" distB="0" distL="0" distR="0" wp14:anchorId="10C04746" wp14:editId="4AC50D52">
            <wp:extent cx="7077033" cy="63627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98569" cy="6382062"/>
                    </a:xfrm>
                    <a:prstGeom prst="rect">
                      <a:avLst/>
                    </a:prstGeom>
                    <a:noFill/>
                    <a:ln>
                      <a:noFill/>
                    </a:ln>
                  </pic:spPr>
                </pic:pic>
              </a:graphicData>
            </a:graphic>
          </wp:inline>
        </w:drawing>
      </w:r>
    </w:p>
    <w:p w14:paraId="63359170" w14:textId="0CB9F947" w:rsidR="00F879F6" w:rsidRPr="006D7A8C" w:rsidRDefault="00F879F6" w:rsidP="0064723A">
      <w:pPr>
        <w:pStyle w:val="Aria"/>
        <w:ind w:left="-1418"/>
        <w:jc w:val="both"/>
      </w:pPr>
      <w:bookmarkStart w:id="15" w:name="_Toc510211778"/>
      <w:r w:rsidRPr="006D7A8C">
        <w:rPr>
          <w:b/>
          <w:color w:val="000000" w:themeColor="text1"/>
        </w:rPr>
        <w:t xml:space="preserve">Figura </w:t>
      </w:r>
      <w:r w:rsidR="00B46FE0">
        <w:rPr>
          <w:b/>
          <w:color w:val="000000" w:themeColor="text1"/>
        </w:rPr>
        <w:t>7</w:t>
      </w:r>
      <w:r w:rsidRPr="006D7A8C">
        <w:rPr>
          <w:color w:val="000000" w:themeColor="text1"/>
        </w:rPr>
        <w:t xml:space="preserve"> - Preços dos Minérios selecionados em 2000/2017</w:t>
      </w:r>
      <w:bookmarkEnd w:id="15"/>
    </w:p>
    <w:p w14:paraId="11114FFB" w14:textId="439C0854" w:rsidR="00F55BDF" w:rsidRPr="00241E53" w:rsidRDefault="00F55BDF" w:rsidP="0064723A">
      <w:pPr>
        <w:pStyle w:val="Aria"/>
        <w:ind w:left="-1418"/>
        <w:jc w:val="both"/>
        <w:rPr>
          <w:sz w:val="22"/>
          <w:szCs w:val="22"/>
        </w:rPr>
      </w:pPr>
      <w:r w:rsidRPr="00241E53">
        <w:rPr>
          <w:b/>
          <w:sz w:val="22"/>
          <w:szCs w:val="22"/>
        </w:rPr>
        <w:t>Fonte:</w:t>
      </w:r>
      <w:r w:rsidRPr="00241E53">
        <w:rPr>
          <w:sz w:val="22"/>
          <w:szCs w:val="22"/>
        </w:rPr>
        <w:t xml:space="preserve"> </w:t>
      </w:r>
      <w:r w:rsidR="00F73BF0" w:rsidRPr="00241E53">
        <w:rPr>
          <w:sz w:val="22"/>
          <w:szCs w:val="22"/>
        </w:rPr>
        <w:t xml:space="preserve">Index </w:t>
      </w:r>
      <w:proofErr w:type="spellStart"/>
      <w:r w:rsidR="00F73BF0" w:rsidRPr="00241E53">
        <w:rPr>
          <w:sz w:val="22"/>
          <w:szCs w:val="22"/>
        </w:rPr>
        <w:t>Mundi</w:t>
      </w:r>
      <w:proofErr w:type="spellEnd"/>
      <w:r w:rsidR="000121C8" w:rsidRPr="00241E53">
        <w:rPr>
          <w:sz w:val="22"/>
          <w:szCs w:val="22"/>
        </w:rPr>
        <w:t xml:space="preserve">. Disponível em: </w:t>
      </w:r>
      <w:hyperlink r:id="rId15" w:history="1">
        <w:r w:rsidR="000121C8" w:rsidRPr="00241E53">
          <w:rPr>
            <w:rStyle w:val="Hyperlink"/>
            <w:sz w:val="22"/>
            <w:szCs w:val="22"/>
          </w:rPr>
          <w:t>https://www.indexmundi.com</w:t>
        </w:r>
      </w:hyperlink>
      <w:r w:rsidR="000121C8" w:rsidRPr="00241E53">
        <w:rPr>
          <w:sz w:val="22"/>
          <w:szCs w:val="22"/>
        </w:rPr>
        <w:t xml:space="preserve">. </w:t>
      </w:r>
    </w:p>
    <w:p w14:paraId="2FD02507" w14:textId="77777777" w:rsidR="00CD3001" w:rsidRDefault="00CD3001" w:rsidP="0064723A">
      <w:pPr>
        <w:pStyle w:val="Aria"/>
        <w:spacing w:before="120" w:after="120"/>
        <w:jc w:val="both"/>
      </w:pPr>
    </w:p>
    <w:p w14:paraId="2AD629F6" w14:textId="4A8B6A7E" w:rsidR="00F55BDF" w:rsidRPr="006D7A8C" w:rsidRDefault="000121C8" w:rsidP="0064723A">
      <w:pPr>
        <w:pStyle w:val="Aria"/>
        <w:spacing w:before="120" w:after="120"/>
        <w:jc w:val="both"/>
      </w:pPr>
      <w:r w:rsidRPr="006D7A8C">
        <w:t xml:space="preserve">Outro importante componente da Conduta é a </w:t>
      </w:r>
      <w:r w:rsidR="004778B0" w:rsidRPr="006D7A8C">
        <w:t xml:space="preserve">adoção de estratégias de inovação tecnológicas, que permitem a diferenciação em termos de processo e de produto em relação aos concorrentes. Com a indústria extrativa não é diferente, apesar do baixo </w:t>
      </w:r>
      <w:r w:rsidR="001335E6" w:rsidRPr="006D7A8C">
        <w:t>componente</w:t>
      </w:r>
      <w:r w:rsidR="004778B0" w:rsidRPr="006D7A8C">
        <w:t xml:space="preserve"> tecnológico carregado pelos produtos fabricados. Dessa forma, observa-se que as estratégias de inovação vêm ganhando cada vez mais espaço para ampliar a produtividade, bem como para desenvolver processos que permitam mitigar as externalidades negativas, com destaque para os impactos ambientais do setor.</w:t>
      </w:r>
    </w:p>
    <w:p w14:paraId="633A9973" w14:textId="5EBFDA8D" w:rsidR="004778B0" w:rsidRPr="006D7A8C" w:rsidRDefault="0015485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w:t>
      </w:r>
      <w:r w:rsidR="000121C8" w:rsidRPr="006D7A8C">
        <w:rPr>
          <w:rFonts w:ascii="Times New Roman" w:hAnsi="Times New Roman" w:cs="Times New Roman"/>
          <w:sz w:val="24"/>
          <w:szCs w:val="24"/>
        </w:rPr>
        <w:t>s</w:t>
      </w:r>
      <w:r w:rsidRPr="006D7A8C">
        <w:rPr>
          <w:rFonts w:ascii="Times New Roman" w:hAnsi="Times New Roman" w:cs="Times New Roman"/>
          <w:sz w:val="24"/>
          <w:szCs w:val="24"/>
        </w:rPr>
        <w:t xml:space="preserve"> </w:t>
      </w:r>
      <w:r w:rsidR="004778B0" w:rsidRPr="006D7A8C">
        <w:rPr>
          <w:rFonts w:ascii="Times New Roman" w:hAnsi="Times New Roman" w:cs="Times New Roman"/>
          <w:sz w:val="24"/>
          <w:szCs w:val="24"/>
        </w:rPr>
        <w:t>indústrias extrativas</w:t>
      </w:r>
      <w:r w:rsidRPr="006D7A8C">
        <w:rPr>
          <w:rFonts w:ascii="Times New Roman" w:hAnsi="Times New Roman" w:cs="Times New Roman"/>
          <w:sz w:val="24"/>
          <w:szCs w:val="24"/>
        </w:rPr>
        <w:t xml:space="preserve"> v</w:t>
      </w:r>
      <w:r w:rsidR="000121C8" w:rsidRPr="006D7A8C">
        <w:rPr>
          <w:rFonts w:ascii="Times New Roman" w:hAnsi="Times New Roman" w:cs="Times New Roman"/>
          <w:sz w:val="24"/>
          <w:szCs w:val="24"/>
        </w:rPr>
        <w:t>ê</w:t>
      </w:r>
      <w:r w:rsidRPr="006D7A8C">
        <w:rPr>
          <w:rFonts w:ascii="Times New Roman" w:hAnsi="Times New Roman" w:cs="Times New Roman"/>
          <w:sz w:val="24"/>
          <w:szCs w:val="24"/>
        </w:rPr>
        <w:t xml:space="preserve">m registrando uma expressiva </w:t>
      </w:r>
      <w:r w:rsidR="004778B0" w:rsidRPr="006D7A8C">
        <w:rPr>
          <w:rFonts w:ascii="Times New Roman" w:hAnsi="Times New Roman" w:cs="Times New Roman"/>
          <w:sz w:val="24"/>
          <w:szCs w:val="24"/>
        </w:rPr>
        <w:t xml:space="preserve">elevação </w:t>
      </w:r>
      <w:r w:rsidRPr="006D7A8C">
        <w:rPr>
          <w:rFonts w:ascii="Times New Roman" w:hAnsi="Times New Roman" w:cs="Times New Roman"/>
          <w:sz w:val="24"/>
          <w:szCs w:val="24"/>
        </w:rPr>
        <w:t xml:space="preserve">da taxa de inovação </w:t>
      </w:r>
      <w:r w:rsidR="004778B0" w:rsidRPr="006D7A8C">
        <w:rPr>
          <w:rFonts w:ascii="Times New Roman" w:hAnsi="Times New Roman" w:cs="Times New Roman"/>
          <w:sz w:val="24"/>
          <w:szCs w:val="24"/>
        </w:rPr>
        <w:t xml:space="preserve">desde 2000, </w:t>
      </w:r>
      <w:r w:rsidRPr="006D7A8C">
        <w:rPr>
          <w:rFonts w:ascii="Times New Roman" w:hAnsi="Times New Roman" w:cs="Times New Roman"/>
          <w:sz w:val="24"/>
          <w:szCs w:val="24"/>
        </w:rPr>
        <w:t xml:space="preserve">apesar da </w:t>
      </w:r>
      <w:r w:rsidR="004778B0" w:rsidRPr="006D7A8C">
        <w:rPr>
          <w:rFonts w:ascii="Times New Roman" w:hAnsi="Times New Roman" w:cs="Times New Roman"/>
          <w:sz w:val="24"/>
          <w:szCs w:val="24"/>
        </w:rPr>
        <w:t xml:space="preserve">trajetória estável </w:t>
      </w:r>
      <w:r w:rsidRPr="006D7A8C">
        <w:rPr>
          <w:rFonts w:ascii="Times New Roman" w:hAnsi="Times New Roman" w:cs="Times New Roman"/>
          <w:sz w:val="24"/>
          <w:szCs w:val="24"/>
        </w:rPr>
        <w:t>n</w:t>
      </w:r>
      <w:r w:rsidR="004778B0" w:rsidRPr="006D7A8C">
        <w:rPr>
          <w:rFonts w:ascii="Times New Roman" w:hAnsi="Times New Roman" w:cs="Times New Roman"/>
          <w:sz w:val="24"/>
          <w:szCs w:val="24"/>
        </w:rPr>
        <w:t xml:space="preserve">o período 2006-2008, </w:t>
      </w:r>
      <w:r w:rsidRPr="006D7A8C">
        <w:rPr>
          <w:rFonts w:ascii="Times New Roman" w:hAnsi="Times New Roman" w:cs="Times New Roman"/>
          <w:sz w:val="24"/>
          <w:szCs w:val="24"/>
        </w:rPr>
        <w:t xml:space="preserve">que foi </w:t>
      </w:r>
      <w:r w:rsidR="004778B0" w:rsidRPr="006D7A8C">
        <w:rPr>
          <w:rFonts w:ascii="Times New Roman" w:hAnsi="Times New Roman" w:cs="Times New Roman"/>
          <w:sz w:val="24"/>
          <w:szCs w:val="24"/>
        </w:rPr>
        <w:t xml:space="preserve">seguida </w:t>
      </w:r>
      <w:r w:rsidRPr="006D7A8C">
        <w:rPr>
          <w:rFonts w:ascii="Times New Roman" w:hAnsi="Times New Roman" w:cs="Times New Roman"/>
          <w:sz w:val="24"/>
          <w:szCs w:val="24"/>
        </w:rPr>
        <w:t xml:space="preserve">por </w:t>
      </w:r>
      <w:r w:rsidR="004778B0" w:rsidRPr="006D7A8C">
        <w:rPr>
          <w:rFonts w:ascii="Times New Roman" w:hAnsi="Times New Roman" w:cs="Times New Roman"/>
          <w:sz w:val="24"/>
          <w:szCs w:val="24"/>
        </w:rPr>
        <w:t xml:space="preserve">um </w:t>
      </w:r>
      <w:r w:rsidR="004778B0" w:rsidRPr="006D7A8C">
        <w:rPr>
          <w:rFonts w:ascii="Times New Roman" w:hAnsi="Times New Roman" w:cs="Times New Roman"/>
          <w:sz w:val="24"/>
          <w:szCs w:val="24"/>
        </w:rPr>
        <w:lastRenderedPageBreak/>
        <w:t>aumento abrupto</w:t>
      </w:r>
      <w:r w:rsidRPr="006D7A8C">
        <w:rPr>
          <w:rFonts w:ascii="Times New Roman" w:hAnsi="Times New Roman" w:cs="Times New Roman"/>
          <w:sz w:val="24"/>
          <w:szCs w:val="24"/>
        </w:rPr>
        <w:t xml:space="preserve"> no período </w:t>
      </w:r>
      <w:r w:rsidR="004778B0" w:rsidRPr="006D7A8C">
        <w:rPr>
          <w:rFonts w:ascii="Times New Roman" w:hAnsi="Times New Roman" w:cs="Times New Roman"/>
          <w:sz w:val="24"/>
          <w:szCs w:val="24"/>
        </w:rPr>
        <w:t>201</w:t>
      </w:r>
      <w:r w:rsidRPr="006D7A8C">
        <w:rPr>
          <w:rFonts w:ascii="Times New Roman" w:hAnsi="Times New Roman" w:cs="Times New Roman"/>
          <w:sz w:val="24"/>
          <w:szCs w:val="24"/>
        </w:rPr>
        <w:t>2/</w:t>
      </w:r>
      <w:r w:rsidR="004778B0" w:rsidRPr="006D7A8C">
        <w:rPr>
          <w:rFonts w:ascii="Times New Roman" w:hAnsi="Times New Roman" w:cs="Times New Roman"/>
          <w:sz w:val="24"/>
          <w:szCs w:val="24"/>
        </w:rPr>
        <w:t>2014</w:t>
      </w:r>
      <w:r w:rsidRPr="006D7A8C">
        <w:rPr>
          <w:rFonts w:ascii="Times New Roman" w:hAnsi="Times New Roman" w:cs="Times New Roman"/>
          <w:sz w:val="24"/>
          <w:szCs w:val="24"/>
        </w:rPr>
        <w:t>, com um</w:t>
      </w:r>
      <w:r w:rsidR="004778B0" w:rsidRPr="006D7A8C">
        <w:rPr>
          <w:rFonts w:ascii="Times New Roman" w:hAnsi="Times New Roman" w:cs="Times New Roman"/>
          <w:sz w:val="24"/>
          <w:szCs w:val="24"/>
        </w:rPr>
        <w:t xml:space="preserve"> aumento do número de empresas que inovaram de mais de 120%.</w:t>
      </w:r>
      <w:r w:rsidR="000121C8" w:rsidRPr="006D7A8C">
        <w:rPr>
          <w:rFonts w:ascii="Times New Roman" w:hAnsi="Times New Roman" w:cs="Times New Roman"/>
          <w:sz w:val="24"/>
          <w:szCs w:val="24"/>
        </w:rPr>
        <w:t xml:space="preserve"> </w:t>
      </w:r>
      <w:r w:rsidR="004778B0" w:rsidRPr="006D7A8C">
        <w:rPr>
          <w:rFonts w:ascii="Times New Roman" w:hAnsi="Times New Roman" w:cs="Times New Roman"/>
          <w:sz w:val="24"/>
          <w:szCs w:val="24"/>
        </w:rPr>
        <w:t xml:space="preserve">A partir do aumento da taxa de inovação da indústria extrativa é possível dizer que essas empresas que implementaram inovação de produto e/ou processo provavelmente </w:t>
      </w:r>
      <w:r w:rsidRPr="006D7A8C">
        <w:rPr>
          <w:rFonts w:ascii="Times New Roman" w:hAnsi="Times New Roman" w:cs="Times New Roman"/>
          <w:sz w:val="24"/>
          <w:szCs w:val="24"/>
        </w:rPr>
        <w:t>elevaram sua competitividade</w:t>
      </w:r>
      <w:r w:rsidR="004778B0" w:rsidRPr="006D7A8C">
        <w:rPr>
          <w:rFonts w:ascii="Times New Roman" w:hAnsi="Times New Roman" w:cs="Times New Roman"/>
          <w:sz w:val="24"/>
          <w:szCs w:val="24"/>
        </w:rPr>
        <w:t xml:space="preserve">, aumentando o valor agregado de suas mercadorias e incrementando sua receita. </w:t>
      </w:r>
      <w:r w:rsidR="000121C8" w:rsidRPr="006D7A8C">
        <w:rPr>
          <w:rFonts w:ascii="Times New Roman" w:hAnsi="Times New Roman" w:cs="Times New Roman"/>
          <w:sz w:val="24"/>
          <w:szCs w:val="24"/>
        </w:rPr>
        <w:t>A figura abaixo mostra a evolução dos gastos em atividade inovativa no setor.</w:t>
      </w:r>
    </w:p>
    <w:p w14:paraId="56D81697" w14:textId="77777777" w:rsidR="00FB0FF3" w:rsidRPr="006D7A8C" w:rsidRDefault="00FB0FF3" w:rsidP="0064723A">
      <w:pPr>
        <w:spacing w:after="0" w:line="240" w:lineRule="auto"/>
        <w:jc w:val="both"/>
        <w:rPr>
          <w:rFonts w:ascii="Times New Roman" w:hAnsi="Times New Roman" w:cs="Times New Roman"/>
          <w:sz w:val="24"/>
          <w:szCs w:val="24"/>
        </w:rPr>
      </w:pPr>
    </w:p>
    <w:p w14:paraId="6E94CEE2" w14:textId="77777777" w:rsidR="00CD3001" w:rsidRDefault="00FB0FF3" w:rsidP="0064723A">
      <w:pPr>
        <w:spacing w:line="240" w:lineRule="auto"/>
        <w:jc w:val="both"/>
        <w:rPr>
          <w:rFonts w:ascii="Times New Roman" w:hAnsi="Times New Roman" w:cs="Times New Roman"/>
          <w:b/>
          <w:i/>
          <w:sz w:val="24"/>
          <w:szCs w:val="24"/>
        </w:rPr>
      </w:pPr>
      <w:r w:rsidRPr="006D7A8C">
        <w:rPr>
          <w:rFonts w:ascii="Times New Roman" w:hAnsi="Times New Roman" w:cs="Times New Roman"/>
          <w:noProof/>
          <w:sz w:val="24"/>
          <w:szCs w:val="24"/>
        </w:rPr>
        <w:drawing>
          <wp:inline distT="0" distB="0" distL="0" distR="0" wp14:anchorId="418C7BCA" wp14:editId="56FEA4FE">
            <wp:extent cx="3810000" cy="26289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16" w:name="_Toc510211780"/>
    </w:p>
    <w:p w14:paraId="4FC613C8" w14:textId="1274FFFA" w:rsidR="00FB0FF3" w:rsidRPr="00CD3001" w:rsidRDefault="00952F3A" w:rsidP="0064723A">
      <w:pPr>
        <w:spacing w:after="0" w:line="240" w:lineRule="auto"/>
        <w:jc w:val="both"/>
        <w:rPr>
          <w:rFonts w:ascii="Times New Roman" w:hAnsi="Times New Roman" w:cs="Times New Roman"/>
          <w:sz w:val="24"/>
          <w:szCs w:val="24"/>
        </w:rPr>
      </w:pPr>
      <w:r w:rsidRPr="00CD3001">
        <w:rPr>
          <w:rFonts w:ascii="Times New Roman" w:hAnsi="Times New Roman" w:cs="Times New Roman"/>
          <w:b/>
          <w:sz w:val="24"/>
          <w:szCs w:val="24"/>
        </w:rPr>
        <w:t xml:space="preserve">Figura </w:t>
      </w:r>
      <w:r w:rsidR="00B46FE0">
        <w:rPr>
          <w:rFonts w:ascii="Times New Roman" w:hAnsi="Times New Roman" w:cs="Times New Roman"/>
          <w:b/>
          <w:sz w:val="24"/>
          <w:szCs w:val="24"/>
        </w:rPr>
        <w:t>8</w:t>
      </w:r>
      <w:r w:rsidRPr="00CD3001">
        <w:rPr>
          <w:rFonts w:ascii="Times New Roman" w:hAnsi="Times New Roman" w:cs="Times New Roman"/>
          <w:sz w:val="24"/>
          <w:szCs w:val="24"/>
        </w:rPr>
        <w:t xml:space="preserve"> - Evolução dos gastos em atividade inovativa de 2000 a 2014</w:t>
      </w:r>
      <w:bookmarkEnd w:id="16"/>
      <w:r w:rsidR="00CE247D">
        <w:rPr>
          <w:rFonts w:ascii="Times New Roman" w:hAnsi="Times New Roman" w:cs="Times New Roman"/>
          <w:sz w:val="24"/>
          <w:szCs w:val="24"/>
        </w:rPr>
        <w:t xml:space="preserve"> em R$ mil.</w:t>
      </w:r>
    </w:p>
    <w:p w14:paraId="7CF1BA17" w14:textId="584429DB" w:rsidR="00FB0FF3" w:rsidRPr="00241E53" w:rsidRDefault="00FB0FF3"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Elaborado com dados da PINTEC (2014).</w:t>
      </w:r>
    </w:p>
    <w:p w14:paraId="72ACB657" w14:textId="77777777" w:rsidR="000121C8" w:rsidRPr="006D7A8C" w:rsidRDefault="00FB0FF3"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b/>
      </w:r>
    </w:p>
    <w:p w14:paraId="3B72BEF8" w14:textId="297E662F" w:rsidR="00F93D39" w:rsidRPr="006D7A8C" w:rsidRDefault="00CE247D" w:rsidP="006472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93D39" w:rsidRPr="006D7A8C">
        <w:rPr>
          <w:rFonts w:ascii="Times New Roman" w:hAnsi="Times New Roman" w:cs="Times New Roman"/>
          <w:sz w:val="24"/>
          <w:szCs w:val="24"/>
        </w:rPr>
        <w:t>elev</w:t>
      </w:r>
      <w:r>
        <w:rPr>
          <w:rFonts w:ascii="Times New Roman" w:hAnsi="Times New Roman" w:cs="Times New Roman"/>
          <w:sz w:val="24"/>
          <w:szCs w:val="24"/>
        </w:rPr>
        <w:t>ação dos</w:t>
      </w:r>
      <w:r w:rsidR="00F93D39" w:rsidRPr="006D7A8C">
        <w:rPr>
          <w:rFonts w:ascii="Times New Roman" w:hAnsi="Times New Roman" w:cs="Times New Roman"/>
          <w:sz w:val="24"/>
          <w:szCs w:val="24"/>
        </w:rPr>
        <w:t xml:space="preserve"> gastos com Pesquisa &amp; Desenvolvimento</w:t>
      </w:r>
      <w:r>
        <w:rPr>
          <w:rFonts w:ascii="Times New Roman" w:hAnsi="Times New Roman" w:cs="Times New Roman"/>
          <w:sz w:val="24"/>
          <w:szCs w:val="24"/>
        </w:rPr>
        <w:t xml:space="preserve"> </w:t>
      </w:r>
      <w:r w:rsidR="00F93D39" w:rsidRPr="006D7A8C">
        <w:rPr>
          <w:rFonts w:ascii="Times New Roman" w:hAnsi="Times New Roman" w:cs="Times New Roman"/>
          <w:sz w:val="24"/>
          <w:szCs w:val="24"/>
        </w:rPr>
        <w:t xml:space="preserve">sinaliza uma preocupação </w:t>
      </w:r>
      <w:r>
        <w:rPr>
          <w:rFonts w:ascii="Times New Roman" w:hAnsi="Times New Roman" w:cs="Times New Roman"/>
          <w:sz w:val="24"/>
          <w:szCs w:val="24"/>
        </w:rPr>
        <w:t xml:space="preserve">com o </w:t>
      </w:r>
      <w:r w:rsidR="00F93D39" w:rsidRPr="006D7A8C">
        <w:rPr>
          <w:rFonts w:ascii="Times New Roman" w:hAnsi="Times New Roman" w:cs="Times New Roman"/>
          <w:sz w:val="24"/>
          <w:szCs w:val="24"/>
        </w:rPr>
        <w:t>aprimora</w:t>
      </w:r>
      <w:r>
        <w:rPr>
          <w:rFonts w:ascii="Times New Roman" w:hAnsi="Times New Roman" w:cs="Times New Roman"/>
          <w:sz w:val="24"/>
          <w:szCs w:val="24"/>
        </w:rPr>
        <w:t>mento</w:t>
      </w:r>
      <w:r w:rsidR="00F93D39" w:rsidRPr="006D7A8C">
        <w:rPr>
          <w:rFonts w:ascii="Times New Roman" w:hAnsi="Times New Roman" w:cs="Times New Roman"/>
          <w:sz w:val="24"/>
          <w:szCs w:val="24"/>
        </w:rPr>
        <w:t xml:space="preserve"> </w:t>
      </w:r>
      <w:r>
        <w:rPr>
          <w:rFonts w:ascii="Times New Roman" w:hAnsi="Times New Roman" w:cs="Times New Roman"/>
          <w:sz w:val="24"/>
          <w:szCs w:val="24"/>
        </w:rPr>
        <w:t>d</w:t>
      </w:r>
      <w:r w:rsidR="00F93D39" w:rsidRPr="006D7A8C">
        <w:rPr>
          <w:rFonts w:ascii="Times New Roman" w:hAnsi="Times New Roman" w:cs="Times New Roman"/>
          <w:sz w:val="24"/>
          <w:szCs w:val="24"/>
        </w:rPr>
        <w:t>os processos de extração e de produção. É preciso levar em conta também que isso é um importante passo para que o setor não se torne obsoleto frente a outros países que possuem grande interesse em P&amp;D, trazendo o aperfeiçoamento de técnicas para a indústria como um todo.</w:t>
      </w:r>
    </w:p>
    <w:p w14:paraId="19D4E759" w14:textId="7753089D" w:rsidR="00F93D39" w:rsidRPr="006D7A8C" w:rsidRDefault="000121C8" w:rsidP="0064723A">
      <w:pPr>
        <w:spacing w:line="240" w:lineRule="auto"/>
        <w:jc w:val="both"/>
        <w:rPr>
          <w:rFonts w:ascii="Times New Roman" w:hAnsi="Times New Roman" w:cs="Times New Roman"/>
          <w:sz w:val="24"/>
          <w:szCs w:val="24"/>
        </w:rPr>
      </w:pPr>
      <w:r w:rsidRPr="00E85C90">
        <w:rPr>
          <w:rFonts w:ascii="Times New Roman" w:hAnsi="Times New Roman" w:cs="Times New Roman"/>
          <w:sz w:val="24"/>
          <w:szCs w:val="24"/>
        </w:rPr>
        <w:t>Quanto às fontes de financiamentos da atividade inovativa do setor, observa-se que n</w:t>
      </w:r>
      <w:r w:rsidR="00F93D39" w:rsidRPr="00E85C90">
        <w:rPr>
          <w:rFonts w:ascii="Times New Roman" w:hAnsi="Times New Roman" w:cs="Times New Roman"/>
          <w:sz w:val="24"/>
          <w:szCs w:val="24"/>
        </w:rPr>
        <w:t>os anos 2000 o setor público financiava um percentual quase três vezes maior que o setor privado. A partir de 2003</w:t>
      </w:r>
      <w:r w:rsidR="00AA37B1">
        <w:rPr>
          <w:rFonts w:ascii="Times New Roman" w:hAnsi="Times New Roman" w:cs="Times New Roman"/>
          <w:sz w:val="24"/>
          <w:szCs w:val="24"/>
        </w:rPr>
        <w:t>,</w:t>
      </w:r>
      <w:r w:rsidR="00F93D39" w:rsidRPr="00E85C90">
        <w:rPr>
          <w:rFonts w:ascii="Times New Roman" w:hAnsi="Times New Roman" w:cs="Times New Roman"/>
          <w:sz w:val="24"/>
          <w:szCs w:val="24"/>
        </w:rPr>
        <w:t xml:space="preserve"> </w:t>
      </w:r>
      <w:r w:rsidR="00B73DEA" w:rsidRPr="00E85C90">
        <w:rPr>
          <w:rFonts w:ascii="Times New Roman" w:hAnsi="Times New Roman" w:cs="Times New Roman"/>
          <w:sz w:val="24"/>
          <w:szCs w:val="24"/>
        </w:rPr>
        <w:t xml:space="preserve">verifica-se uma </w:t>
      </w:r>
      <w:r w:rsidR="00F93D39" w:rsidRPr="00E85C90">
        <w:rPr>
          <w:rFonts w:ascii="Times New Roman" w:hAnsi="Times New Roman" w:cs="Times New Roman"/>
          <w:sz w:val="24"/>
          <w:szCs w:val="24"/>
        </w:rPr>
        <w:t xml:space="preserve">queda brusca </w:t>
      </w:r>
      <w:r w:rsidR="00B73DEA" w:rsidRPr="00E85C90">
        <w:rPr>
          <w:rFonts w:ascii="Times New Roman" w:hAnsi="Times New Roman" w:cs="Times New Roman"/>
          <w:sz w:val="24"/>
          <w:szCs w:val="24"/>
        </w:rPr>
        <w:t xml:space="preserve">da participação do </w:t>
      </w:r>
      <w:r w:rsidR="00F93D39" w:rsidRPr="00E85C90">
        <w:rPr>
          <w:rFonts w:ascii="Times New Roman" w:hAnsi="Times New Roman" w:cs="Times New Roman"/>
          <w:sz w:val="24"/>
          <w:szCs w:val="24"/>
        </w:rPr>
        <w:t xml:space="preserve">setor público. O setor privado </w:t>
      </w:r>
      <w:r w:rsidR="00B73DEA" w:rsidRPr="00E85C90">
        <w:rPr>
          <w:rFonts w:ascii="Times New Roman" w:hAnsi="Times New Roman" w:cs="Times New Roman"/>
          <w:sz w:val="24"/>
          <w:szCs w:val="24"/>
        </w:rPr>
        <w:t xml:space="preserve">passa a apresentar um </w:t>
      </w:r>
      <w:r w:rsidR="00F93D39" w:rsidRPr="00E85C90">
        <w:rPr>
          <w:rFonts w:ascii="Times New Roman" w:hAnsi="Times New Roman" w:cs="Times New Roman"/>
          <w:sz w:val="24"/>
          <w:szCs w:val="24"/>
        </w:rPr>
        <w:t>percentual mais elevado de investimento</w:t>
      </w:r>
      <w:r w:rsidR="00B73DEA" w:rsidRPr="00E85C90">
        <w:rPr>
          <w:rFonts w:ascii="Times New Roman" w:hAnsi="Times New Roman" w:cs="Times New Roman"/>
          <w:sz w:val="24"/>
          <w:szCs w:val="24"/>
        </w:rPr>
        <w:t>, sobretudo</w:t>
      </w:r>
      <w:r w:rsidR="00F93D39" w:rsidRPr="00E85C90">
        <w:rPr>
          <w:rFonts w:ascii="Times New Roman" w:hAnsi="Times New Roman" w:cs="Times New Roman"/>
          <w:sz w:val="24"/>
          <w:szCs w:val="24"/>
        </w:rPr>
        <w:t xml:space="preserve"> no período de 2005 a 2008</w:t>
      </w:r>
      <w:r w:rsidR="00B73DEA" w:rsidRPr="00E85C90">
        <w:rPr>
          <w:rFonts w:ascii="Times New Roman" w:hAnsi="Times New Roman" w:cs="Times New Roman"/>
          <w:sz w:val="24"/>
          <w:szCs w:val="24"/>
        </w:rPr>
        <w:t>, conforme mostra a figura abaixo.</w:t>
      </w:r>
    </w:p>
    <w:p w14:paraId="39AB9BCE" w14:textId="77777777" w:rsidR="00FB0FF3" w:rsidRPr="006D7A8C" w:rsidRDefault="00FB0FF3" w:rsidP="0064723A">
      <w:pPr>
        <w:spacing w:line="240" w:lineRule="auto"/>
        <w:jc w:val="both"/>
        <w:rPr>
          <w:rFonts w:ascii="Times New Roman" w:hAnsi="Times New Roman" w:cs="Times New Roman"/>
          <w:sz w:val="24"/>
          <w:szCs w:val="24"/>
        </w:rPr>
      </w:pPr>
      <w:r w:rsidRPr="006D7A8C">
        <w:rPr>
          <w:rFonts w:ascii="Times New Roman" w:hAnsi="Times New Roman" w:cs="Times New Roman"/>
          <w:noProof/>
          <w:sz w:val="24"/>
          <w:szCs w:val="24"/>
        </w:rPr>
        <w:lastRenderedPageBreak/>
        <w:drawing>
          <wp:inline distT="0" distB="0" distL="0" distR="0" wp14:anchorId="6BEC6A27" wp14:editId="159BA397">
            <wp:extent cx="3819525" cy="2371725"/>
            <wp:effectExtent l="0" t="0" r="9525" b="9525"/>
            <wp:docPr id="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84FB17" w14:textId="2D1059C3" w:rsidR="00FB0FF3" w:rsidRPr="006D7A8C" w:rsidRDefault="00952F3A" w:rsidP="0064723A">
      <w:pPr>
        <w:pStyle w:val="Legenda"/>
        <w:spacing w:after="0"/>
        <w:jc w:val="both"/>
        <w:rPr>
          <w:rFonts w:ascii="Times New Roman" w:hAnsi="Times New Roman" w:cs="Times New Roman"/>
          <w:b/>
          <w:i w:val="0"/>
          <w:color w:val="auto"/>
          <w:sz w:val="24"/>
          <w:szCs w:val="24"/>
        </w:rPr>
      </w:pPr>
      <w:bookmarkStart w:id="17" w:name="_Toc510211784"/>
      <w:r w:rsidRPr="006D7A8C">
        <w:rPr>
          <w:rFonts w:ascii="Times New Roman" w:hAnsi="Times New Roman" w:cs="Times New Roman"/>
          <w:b/>
          <w:i w:val="0"/>
          <w:color w:val="auto"/>
          <w:sz w:val="24"/>
          <w:szCs w:val="24"/>
        </w:rPr>
        <w:t xml:space="preserve">Figura </w:t>
      </w:r>
      <w:r w:rsidR="00B46FE0">
        <w:rPr>
          <w:rFonts w:ascii="Times New Roman" w:hAnsi="Times New Roman" w:cs="Times New Roman"/>
          <w:b/>
          <w:i w:val="0"/>
          <w:color w:val="auto"/>
          <w:sz w:val="24"/>
          <w:szCs w:val="24"/>
        </w:rPr>
        <w:t>9</w:t>
      </w:r>
      <w:r w:rsidRPr="006D7A8C">
        <w:rPr>
          <w:rFonts w:ascii="Times New Roman" w:hAnsi="Times New Roman" w:cs="Times New Roman"/>
          <w:i w:val="0"/>
          <w:color w:val="auto"/>
          <w:sz w:val="24"/>
          <w:szCs w:val="24"/>
        </w:rPr>
        <w:t xml:space="preserve"> - Percentual de financiamento público e privado de 2000 a 2014</w:t>
      </w:r>
      <w:bookmarkEnd w:id="17"/>
    </w:p>
    <w:p w14:paraId="13A15F40" w14:textId="77777777" w:rsidR="00FB0FF3" w:rsidRPr="00241E53" w:rsidRDefault="00FB0FF3"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Elaborado com dados da PINTEC (2014).</w:t>
      </w:r>
    </w:p>
    <w:p w14:paraId="30CFCF13" w14:textId="34A0C8BA" w:rsidR="00FB0FF3" w:rsidRPr="006D7A8C" w:rsidRDefault="00FB0FF3" w:rsidP="0064723A">
      <w:pPr>
        <w:spacing w:after="0" w:line="240" w:lineRule="auto"/>
        <w:jc w:val="both"/>
        <w:rPr>
          <w:rFonts w:ascii="Times New Roman" w:hAnsi="Times New Roman" w:cs="Times New Roman"/>
          <w:sz w:val="24"/>
          <w:szCs w:val="24"/>
        </w:rPr>
      </w:pPr>
    </w:p>
    <w:p w14:paraId="17415832" w14:textId="3C4030E6" w:rsidR="001335E6" w:rsidRPr="006D7A8C" w:rsidRDefault="001335E6" w:rsidP="0064723A">
      <w:pPr>
        <w:spacing w:after="0"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Uma vez analisados </w:t>
      </w:r>
      <w:r w:rsidR="00B73DEA" w:rsidRPr="006D7A8C">
        <w:rPr>
          <w:rFonts w:ascii="Times New Roman" w:hAnsi="Times New Roman" w:cs="Times New Roman"/>
          <w:sz w:val="24"/>
          <w:szCs w:val="24"/>
        </w:rPr>
        <w:t xml:space="preserve">os principais </w:t>
      </w:r>
      <w:r w:rsidRPr="006D7A8C">
        <w:rPr>
          <w:rFonts w:ascii="Times New Roman" w:hAnsi="Times New Roman" w:cs="Times New Roman"/>
          <w:sz w:val="24"/>
          <w:szCs w:val="24"/>
        </w:rPr>
        <w:t xml:space="preserve">indicadores de Conduta do </w:t>
      </w:r>
      <w:r w:rsidR="00B029EC">
        <w:rPr>
          <w:rFonts w:ascii="Times New Roman" w:hAnsi="Times New Roman" w:cs="Times New Roman"/>
          <w:sz w:val="24"/>
          <w:szCs w:val="24"/>
        </w:rPr>
        <w:t>paradigma</w:t>
      </w:r>
      <w:r w:rsidRPr="006D7A8C">
        <w:rPr>
          <w:rFonts w:ascii="Times New Roman" w:hAnsi="Times New Roman" w:cs="Times New Roman"/>
          <w:sz w:val="24"/>
          <w:szCs w:val="24"/>
        </w:rPr>
        <w:t xml:space="preserve"> ECD para a indústria extrativa mineral brasileira, a seção a seguir fará a avaliação das variáveis que exprimem o desempenho do mesmo.</w:t>
      </w:r>
    </w:p>
    <w:p w14:paraId="7498D7F1" w14:textId="2B150B35" w:rsidR="00FB0FF3" w:rsidRPr="006D7A8C" w:rsidRDefault="00FB0FF3"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b/>
      </w:r>
    </w:p>
    <w:p w14:paraId="5CD001AE" w14:textId="65DA3E3D" w:rsidR="00E110D6" w:rsidRPr="006D7A8C" w:rsidRDefault="00CD3001" w:rsidP="0064723A">
      <w:pPr>
        <w:spacing w:line="240" w:lineRule="auto"/>
        <w:jc w:val="both"/>
        <w:rPr>
          <w:rFonts w:ascii="Times New Roman" w:hAnsi="Times New Roman" w:cs="Times New Roman"/>
          <w:b/>
          <w:color w:val="000000" w:themeColor="text1"/>
          <w:sz w:val="24"/>
          <w:szCs w:val="24"/>
        </w:rPr>
      </w:pPr>
      <w:bookmarkStart w:id="18" w:name="_Toc510211756"/>
      <w:r>
        <w:rPr>
          <w:rFonts w:ascii="Times New Roman" w:hAnsi="Times New Roman" w:cs="Times New Roman"/>
          <w:b/>
          <w:color w:val="000000" w:themeColor="text1"/>
          <w:sz w:val="24"/>
          <w:szCs w:val="24"/>
        </w:rPr>
        <w:t>2</w:t>
      </w:r>
      <w:r w:rsidR="00CF6933" w:rsidRPr="006D7A8C">
        <w:rPr>
          <w:rFonts w:ascii="Times New Roman" w:hAnsi="Times New Roman" w:cs="Times New Roman"/>
          <w:b/>
          <w:color w:val="000000" w:themeColor="text1"/>
          <w:sz w:val="24"/>
          <w:szCs w:val="24"/>
        </w:rPr>
        <w:t xml:space="preserve">.4. </w:t>
      </w:r>
      <w:r w:rsidRPr="006D7A8C">
        <w:rPr>
          <w:rFonts w:ascii="Times New Roman" w:hAnsi="Times New Roman" w:cs="Times New Roman"/>
          <w:b/>
          <w:color w:val="000000" w:themeColor="text1"/>
          <w:sz w:val="24"/>
          <w:szCs w:val="24"/>
        </w:rPr>
        <w:t>Desempenho da indústria extrativa mineral brasileira</w:t>
      </w:r>
      <w:bookmarkEnd w:id="18"/>
    </w:p>
    <w:p w14:paraId="60D4E046" w14:textId="7FC6D849" w:rsidR="006C532C" w:rsidRPr="006D7A8C" w:rsidRDefault="009E411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 avaliação do desempenho está baseada</w:t>
      </w:r>
      <w:r w:rsidR="004A6944" w:rsidRPr="006D7A8C">
        <w:rPr>
          <w:rFonts w:ascii="Times New Roman" w:hAnsi="Times New Roman" w:cs="Times New Roman"/>
          <w:sz w:val="24"/>
          <w:szCs w:val="24"/>
        </w:rPr>
        <w:t xml:space="preserve">, além dos elementos do </w:t>
      </w:r>
      <w:r w:rsidR="00B029EC">
        <w:rPr>
          <w:rFonts w:ascii="Times New Roman" w:hAnsi="Times New Roman" w:cs="Times New Roman"/>
          <w:sz w:val="24"/>
          <w:szCs w:val="24"/>
        </w:rPr>
        <w:t>paradigma</w:t>
      </w:r>
      <w:r w:rsidR="004A6944" w:rsidRPr="006D7A8C">
        <w:rPr>
          <w:rFonts w:ascii="Times New Roman" w:hAnsi="Times New Roman" w:cs="Times New Roman"/>
          <w:sz w:val="24"/>
          <w:szCs w:val="24"/>
        </w:rPr>
        <w:t xml:space="preserve"> ECD,</w:t>
      </w:r>
      <w:r w:rsidRPr="006D7A8C">
        <w:rPr>
          <w:rFonts w:ascii="Times New Roman" w:hAnsi="Times New Roman" w:cs="Times New Roman"/>
          <w:sz w:val="24"/>
          <w:szCs w:val="24"/>
        </w:rPr>
        <w:t xml:space="preserve"> no conceito de competitividade do Estudo da Competitividade Industrial Brasileira</w:t>
      </w:r>
      <w:r w:rsidR="004A6944" w:rsidRPr="006D7A8C">
        <w:rPr>
          <w:rFonts w:ascii="Times New Roman" w:hAnsi="Times New Roman" w:cs="Times New Roman"/>
          <w:sz w:val="24"/>
          <w:szCs w:val="24"/>
        </w:rPr>
        <w:t xml:space="preserve"> (ECIB)</w:t>
      </w:r>
      <w:r w:rsidR="008A2CFA" w:rsidRPr="006D7A8C">
        <w:rPr>
          <w:rStyle w:val="Refdenotaderodap"/>
          <w:rFonts w:ascii="Times New Roman" w:hAnsi="Times New Roman" w:cs="Times New Roman"/>
          <w:sz w:val="24"/>
          <w:szCs w:val="24"/>
        </w:rPr>
        <w:footnoteReference w:id="15"/>
      </w:r>
      <w:r w:rsidR="008A2CFA" w:rsidRPr="006D7A8C">
        <w:rPr>
          <w:rFonts w:ascii="Times New Roman" w:hAnsi="Times New Roman" w:cs="Times New Roman"/>
          <w:sz w:val="24"/>
          <w:szCs w:val="24"/>
        </w:rPr>
        <w:t>.</w:t>
      </w:r>
      <w:r w:rsidRPr="006D7A8C">
        <w:rPr>
          <w:rFonts w:ascii="Times New Roman" w:hAnsi="Times New Roman" w:cs="Times New Roman"/>
          <w:sz w:val="24"/>
          <w:szCs w:val="24"/>
        </w:rPr>
        <w:t xml:space="preserve"> </w:t>
      </w:r>
      <w:r w:rsidR="006C532C" w:rsidRPr="006D7A8C">
        <w:rPr>
          <w:rFonts w:ascii="Times New Roman" w:hAnsi="Times New Roman" w:cs="Times New Roman"/>
          <w:sz w:val="24"/>
          <w:szCs w:val="24"/>
        </w:rPr>
        <w:t xml:space="preserve">Neste sentido, são três os fatores determinantes da competitividade: </w:t>
      </w:r>
    </w:p>
    <w:p w14:paraId="68CB8A64" w14:textId="16845AA0" w:rsidR="006C532C" w:rsidRPr="006D7A8C" w:rsidRDefault="006C532C" w:rsidP="0064723A">
      <w:pPr>
        <w:pStyle w:val="PargrafodaLista"/>
        <w:numPr>
          <w:ilvl w:val="0"/>
          <w:numId w:val="2"/>
        </w:numPr>
        <w:spacing w:line="240" w:lineRule="auto"/>
        <w:ind w:left="0" w:firstLine="0"/>
        <w:jc w:val="both"/>
        <w:rPr>
          <w:rFonts w:ascii="Times New Roman" w:hAnsi="Times New Roman" w:cs="Times New Roman"/>
          <w:sz w:val="24"/>
          <w:szCs w:val="24"/>
        </w:rPr>
      </w:pPr>
      <w:r w:rsidRPr="006D7A8C">
        <w:rPr>
          <w:rFonts w:ascii="Times New Roman" w:hAnsi="Times New Roman" w:cs="Times New Roman"/>
          <w:sz w:val="24"/>
          <w:szCs w:val="24"/>
        </w:rPr>
        <w:t>Fatores internos à empresa, que se referem aos elementos que estão esfera de decisões exclusivamente internas dessas, tais como inovação, qualidade do produto etc.</w:t>
      </w:r>
    </w:p>
    <w:p w14:paraId="7429187C" w14:textId="07078CB0" w:rsidR="006C532C" w:rsidRPr="006D7A8C" w:rsidRDefault="006C532C" w:rsidP="0064723A">
      <w:pPr>
        <w:pStyle w:val="PargrafodaLista"/>
        <w:numPr>
          <w:ilvl w:val="0"/>
          <w:numId w:val="2"/>
        </w:numPr>
        <w:spacing w:line="240" w:lineRule="auto"/>
        <w:ind w:left="0" w:firstLine="0"/>
        <w:jc w:val="both"/>
        <w:rPr>
          <w:rFonts w:ascii="Times New Roman" w:hAnsi="Times New Roman" w:cs="Times New Roman"/>
          <w:sz w:val="24"/>
          <w:szCs w:val="24"/>
        </w:rPr>
      </w:pPr>
      <w:r w:rsidRPr="006D7A8C">
        <w:rPr>
          <w:rFonts w:ascii="Times New Roman" w:hAnsi="Times New Roman" w:cs="Times New Roman"/>
          <w:sz w:val="24"/>
          <w:szCs w:val="24"/>
        </w:rPr>
        <w:t>Fatores estruturais, que são aqueles que estão parcialmente sob influência a influência das empresas, que determinam o grau de competição setorial.</w:t>
      </w:r>
    </w:p>
    <w:p w14:paraId="47ACEB71" w14:textId="61F75A50" w:rsidR="006C532C" w:rsidRPr="006D7A8C" w:rsidRDefault="006C532C" w:rsidP="0064723A">
      <w:pPr>
        <w:pStyle w:val="PargrafodaLista"/>
        <w:numPr>
          <w:ilvl w:val="0"/>
          <w:numId w:val="2"/>
        </w:numPr>
        <w:spacing w:line="240" w:lineRule="auto"/>
        <w:ind w:left="0" w:firstLine="0"/>
        <w:jc w:val="both"/>
        <w:rPr>
          <w:rFonts w:ascii="Times New Roman" w:hAnsi="Times New Roman" w:cs="Times New Roman"/>
          <w:sz w:val="24"/>
          <w:szCs w:val="24"/>
        </w:rPr>
      </w:pPr>
      <w:r w:rsidRPr="006D7A8C">
        <w:rPr>
          <w:rFonts w:ascii="Times New Roman" w:hAnsi="Times New Roman" w:cs="Times New Roman"/>
          <w:sz w:val="24"/>
          <w:szCs w:val="24"/>
        </w:rPr>
        <w:t xml:space="preserve">Fatores sistêmicos são aqueles geram externalidades para a atividade produtiva e afetam diretamente as vantagens competitivas das empresas. Entre esses elementos destacam-se a política macroeconômica e as políticas regulatórias. </w:t>
      </w:r>
    </w:p>
    <w:p w14:paraId="6571A2B3" w14:textId="4B176038" w:rsidR="00EA0FE9" w:rsidRPr="006D7A8C" w:rsidRDefault="004A6944"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Levando em consideração</w:t>
      </w:r>
      <w:r w:rsidR="00EA0FE9" w:rsidRPr="006D7A8C">
        <w:rPr>
          <w:rFonts w:ascii="Times New Roman" w:hAnsi="Times New Roman" w:cs="Times New Roman"/>
          <w:sz w:val="24"/>
          <w:szCs w:val="24"/>
        </w:rPr>
        <w:t xml:space="preserve"> </w:t>
      </w:r>
      <w:r w:rsidRPr="006D7A8C">
        <w:rPr>
          <w:rFonts w:ascii="Times New Roman" w:hAnsi="Times New Roman" w:cs="Times New Roman"/>
          <w:sz w:val="24"/>
          <w:szCs w:val="24"/>
        </w:rPr>
        <w:t>os resultados preconizados pel</w:t>
      </w:r>
      <w:r w:rsidR="00EA0FE9" w:rsidRPr="006D7A8C">
        <w:rPr>
          <w:rFonts w:ascii="Times New Roman" w:hAnsi="Times New Roman" w:cs="Times New Roman"/>
          <w:sz w:val="24"/>
          <w:szCs w:val="24"/>
        </w:rPr>
        <w:t>os indicadores sistêmicos destacam-se a produção de Nióbio, Alumínio e Ferro, cuja produção vem crescendo a taxas expressivas dentro do período analisado. Ainda quanto a esse fator determinante outros indicadores que apontam para um desempenho positivo significativo da indústria extrativa naciona</w:t>
      </w:r>
      <w:r w:rsidR="008A2CFA" w:rsidRPr="006D7A8C">
        <w:rPr>
          <w:rFonts w:ascii="Times New Roman" w:hAnsi="Times New Roman" w:cs="Times New Roman"/>
          <w:sz w:val="24"/>
          <w:szCs w:val="24"/>
        </w:rPr>
        <w:t>l</w:t>
      </w:r>
      <w:r w:rsidR="00EA0FE9" w:rsidRPr="006D7A8C">
        <w:rPr>
          <w:rFonts w:ascii="Times New Roman" w:hAnsi="Times New Roman" w:cs="Times New Roman"/>
          <w:sz w:val="24"/>
          <w:szCs w:val="24"/>
        </w:rPr>
        <w:t xml:space="preserve"> é a sua participação no volume global exportado, sobretudo do Nióbio, do ferro e do alumínio. Deve-se destacar, </w:t>
      </w:r>
      <w:r w:rsidR="008A2CFA" w:rsidRPr="006D7A8C">
        <w:rPr>
          <w:rFonts w:ascii="Times New Roman" w:hAnsi="Times New Roman" w:cs="Times New Roman"/>
          <w:sz w:val="24"/>
          <w:szCs w:val="24"/>
        </w:rPr>
        <w:t xml:space="preserve">a </w:t>
      </w:r>
      <w:r w:rsidR="00EA0FE9" w:rsidRPr="006D7A8C">
        <w:rPr>
          <w:rFonts w:ascii="Times New Roman" w:hAnsi="Times New Roman" w:cs="Times New Roman"/>
          <w:sz w:val="24"/>
          <w:szCs w:val="24"/>
        </w:rPr>
        <w:t xml:space="preserve">participação </w:t>
      </w:r>
      <w:r w:rsidR="008A2CFA" w:rsidRPr="006D7A8C">
        <w:rPr>
          <w:rFonts w:ascii="Times New Roman" w:hAnsi="Times New Roman" w:cs="Times New Roman"/>
          <w:sz w:val="24"/>
          <w:szCs w:val="24"/>
        </w:rPr>
        <w:t xml:space="preserve">do ferro no </w:t>
      </w:r>
      <w:r w:rsidR="00EA0FE9" w:rsidRPr="006D7A8C">
        <w:rPr>
          <w:rFonts w:ascii="Times New Roman" w:hAnsi="Times New Roman" w:cs="Times New Roman"/>
          <w:sz w:val="24"/>
          <w:szCs w:val="24"/>
        </w:rPr>
        <w:t>mercado internacional</w:t>
      </w:r>
      <w:r w:rsidR="008A2CFA" w:rsidRPr="006D7A8C">
        <w:rPr>
          <w:rFonts w:ascii="Times New Roman" w:hAnsi="Times New Roman" w:cs="Times New Roman"/>
          <w:sz w:val="24"/>
          <w:szCs w:val="24"/>
        </w:rPr>
        <w:t xml:space="preserve">, por responder por 19,1% do total comercializado no mundo, assumindo relevância em termos de </w:t>
      </w:r>
      <w:r w:rsidR="00EA0FE9" w:rsidRPr="006D7A8C">
        <w:rPr>
          <w:rFonts w:ascii="Times New Roman" w:hAnsi="Times New Roman" w:cs="Times New Roman"/>
          <w:sz w:val="24"/>
          <w:szCs w:val="24"/>
        </w:rPr>
        <w:t xml:space="preserve">produção e valor, </w:t>
      </w:r>
      <w:r w:rsidR="008A2CFA" w:rsidRPr="006D7A8C">
        <w:rPr>
          <w:rFonts w:ascii="Times New Roman" w:hAnsi="Times New Roman" w:cs="Times New Roman"/>
          <w:sz w:val="24"/>
          <w:szCs w:val="24"/>
        </w:rPr>
        <w:t xml:space="preserve">e conferindo ao </w:t>
      </w:r>
      <w:r w:rsidR="00EA0FE9" w:rsidRPr="006D7A8C">
        <w:rPr>
          <w:rFonts w:ascii="Times New Roman" w:hAnsi="Times New Roman" w:cs="Times New Roman"/>
          <w:sz w:val="24"/>
          <w:szCs w:val="24"/>
        </w:rPr>
        <w:t xml:space="preserve">Brasil </w:t>
      </w:r>
      <w:r w:rsidR="008A2CFA" w:rsidRPr="006D7A8C">
        <w:rPr>
          <w:rFonts w:ascii="Times New Roman" w:hAnsi="Times New Roman" w:cs="Times New Roman"/>
          <w:sz w:val="24"/>
          <w:szCs w:val="24"/>
        </w:rPr>
        <w:t xml:space="preserve">a posição de </w:t>
      </w:r>
      <w:r w:rsidR="00EA0FE9" w:rsidRPr="006D7A8C">
        <w:rPr>
          <w:rFonts w:ascii="Times New Roman" w:hAnsi="Times New Roman" w:cs="Times New Roman"/>
          <w:sz w:val="24"/>
          <w:szCs w:val="24"/>
        </w:rPr>
        <w:t xml:space="preserve">segundo </w:t>
      </w:r>
      <w:r w:rsidR="00EA0FE9" w:rsidRPr="006D7A8C">
        <w:rPr>
          <w:rFonts w:ascii="Times New Roman" w:hAnsi="Times New Roman" w:cs="Times New Roman"/>
          <w:sz w:val="24"/>
          <w:szCs w:val="24"/>
        </w:rPr>
        <w:lastRenderedPageBreak/>
        <w:t xml:space="preserve">maior exportador de minério de ferro. A tabela a seguir apresenta em detalhes tais indicadores. </w:t>
      </w:r>
    </w:p>
    <w:p w14:paraId="6AC9A379" w14:textId="06D893D9" w:rsidR="00EA0FE9" w:rsidRPr="006D7A8C" w:rsidRDefault="00EA0FE9" w:rsidP="0064723A">
      <w:pPr>
        <w:pStyle w:val="Legenda"/>
        <w:keepNext/>
        <w:spacing w:after="0"/>
        <w:jc w:val="both"/>
        <w:rPr>
          <w:rFonts w:ascii="Times New Roman" w:hAnsi="Times New Roman" w:cs="Times New Roman"/>
          <w:i w:val="0"/>
          <w:color w:val="000000" w:themeColor="text1"/>
          <w:sz w:val="24"/>
          <w:szCs w:val="24"/>
        </w:rPr>
      </w:pPr>
      <w:bookmarkStart w:id="19" w:name="_Toc510210953"/>
      <w:r w:rsidRPr="006D7A8C">
        <w:rPr>
          <w:rFonts w:ascii="Times New Roman" w:hAnsi="Times New Roman" w:cs="Times New Roman"/>
          <w:i w:val="0"/>
          <w:color w:val="000000" w:themeColor="text1"/>
          <w:sz w:val="24"/>
          <w:szCs w:val="24"/>
        </w:rPr>
        <w:t xml:space="preserve">Tabela </w:t>
      </w:r>
      <w:r w:rsidRPr="006D7A8C">
        <w:rPr>
          <w:rFonts w:ascii="Times New Roman" w:hAnsi="Times New Roman" w:cs="Times New Roman"/>
          <w:i w:val="0"/>
          <w:color w:val="000000" w:themeColor="text1"/>
          <w:sz w:val="24"/>
          <w:szCs w:val="24"/>
        </w:rPr>
        <w:fldChar w:fldCharType="begin"/>
      </w:r>
      <w:r w:rsidRPr="006D7A8C">
        <w:rPr>
          <w:rFonts w:ascii="Times New Roman" w:hAnsi="Times New Roman" w:cs="Times New Roman"/>
          <w:i w:val="0"/>
          <w:color w:val="000000" w:themeColor="text1"/>
          <w:sz w:val="24"/>
          <w:szCs w:val="24"/>
        </w:rPr>
        <w:instrText xml:space="preserve"> SEQ Tabela \* ARABIC </w:instrText>
      </w:r>
      <w:r w:rsidRPr="006D7A8C">
        <w:rPr>
          <w:rFonts w:ascii="Times New Roman" w:hAnsi="Times New Roman" w:cs="Times New Roman"/>
          <w:i w:val="0"/>
          <w:color w:val="000000" w:themeColor="text1"/>
          <w:sz w:val="24"/>
          <w:szCs w:val="24"/>
        </w:rPr>
        <w:fldChar w:fldCharType="separate"/>
      </w:r>
      <w:r w:rsidR="00F4491E" w:rsidRPr="006D7A8C">
        <w:rPr>
          <w:rFonts w:ascii="Times New Roman" w:hAnsi="Times New Roman" w:cs="Times New Roman"/>
          <w:i w:val="0"/>
          <w:noProof/>
          <w:color w:val="000000" w:themeColor="text1"/>
          <w:sz w:val="24"/>
          <w:szCs w:val="24"/>
        </w:rPr>
        <w:t>5</w:t>
      </w:r>
      <w:r w:rsidRPr="006D7A8C">
        <w:rPr>
          <w:rFonts w:ascii="Times New Roman" w:hAnsi="Times New Roman" w:cs="Times New Roman"/>
          <w:i w:val="0"/>
          <w:color w:val="000000" w:themeColor="text1"/>
          <w:sz w:val="24"/>
          <w:szCs w:val="24"/>
        </w:rPr>
        <w:fldChar w:fldCharType="end"/>
      </w:r>
      <w:r w:rsidRPr="006D7A8C">
        <w:rPr>
          <w:rFonts w:ascii="Times New Roman" w:hAnsi="Times New Roman" w:cs="Times New Roman"/>
          <w:i w:val="0"/>
          <w:color w:val="000000" w:themeColor="text1"/>
          <w:sz w:val="24"/>
          <w:szCs w:val="24"/>
        </w:rPr>
        <w:t xml:space="preserve">- Taxa de crescimento da produção, Market </w:t>
      </w:r>
      <w:proofErr w:type="spellStart"/>
      <w:r w:rsidRPr="006D7A8C">
        <w:rPr>
          <w:rFonts w:ascii="Times New Roman" w:hAnsi="Times New Roman" w:cs="Times New Roman"/>
          <w:i w:val="0"/>
          <w:color w:val="000000" w:themeColor="text1"/>
          <w:sz w:val="24"/>
          <w:szCs w:val="24"/>
        </w:rPr>
        <w:t>share</w:t>
      </w:r>
      <w:proofErr w:type="spellEnd"/>
      <w:r w:rsidRPr="006D7A8C">
        <w:rPr>
          <w:rFonts w:ascii="Times New Roman" w:hAnsi="Times New Roman" w:cs="Times New Roman"/>
          <w:i w:val="0"/>
          <w:color w:val="000000" w:themeColor="text1"/>
          <w:sz w:val="24"/>
          <w:szCs w:val="24"/>
        </w:rPr>
        <w:t xml:space="preserve"> e participação do Brasil nas exportações mundiais</w:t>
      </w:r>
      <w:bookmarkEnd w:id="19"/>
    </w:p>
    <w:tbl>
      <w:tblPr>
        <w:tblW w:w="8862" w:type="dxa"/>
        <w:tblCellMar>
          <w:left w:w="70" w:type="dxa"/>
          <w:right w:w="70" w:type="dxa"/>
        </w:tblCellMar>
        <w:tblLook w:val="04A0" w:firstRow="1" w:lastRow="0" w:firstColumn="1" w:lastColumn="0" w:noHBand="0" w:noVBand="1"/>
      </w:tblPr>
      <w:tblGrid>
        <w:gridCol w:w="1418"/>
        <w:gridCol w:w="1872"/>
        <w:gridCol w:w="2037"/>
        <w:gridCol w:w="1178"/>
        <w:gridCol w:w="2357"/>
      </w:tblGrid>
      <w:tr w:rsidR="00EA0FE9" w:rsidRPr="006D7A8C" w14:paraId="6BB58B5A" w14:textId="77777777" w:rsidTr="00B42EE0">
        <w:trPr>
          <w:trHeight w:val="1200"/>
        </w:trPr>
        <w:tc>
          <w:tcPr>
            <w:tcW w:w="1418" w:type="dxa"/>
            <w:tcBorders>
              <w:top w:val="single" w:sz="4" w:space="0" w:color="auto"/>
              <w:left w:val="nil"/>
              <w:bottom w:val="single" w:sz="4" w:space="0" w:color="auto"/>
              <w:right w:val="nil"/>
            </w:tcBorders>
            <w:shd w:val="clear" w:color="auto" w:fill="auto"/>
            <w:noWrap/>
            <w:vAlign w:val="center"/>
            <w:hideMark/>
          </w:tcPr>
          <w:p w14:paraId="1ED8365F" w14:textId="77777777" w:rsidR="00EA0FE9" w:rsidRPr="006D7A8C" w:rsidRDefault="00EA0FE9"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Metal</w:t>
            </w:r>
          </w:p>
        </w:tc>
        <w:tc>
          <w:tcPr>
            <w:tcW w:w="1872" w:type="dxa"/>
            <w:tcBorders>
              <w:top w:val="single" w:sz="4" w:space="0" w:color="auto"/>
              <w:left w:val="nil"/>
              <w:bottom w:val="single" w:sz="4" w:space="0" w:color="auto"/>
              <w:right w:val="nil"/>
            </w:tcBorders>
            <w:shd w:val="clear" w:color="auto" w:fill="auto"/>
            <w:vAlign w:val="center"/>
            <w:hideMark/>
          </w:tcPr>
          <w:p w14:paraId="67AA8E36" w14:textId="77777777" w:rsidR="00EA0FE9" w:rsidRPr="006D7A8C" w:rsidRDefault="00EA0FE9" w:rsidP="00AA37B1">
            <w:pPr>
              <w:spacing w:after="0" w:line="240" w:lineRule="auto"/>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Crescimento da produção (2000/2016)</w:t>
            </w:r>
          </w:p>
        </w:tc>
        <w:tc>
          <w:tcPr>
            <w:tcW w:w="2037" w:type="dxa"/>
            <w:tcBorders>
              <w:top w:val="single" w:sz="4" w:space="0" w:color="auto"/>
              <w:left w:val="nil"/>
              <w:bottom w:val="single" w:sz="4" w:space="0" w:color="auto"/>
              <w:right w:val="nil"/>
            </w:tcBorders>
            <w:shd w:val="clear" w:color="auto" w:fill="auto"/>
            <w:vAlign w:val="center"/>
            <w:hideMark/>
          </w:tcPr>
          <w:p w14:paraId="151E9432" w14:textId="77777777" w:rsidR="00EA0FE9" w:rsidRPr="006D7A8C" w:rsidRDefault="00EA0FE9" w:rsidP="00AA37B1">
            <w:pPr>
              <w:spacing w:after="0" w:line="240" w:lineRule="auto"/>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Crescimento médio anual da produção (2000/2016)</w:t>
            </w:r>
          </w:p>
        </w:tc>
        <w:tc>
          <w:tcPr>
            <w:tcW w:w="1178" w:type="dxa"/>
            <w:tcBorders>
              <w:top w:val="single" w:sz="4" w:space="0" w:color="auto"/>
              <w:left w:val="nil"/>
              <w:bottom w:val="single" w:sz="4" w:space="0" w:color="auto"/>
              <w:right w:val="nil"/>
            </w:tcBorders>
            <w:shd w:val="clear" w:color="auto" w:fill="auto"/>
            <w:vAlign w:val="center"/>
            <w:hideMark/>
          </w:tcPr>
          <w:p w14:paraId="51280F31" w14:textId="77777777" w:rsidR="00EA0FE9" w:rsidRPr="006D7A8C" w:rsidRDefault="00EA0FE9"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i/>
                <w:color w:val="000000"/>
                <w:sz w:val="24"/>
                <w:szCs w:val="24"/>
              </w:rPr>
              <w:t xml:space="preserve">Market </w:t>
            </w:r>
            <w:proofErr w:type="spellStart"/>
            <w:r w:rsidRPr="006D7A8C">
              <w:rPr>
                <w:rFonts w:ascii="Times New Roman" w:eastAsia="Times New Roman" w:hAnsi="Times New Roman" w:cs="Times New Roman"/>
                <w:b/>
                <w:bCs/>
                <w:i/>
                <w:color w:val="000000"/>
                <w:sz w:val="24"/>
                <w:szCs w:val="24"/>
              </w:rPr>
              <w:t>share</w:t>
            </w:r>
            <w:proofErr w:type="spellEnd"/>
            <w:r w:rsidRPr="006D7A8C">
              <w:rPr>
                <w:rFonts w:ascii="Times New Roman" w:eastAsia="Times New Roman" w:hAnsi="Times New Roman" w:cs="Times New Roman"/>
                <w:b/>
                <w:bCs/>
                <w:i/>
                <w:color w:val="000000"/>
                <w:sz w:val="24"/>
                <w:szCs w:val="24"/>
              </w:rPr>
              <w:t xml:space="preserve"> </w:t>
            </w:r>
            <w:r w:rsidRPr="006D7A8C">
              <w:rPr>
                <w:rFonts w:ascii="Times New Roman" w:eastAsia="Times New Roman" w:hAnsi="Times New Roman" w:cs="Times New Roman"/>
                <w:b/>
                <w:bCs/>
                <w:color w:val="000000"/>
                <w:sz w:val="24"/>
                <w:szCs w:val="24"/>
              </w:rPr>
              <w:t>(2016)</w:t>
            </w:r>
          </w:p>
        </w:tc>
        <w:tc>
          <w:tcPr>
            <w:tcW w:w="2357" w:type="dxa"/>
            <w:tcBorders>
              <w:top w:val="single" w:sz="4" w:space="0" w:color="auto"/>
              <w:left w:val="nil"/>
              <w:bottom w:val="single" w:sz="4" w:space="0" w:color="auto"/>
              <w:right w:val="nil"/>
            </w:tcBorders>
            <w:shd w:val="clear" w:color="auto" w:fill="auto"/>
            <w:vAlign w:val="center"/>
            <w:hideMark/>
          </w:tcPr>
          <w:p w14:paraId="08DB9A27" w14:textId="77777777" w:rsidR="00EA0FE9" w:rsidRPr="006D7A8C" w:rsidRDefault="00EA0FE9" w:rsidP="0064723A">
            <w:pPr>
              <w:spacing w:after="0" w:line="240" w:lineRule="auto"/>
              <w:jc w:val="both"/>
              <w:rPr>
                <w:rFonts w:ascii="Times New Roman" w:eastAsia="Times New Roman" w:hAnsi="Times New Roman" w:cs="Times New Roman"/>
                <w:b/>
                <w:bCs/>
                <w:color w:val="000000"/>
                <w:sz w:val="24"/>
                <w:szCs w:val="24"/>
              </w:rPr>
            </w:pPr>
            <w:r w:rsidRPr="006D7A8C">
              <w:rPr>
                <w:rFonts w:ascii="Times New Roman" w:eastAsia="Times New Roman" w:hAnsi="Times New Roman" w:cs="Times New Roman"/>
                <w:b/>
                <w:bCs/>
                <w:color w:val="000000"/>
                <w:sz w:val="24"/>
                <w:szCs w:val="24"/>
              </w:rPr>
              <w:t xml:space="preserve">Posição no </w:t>
            </w:r>
            <w:r w:rsidRPr="006D7A8C">
              <w:rPr>
                <w:rFonts w:ascii="Times New Roman" w:eastAsia="Times New Roman" w:hAnsi="Times New Roman" w:cs="Times New Roman"/>
                <w:b/>
                <w:bCs/>
                <w:i/>
                <w:iCs/>
                <w:color w:val="000000"/>
                <w:sz w:val="24"/>
                <w:szCs w:val="24"/>
              </w:rPr>
              <w:t>ranking</w:t>
            </w:r>
            <w:r w:rsidRPr="006D7A8C">
              <w:rPr>
                <w:rFonts w:ascii="Times New Roman" w:eastAsia="Times New Roman" w:hAnsi="Times New Roman" w:cs="Times New Roman"/>
                <w:b/>
                <w:bCs/>
                <w:color w:val="000000"/>
                <w:sz w:val="24"/>
                <w:szCs w:val="24"/>
              </w:rPr>
              <w:t xml:space="preserve"> mundial (2016)</w:t>
            </w:r>
          </w:p>
        </w:tc>
      </w:tr>
      <w:tr w:rsidR="00EA0FE9" w:rsidRPr="006D7A8C" w14:paraId="6BD190FE" w14:textId="77777777" w:rsidTr="00B42EE0">
        <w:trPr>
          <w:trHeight w:val="300"/>
        </w:trPr>
        <w:tc>
          <w:tcPr>
            <w:tcW w:w="1418" w:type="dxa"/>
            <w:tcBorders>
              <w:top w:val="nil"/>
              <w:left w:val="nil"/>
              <w:bottom w:val="nil"/>
              <w:right w:val="nil"/>
            </w:tcBorders>
            <w:shd w:val="clear" w:color="auto" w:fill="auto"/>
            <w:noWrap/>
            <w:vAlign w:val="bottom"/>
            <w:hideMark/>
          </w:tcPr>
          <w:p w14:paraId="2EAFFCF3"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Ferro</w:t>
            </w:r>
          </w:p>
        </w:tc>
        <w:tc>
          <w:tcPr>
            <w:tcW w:w="1872" w:type="dxa"/>
            <w:tcBorders>
              <w:top w:val="nil"/>
              <w:left w:val="nil"/>
              <w:bottom w:val="nil"/>
              <w:right w:val="nil"/>
            </w:tcBorders>
            <w:shd w:val="clear" w:color="auto" w:fill="auto"/>
            <w:noWrap/>
            <w:vAlign w:val="bottom"/>
            <w:hideMark/>
          </w:tcPr>
          <w:p w14:paraId="3087B67E"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108,9%</w:t>
            </w:r>
          </w:p>
        </w:tc>
        <w:tc>
          <w:tcPr>
            <w:tcW w:w="2037" w:type="dxa"/>
            <w:tcBorders>
              <w:top w:val="nil"/>
              <w:left w:val="nil"/>
              <w:bottom w:val="nil"/>
              <w:right w:val="nil"/>
            </w:tcBorders>
            <w:shd w:val="clear" w:color="auto" w:fill="auto"/>
            <w:noWrap/>
            <w:vAlign w:val="bottom"/>
            <w:hideMark/>
          </w:tcPr>
          <w:p w14:paraId="6170CCCC"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4,7%</w:t>
            </w:r>
          </w:p>
        </w:tc>
        <w:tc>
          <w:tcPr>
            <w:tcW w:w="1178" w:type="dxa"/>
            <w:tcBorders>
              <w:top w:val="nil"/>
              <w:left w:val="nil"/>
              <w:bottom w:val="nil"/>
              <w:right w:val="nil"/>
            </w:tcBorders>
            <w:shd w:val="clear" w:color="auto" w:fill="auto"/>
            <w:noWrap/>
            <w:vAlign w:val="bottom"/>
            <w:hideMark/>
          </w:tcPr>
          <w:p w14:paraId="3F6DA3D2"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19,1%</w:t>
            </w:r>
          </w:p>
        </w:tc>
        <w:tc>
          <w:tcPr>
            <w:tcW w:w="2357" w:type="dxa"/>
            <w:tcBorders>
              <w:top w:val="nil"/>
              <w:left w:val="nil"/>
              <w:bottom w:val="nil"/>
              <w:right w:val="nil"/>
            </w:tcBorders>
            <w:shd w:val="clear" w:color="auto" w:fill="auto"/>
            <w:noWrap/>
            <w:vAlign w:val="bottom"/>
            <w:hideMark/>
          </w:tcPr>
          <w:p w14:paraId="6C3296D6"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2ª</w:t>
            </w:r>
          </w:p>
        </w:tc>
      </w:tr>
      <w:tr w:rsidR="00EA0FE9" w:rsidRPr="006D7A8C" w14:paraId="23225378" w14:textId="77777777" w:rsidTr="00B42EE0">
        <w:trPr>
          <w:trHeight w:val="300"/>
        </w:trPr>
        <w:tc>
          <w:tcPr>
            <w:tcW w:w="1418" w:type="dxa"/>
            <w:tcBorders>
              <w:top w:val="nil"/>
              <w:left w:val="nil"/>
              <w:bottom w:val="nil"/>
              <w:right w:val="nil"/>
            </w:tcBorders>
            <w:shd w:val="clear" w:color="auto" w:fill="auto"/>
            <w:noWrap/>
            <w:vAlign w:val="bottom"/>
            <w:hideMark/>
          </w:tcPr>
          <w:p w14:paraId="61B446D9"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Alumínio</w:t>
            </w:r>
          </w:p>
        </w:tc>
        <w:tc>
          <w:tcPr>
            <w:tcW w:w="1872" w:type="dxa"/>
            <w:tcBorders>
              <w:top w:val="nil"/>
              <w:left w:val="nil"/>
              <w:bottom w:val="nil"/>
              <w:right w:val="nil"/>
            </w:tcBorders>
            <w:shd w:val="clear" w:color="auto" w:fill="auto"/>
            <w:noWrap/>
            <w:vAlign w:val="bottom"/>
            <w:hideMark/>
          </w:tcPr>
          <w:p w14:paraId="5C0EE64C"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166,7%</w:t>
            </w:r>
          </w:p>
        </w:tc>
        <w:tc>
          <w:tcPr>
            <w:tcW w:w="2037" w:type="dxa"/>
            <w:tcBorders>
              <w:top w:val="nil"/>
              <w:left w:val="nil"/>
              <w:bottom w:val="nil"/>
              <w:right w:val="nil"/>
            </w:tcBorders>
            <w:shd w:val="clear" w:color="auto" w:fill="auto"/>
            <w:noWrap/>
            <w:vAlign w:val="bottom"/>
            <w:hideMark/>
          </w:tcPr>
          <w:p w14:paraId="42A5C7ED"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6,3%</w:t>
            </w:r>
          </w:p>
        </w:tc>
        <w:tc>
          <w:tcPr>
            <w:tcW w:w="1178" w:type="dxa"/>
            <w:tcBorders>
              <w:top w:val="nil"/>
              <w:left w:val="nil"/>
              <w:bottom w:val="nil"/>
              <w:right w:val="nil"/>
            </w:tcBorders>
            <w:shd w:val="clear" w:color="auto" w:fill="auto"/>
            <w:noWrap/>
            <w:vAlign w:val="bottom"/>
            <w:hideMark/>
          </w:tcPr>
          <w:p w14:paraId="6CF3B286"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10,2%</w:t>
            </w:r>
          </w:p>
        </w:tc>
        <w:tc>
          <w:tcPr>
            <w:tcW w:w="2357" w:type="dxa"/>
            <w:tcBorders>
              <w:top w:val="nil"/>
              <w:left w:val="nil"/>
              <w:bottom w:val="nil"/>
              <w:right w:val="nil"/>
            </w:tcBorders>
            <w:shd w:val="clear" w:color="auto" w:fill="auto"/>
            <w:noWrap/>
            <w:vAlign w:val="bottom"/>
            <w:hideMark/>
          </w:tcPr>
          <w:p w14:paraId="5C14C04E"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3ª</w:t>
            </w:r>
          </w:p>
        </w:tc>
      </w:tr>
      <w:tr w:rsidR="00EA0FE9" w:rsidRPr="006D7A8C" w14:paraId="7D2B39FE" w14:textId="77777777" w:rsidTr="00B42EE0">
        <w:trPr>
          <w:trHeight w:val="300"/>
        </w:trPr>
        <w:tc>
          <w:tcPr>
            <w:tcW w:w="1418" w:type="dxa"/>
            <w:tcBorders>
              <w:top w:val="nil"/>
              <w:left w:val="nil"/>
              <w:bottom w:val="nil"/>
              <w:right w:val="nil"/>
            </w:tcBorders>
            <w:shd w:val="clear" w:color="auto" w:fill="auto"/>
            <w:noWrap/>
            <w:vAlign w:val="bottom"/>
            <w:hideMark/>
          </w:tcPr>
          <w:p w14:paraId="76E8E1FB"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Ouro</w:t>
            </w:r>
          </w:p>
        </w:tc>
        <w:tc>
          <w:tcPr>
            <w:tcW w:w="1872" w:type="dxa"/>
            <w:tcBorders>
              <w:top w:val="nil"/>
              <w:left w:val="nil"/>
              <w:bottom w:val="nil"/>
              <w:right w:val="nil"/>
            </w:tcBorders>
            <w:shd w:val="clear" w:color="auto" w:fill="auto"/>
            <w:noWrap/>
            <w:vAlign w:val="bottom"/>
            <w:hideMark/>
          </w:tcPr>
          <w:p w14:paraId="5F324DA6"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ND</w:t>
            </w:r>
          </w:p>
        </w:tc>
        <w:tc>
          <w:tcPr>
            <w:tcW w:w="2037" w:type="dxa"/>
            <w:tcBorders>
              <w:top w:val="nil"/>
              <w:left w:val="nil"/>
              <w:bottom w:val="nil"/>
              <w:right w:val="nil"/>
            </w:tcBorders>
            <w:shd w:val="clear" w:color="auto" w:fill="auto"/>
            <w:noWrap/>
            <w:vAlign w:val="bottom"/>
            <w:hideMark/>
          </w:tcPr>
          <w:p w14:paraId="27D9AFB3"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ND</w:t>
            </w:r>
          </w:p>
        </w:tc>
        <w:tc>
          <w:tcPr>
            <w:tcW w:w="1178" w:type="dxa"/>
            <w:tcBorders>
              <w:top w:val="nil"/>
              <w:left w:val="nil"/>
              <w:bottom w:val="nil"/>
              <w:right w:val="nil"/>
            </w:tcBorders>
            <w:shd w:val="clear" w:color="auto" w:fill="auto"/>
            <w:noWrap/>
            <w:vAlign w:val="bottom"/>
            <w:hideMark/>
          </w:tcPr>
          <w:p w14:paraId="65362A0F"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2,6%</w:t>
            </w:r>
          </w:p>
        </w:tc>
        <w:tc>
          <w:tcPr>
            <w:tcW w:w="2357" w:type="dxa"/>
            <w:tcBorders>
              <w:top w:val="nil"/>
              <w:left w:val="nil"/>
              <w:bottom w:val="nil"/>
              <w:right w:val="nil"/>
            </w:tcBorders>
            <w:shd w:val="clear" w:color="auto" w:fill="auto"/>
            <w:noWrap/>
            <w:vAlign w:val="bottom"/>
            <w:hideMark/>
          </w:tcPr>
          <w:p w14:paraId="69F87EF4"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12ª</w:t>
            </w:r>
          </w:p>
        </w:tc>
      </w:tr>
      <w:tr w:rsidR="00EA0FE9" w:rsidRPr="006D7A8C" w14:paraId="498E2F72" w14:textId="77777777" w:rsidTr="00B42EE0">
        <w:trPr>
          <w:trHeight w:val="300"/>
        </w:trPr>
        <w:tc>
          <w:tcPr>
            <w:tcW w:w="1418" w:type="dxa"/>
            <w:tcBorders>
              <w:top w:val="nil"/>
              <w:left w:val="nil"/>
              <w:bottom w:val="nil"/>
              <w:right w:val="nil"/>
            </w:tcBorders>
            <w:shd w:val="clear" w:color="auto" w:fill="auto"/>
            <w:noWrap/>
            <w:vAlign w:val="bottom"/>
            <w:hideMark/>
          </w:tcPr>
          <w:p w14:paraId="7E5CBFED"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 xml:space="preserve">Estanho </w:t>
            </w:r>
          </w:p>
        </w:tc>
        <w:tc>
          <w:tcPr>
            <w:tcW w:w="1872" w:type="dxa"/>
            <w:tcBorders>
              <w:top w:val="nil"/>
              <w:left w:val="nil"/>
              <w:bottom w:val="nil"/>
              <w:right w:val="nil"/>
            </w:tcBorders>
            <w:shd w:val="clear" w:color="auto" w:fill="auto"/>
            <w:noWrap/>
            <w:vAlign w:val="bottom"/>
            <w:hideMark/>
          </w:tcPr>
          <w:p w14:paraId="473BF4A3"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-46,8%</w:t>
            </w:r>
          </w:p>
        </w:tc>
        <w:tc>
          <w:tcPr>
            <w:tcW w:w="2037" w:type="dxa"/>
            <w:tcBorders>
              <w:top w:val="nil"/>
              <w:left w:val="nil"/>
              <w:bottom w:val="nil"/>
              <w:right w:val="nil"/>
            </w:tcBorders>
            <w:shd w:val="clear" w:color="auto" w:fill="auto"/>
            <w:noWrap/>
            <w:vAlign w:val="bottom"/>
            <w:hideMark/>
          </w:tcPr>
          <w:p w14:paraId="6224EFB3"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-3,9%</w:t>
            </w:r>
          </w:p>
        </w:tc>
        <w:tc>
          <w:tcPr>
            <w:tcW w:w="1178" w:type="dxa"/>
            <w:tcBorders>
              <w:top w:val="nil"/>
              <w:left w:val="nil"/>
              <w:bottom w:val="nil"/>
              <w:right w:val="nil"/>
            </w:tcBorders>
            <w:shd w:val="clear" w:color="auto" w:fill="auto"/>
            <w:noWrap/>
            <w:vAlign w:val="bottom"/>
            <w:hideMark/>
          </w:tcPr>
          <w:p w14:paraId="3E0C81BD"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11,8%</w:t>
            </w:r>
          </w:p>
        </w:tc>
        <w:tc>
          <w:tcPr>
            <w:tcW w:w="2357" w:type="dxa"/>
            <w:tcBorders>
              <w:top w:val="nil"/>
              <w:left w:val="nil"/>
              <w:bottom w:val="nil"/>
              <w:right w:val="nil"/>
            </w:tcBorders>
            <w:shd w:val="clear" w:color="auto" w:fill="auto"/>
            <w:noWrap/>
            <w:vAlign w:val="bottom"/>
            <w:hideMark/>
          </w:tcPr>
          <w:p w14:paraId="00DA1617"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3ª</w:t>
            </w:r>
          </w:p>
        </w:tc>
      </w:tr>
      <w:tr w:rsidR="00EA0FE9" w:rsidRPr="006D7A8C" w14:paraId="3077F7A6" w14:textId="77777777" w:rsidTr="00B42EE0">
        <w:trPr>
          <w:trHeight w:val="300"/>
        </w:trPr>
        <w:tc>
          <w:tcPr>
            <w:tcW w:w="1418" w:type="dxa"/>
            <w:tcBorders>
              <w:top w:val="nil"/>
              <w:left w:val="nil"/>
              <w:bottom w:val="nil"/>
              <w:right w:val="nil"/>
            </w:tcBorders>
            <w:shd w:val="clear" w:color="auto" w:fill="auto"/>
            <w:noWrap/>
            <w:vAlign w:val="bottom"/>
            <w:hideMark/>
          </w:tcPr>
          <w:p w14:paraId="6EBF0001"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Níquel</w:t>
            </w:r>
          </w:p>
        </w:tc>
        <w:tc>
          <w:tcPr>
            <w:tcW w:w="1872" w:type="dxa"/>
            <w:tcBorders>
              <w:top w:val="nil"/>
              <w:left w:val="nil"/>
              <w:bottom w:val="nil"/>
              <w:right w:val="nil"/>
            </w:tcBorders>
            <w:shd w:val="clear" w:color="auto" w:fill="auto"/>
            <w:noWrap/>
            <w:vAlign w:val="bottom"/>
            <w:hideMark/>
          </w:tcPr>
          <w:p w14:paraId="307018A1"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-24,6%</w:t>
            </w:r>
          </w:p>
        </w:tc>
        <w:tc>
          <w:tcPr>
            <w:tcW w:w="2037" w:type="dxa"/>
            <w:tcBorders>
              <w:top w:val="nil"/>
              <w:left w:val="nil"/>
              <w:bottom w:val="nil"/>
              <w:right w:val="nil"/>
            </w:tcBorders>
            <w:shd w:val="clear" w:color="auto" w:fill="auto"/>
            <w:noWrap/>
            <w:vAlign w:val="bottom"/>
            <w:hideMark/>
          </w:tcPr>
          <w:p w14:paraId="576DB27A"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-1,7%</w:t>
            </w:r>
          </w:p>
        </w:tc>
        <w:tc>
          <w:tcPr>
            <w:tcW w:w="1178" w:type="dxa"/>
            <w:tcBorders>
              <w:top w:val="nil"/>
              <w:left w:val="nil"/>
              <w:bottom w:val="nil"/>
              <w:right w:val="nil"/>
            </w:tcBorders>
            <w:shd w:val="clear" w:color="auto" w:fill="auto"/>
            <w:noWrap/>
            <w:vAlign w:val="bottom"/>
            <w:hideMark/>
          </w:tcPr>
          <w:p w14:paraId="2664D1EE"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6,3%</w:t>
            </w:r>
          </w:p>
        </w:tc>
        <w:tc>
          <w:tcPr>
            <w:tcW w:w="2357" w:type="dxa"/>
            <w:tcBorders>
              <w:top w:val="nil"/>
              <w:left w:val="nil"/>
              <w:bottom w:val="nil"/>
              <w:right w:val="nil"/>
            </w:tcBorders>
            <w:shd w:val="clear" w:color="auto" w:fill="auto"/>
            <w:noWrap/>
            <w:vAlign w:val="bottom"/>
            <w:hideMark/>
          </w:tcPr>
          <w:p w14:paraId="04D6689D"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7ª</w:t>
            </w:r>
          </w:p>
        </w:tc>
      </w:tr>
      <w:tr w:rsidR="00EA0FE9" w:rsidRPr="006D7A8C" w14:paraId="532A4A88" w14:textId="77777777" w:rsidTr="00B42EE0">
        <w:trPr>
          <w:trHeight w:val="300"/>
        </w:trPr>
        <w:tc>
          <w:tcPr>
            <w:tcW w:w="1418" w:type="dxa"/>
            <w:tcBorders>
              <w:top w:val="nil"/>
              <w:left w:val="nil"/>
              <w:bottom w:val="single" w:sz="4" w:space="0" w:color="auto"/>
              <w:right w:val="nil"/>
            </w:tcBorders>
            <w:shd w:val="clear" w:color="auto" w:fill="auto"/>
            <w:noWrap/>
            <w:vAlign w:val="bottom"/>
            <w:hideMark/>
          </w:tcPr>
          <w:p w14:paraId="05646005"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Nióbio</w:t>
            </w:r>
          </w:p>
        </w:tc>
        <w:tc>
          <w:tcPr>
            <w:tcW w:w="1872" w:type="dxa"/>
            <w:tcBorders>
              <w:top w:val="nil"/>
              <w:left w:val="nil"/>
              <w:bottom w:val="single" w:sz="4" w:space="0" w:color="auto"/>
              <w:right w:val="nil"/>
            </w:tcBorders>
            <w:shd w:val="clear" w:color="auto" w:fill="auto"/>
            <w:noWrap/>
            <w:vAlign w:val="bottom"/>
            <w:hideMark/>
          </w:tcPr>
          <w:p w14:paraId="76C44295"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174,9%</w:t>
            </w:r>
          </w:p>
        </w:tc>
        <w:tc>
          <w:tcPr>
            <w:tcW w:w="2037" w:type="dxa"/>
            <w:tcBorders>
              <w:top w:val="nil"/>
              <w:left w:val="nil"/>
              <w:bottom w:val="single" w:sz="4" w:space="0" w:color="auto"/>
              <w:right w:val="nil"/>
            </w:tcBorders>
            <w:shd w:val="clear" w:color="auto" w:fill="auto"/>
            <w:noWrap/>
            <w:vAlign w:val="bottom"/>
            <w:hideMark/>
          </w:tcPr>
          <w:p w14:paraId="623B32C1"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6,5%</w:t>
            </w:r>
          </w:p>
        </w:tc>
        <w:tc>
          <w:tcPr>
            <w:tcW w:w="1178" w:type="dxa"/>
            <w:tcBorders>
              <w:top w:val="nil"/>
              <w:left w:val="nil"/>
              <w:bottom w:val="single" w:sz="4" w:space="0" w:color="auto"/>
              <w:right w:val="nil"/>
            </w:tcBorders>
            <w:shd w:val="clear" w:color="auto" w:fill="auto"/>
            <w:noWrap/>
            <w:vAlign w:val="bottom"/>
            <w:hideMark/>
          </w:tcPr>
          <w:p w14:paraId="14171438"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90,6%</w:t>
            </w:r>
          </w:p>
        </w:tc>
        <w:tc>
          <w:tcPr>
            <w:tcW w:w="2357" w:type="dxa"/>
            <w:tcBorders>
              <w:top w:val="nil"/>
              <w:left w:val="nil"/>
              <w:bottom w:val="single" w:sz="4" w:space="0" w:color="auto"/>
              <w:right w:val="nil"/>
            </w:tcBorders>
            <w:shd w:val="clear" w:color="auto" w:fill="auto"/>
            <w:noWrap/>
            <w:vAlign w:val="bottom"/>
            <w:hideMark/>
          </w:tcPr>
          <w:p w14:paraId="546F76B8" w14:textId="77777777" w:rsidR="00EA0FE9" w:rsidRPr="006D7A8C" w:rsidRDefault="00EA0FE9" w:rsidP="0064723A">
            <w:pPr>
              <w:spacing w:after="0" w:line="240" w:lineRule="auto"/>
              <w:jc w:val="both"/>
              <w:rPr>
                <w:rFonts w:ascii="Times New Roman" w:eastAsia="Times New Roman" w:hAnsi="Times New Roman" w:cs="Times New Roman"/>
                <w:color w:val="000000"/>
                <w:sz w:val="24"/>
                <w:szCs w:val="24"/>
              </w:rPr>
            </w:pPr>
            <w:r w:rsidRPr="006D7A8C">
              <w:rPr>
                <w:rFonts w:ascii="Times New Roman" w:eastAsia="Times New Roman" w:hAnsi="Times New Roman" w:cs="Times New Roman"/>
                <w:color w:val="000000"/>
                <w:sz w:val="24"/>
                <w:szCs w:val="24"/>
              </w:rPr>
              <w:t>1ª</w:t>
            </w:r>
          </w:p>
        </w:tc>
      </w:tr>
    </w:tbl>
    <w:p w14:paraId="187A2D82" w14:textId="0B7507CC" w:rsidR="00EA0FE9" w:rsidRPr="006D7A8C" w:rsidRDefault="00EA0FE9" w:rsidP="0064723A">
      <w:pPr>
        <w:spacing w:after="0" w:line="240" w:lineRule="auto"/>
        <w:jc w:val="both"/>
        <w:rPr>
          <w:rFonts w:ascii="Times New Roman" w:hAnsi="Times New Roman" w:cs="Times New Roman"/>
          <w:sz w:val="24"/>
          <w:szCs w:val="24"/>
        </w:rPr>
      </w:pPr>
      <w:r w:rsidRPr="006D7A8C">
        <w:rPr>
          <w:rFonts w:ascii="Times New Roman" w:hAnsi="Times New Roman" w:cs="Times New Roman"/>
          <w:b/>
          <w:sz w:val="24"/>
          <w:szCs w:val="24"/>
        </w:rPr>
        <w:t xml:space="preserve">Fonte: </w:t>
      </w:r>
      <w:r w:rsidRPr="006D7A8C">
        <w:rPr>
          <w:rFonts w:ascii="Times New Roman" w:hAnsi="Times New Roman" w:cs="Times New Roman"/>
          <w:sz w:val="24"/>
          <w:szCs w:val="24"/>
        </w:rPr>
        <w:t xml:space="preserve">Elaborado pelos autores a partir dos dados do IBGE e da </w:t>
      </w:r>
      <w:r w:rsidRPr="006D7A8C">
        <w:rPr>
          <w:rFonts w:ascii="Times New Roman" w:hAnsi="Times New Roman" w:cs="Times New Roman"/>
          <w:i/>
          <w:sz w:val="24"/>
          <w:szCs w:val="24"/>
        </w:rPr>
        <w:t xml:space="preserve">USGS Mineral </w:t>
      </w:r>
      <w:proofErr w:type="spellStart"/>
      <w:r w:rsidRPr="006D7A8C">
        <w:rPr>
          <w:rFonts w:ascii="Times New Roman" w:hAnsi="Times New Roman" w:cs="Times New Roman"/>
          <w:i/>
          <w:sz w:val="24"/>
          <w:szCs w:val="24"/>
        </w:rPr>
        <w:t>Resources</w:t>
      </w:r>
      <w:proofErr w:type="spellEnd"/>
      <w:r w:rsidRPr="006D7A8C">
        <w:rPr>
          <w:rFonts w:ascii="Times New Roman" w:hAnsi="Times New Roman" w:cs="Times New Roman"/>
          <w:i/>
          <w:sz w:val="24"/>
          <w:szCs w:val="24"/>
        </w:rPr>
        <w:t xml:space="preserve"> </w:t>
      </w:r>
      <w:proofErr w:type="spellStart"/>
      <w:r w:rsidRPr="006D7A8C">
        <w:rPr>
          <w:rFonts w:ascii="Times New Roman" w:hAnsi="Times New Roman" w:cs="Times New Roman"/>
          <w:i/>
          <w:sz w:val="24"/>
          <w:szCs w:val="24"/>
        </w:rPr>
        <w:t>Program</w:t>
      </w:r>
      <w:proofErr w:type="spellEnd"/>
      <w:r w:rsidRPr="006D7A8C">
        <w:rPr>
          <w:rFonts w:ascii="Times New Roman" w:hAnsi="Times New Roman" w:cs="Times New Roman"/>
          <w:sz w:val="24"/>
          <w:szCs w:val="24"/>
        </w:rPr>
        <w:t>.</w:t>
      </w:r>
    </w:p>
    <w:p w14:paraId="110523A4" w14:textId="77777777" w:rsidR="00E110D6" w:rsidRPr="006D7A8C" w:rsidRDefault="00E110D6" w:rsidP="0064723A">
      <w:pPr>
        <w:spacing w:line="240" w:lineRule="auto"/>
        <w:jc w:val="both"/>
        <w:rPr>
          <w:rFonts w:ascii="Times New Roman" w:hAnsi="Times New Roman" w:cs="Times New Roman"/>
          <w:b/>
          <w:sz w:val="24"/>
          <w:szCs w:val="24"/>
        </w:rPr>
      </w:pPr>
    </w:p>
    <w:p w14:paraId="4CB2FF7D" w14:textId="716121C4" w:rsidR="00E110D6" w:rsidRPr="006D7A8C" w:rsidRDefault="003836A2"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Setorialmente, o desempenho do setor medido pela produtividade do trabalho não apresentou alterações significativas, </w:t>
      </w:r>
      <w:r w:rsidR="00386A6F" w:rsidRPr="006D7A8C">
        <w:rPr>
          <w:rFonts w:ascii="Times New Roman" w:hAnsi="Times New Roman" w:cs="Times New Roman"/>
          <w:sz w:val="24"/>
          <w:szCs w:val="24"/>
        </w:rPr>
        <w:t xml:space="preserve">apesar dos investimentos em P&amp;D realizados pelo setor, </w:t>
      </w:r>
      <w:r w:rsidRPr="006D7A8C">
        <w:rPr>
          <w:rFonts w:ascii="Times New Roman" w:hAnsi="Times New Roman" w:cs="Times New Roman"/>
          <w:sz w:val="24"/>
          <w:szCs w:val="24"/>
        </w:rPr>
        <w:t xml:space="preserve">apresentando inclusive uma leve tendência de queda nos últimos anos da amostra, conforme mostra a figura abaixo. </w:t>
      </w:r>
    </w:p>
    <w:p w14:paraId="521F4C81" w14:textId="67AFAED0" w:rsidR="00E110D6" w:rsidRPr="006D7A8C" w:rsidRDefault="00613C86" w:rsidP="0064723A">
      <w:pPr>
        <w:spacing w:line="240" w:lineRule="auto"/>
        <w:jc w:val="both"/>
        <w:rPr>
          <w:rFonts w:ascii="Times New Roman" w:hAnsi="Times New Roman" w:cs="Times New Roman"/>
          <w:b/>
          <w:sz w:val="24"/>
          <w:szCs w:val="24"/>
        </w:rPr>
      </w:pPr>
      <w:r w:rsidRPr="006D7A8C">
        <w:rPr>
          <w:rFonts w:ascii="Times New Roman" w:hAnsi="Times New Roman" w:cs="Times New Roman"/>
          <w:noProof/>
          <w:sz w:val="24"/>
          <w:szCs w:val="24"/>
        </w:rPr>
        <w:drawing>
          <wp:inline distT="0" distB="0" distL="0" distR="0" wp14:anchorId="23FBEB33" wp14:editId="48C56B73">
            <wp:extent cx="3800475" cy="274320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D25E3E" w14:textId="1070095D" w:rsidR="003836A2" w:rsidRPr="006D7A8C" w:rsidRDefault="003836A2" w:rsidP="0064723A">
      <w:pPr>
        <w:pStyle w:val="Legenda"/>
        <w:spacing w:after="0"/>
        <w:jc w:val="both"/>
        <w:rPr>
          <w:rFonts w:ascii="Times New Roman" w:hAnsi="Times New Roman" w:cs="Times New Roman"/>
          <w:i w:val="0"/>
          <w:color w:val="000000" w:themeColor="text1"/>
          <w:sz w:val="24"/>
          <w:szCs w:val="24"/>
        </w:rPr>
      </w:pPr>
      <w:bookmarkStart w:id="20" w:name="_Toc510211785"/>
      <w:r w:rsidRPr="006D7A8C">
        <w:rPr>
          <w:rFonts w:ascii="Times New Roman" w:hAnsi="Times New Roman" w:cs="Times New Roman"/>
          <w:b/>
          <w:i w:val="0"/>
          <w:color w:val="000000" w:themeColor="text1"/>
          <w:sz w:val="24"/>
          <w:szCs w:val="24"/>
        </w:rPr>
        <w:t xml:space="preserve">Figura </w:t>
      </w:r>
      <w:r w:rsidR="00B46FE0">
        <w:rPr>
          <w:rFonts w:ascii="Times New Roman" w:hAnsi="Times New Roman" w:cs="Times New Roman"/>
          <w:b/>
          <w:i w:val="0"/>
          <w:color w:val="000000" w:themeColor="text1"/>
          <w:sz w:val="24"/>
          <w:szCs w:val="24"/>
        </w:rPr>
        <w:t>10</w:t>
      </w:r>
      <w:r w:rsidRPr="006D7A8C">
        <w:rPr>
          <w:rFonts w:ascii="Times New Roman" w:hAnsi="Times New Roman" w:cs="Times New Roman"/>
          <w:i w:val="0"/>
          <w:color w:val="000000" w:themeColor="text1"/>
          <w:sz w:val="24"/>
          <w:szCs w:val="24"/>
        </w:rPr>
        <w:t>- Produtividade do Trabalho da Indústria Extrativa Mineral</w:t>
      </w:r>
      <w:bookmarkEnd w:id="20"/>
    </w:p>
    <w:p w14:paraId="17699555" w14:textId="34E4351A" w:rsidR="003836A2" w:rsidRPr="00241E53" w:rsidRDefault="003836A2"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Elaborado pelos autores a partir dos dados da PIA/IBGE e da RAIS.</w:t>
      </w:r>
    </w:p>
    <w:p w14:paraId="5EDED845" w14:textId="76BEAA32" w:rsidR="00E110D6" w:rsidRPr="006D7A8C" w:rsidRDefault="00E110D6" w:rsidP="0064723A">
      <w:pPr>
        <w:spacing w:line="240" w:lineRule="auto"/>
        <w:jc w:val="both"/>
        <w:rPr>
          <w:rFonts w:ascii="Times New Roman" w:hAnsi="Times New Roman" w:cs="Times New Roman"/>
          <w:b/>
          <w:sz w:val="24"/>
          <w:szCs w:val="24"/>
        </w:rPr>
      </w:pPr>
    </w:p>
    <w:p w14:paraId="5BA51238" w14:textId="58B7E6FA" w:rsidR="002E2C1E" w:rsidRPr="006D7A8C" w:rsidRDefault="00386A6F"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Ainda quanto aos </w:t>
      </w:r>
      <w:r w:rsidR="002E2C1E" w:rsidRPr="006D7A8C">
        <w:rPr>
          <w:rFonts w:ascii="Times New Roman" w:hAnsi="Times New Roman" w:cs="Times New Roman"/>
          <w:sz w:val="24"/>
          <w:szCs w:val="24"/>
        </w:rPr>
        <w:t>fatores sistêmicos, o que se observa é uma intensa queda da taxa de câmbio efetiva real para o setor a partir de 2002,</w:t>
      </w:r>
      <w:r w:rsidR="00887102" w:rsidRPr="006D7A8C">
        <w:rPr>
          <w:rFonts w:ascii="Times New Roman" w:hAnsi="Times New Roman" w:cs="Times New Roman"/>
          <w:sz w:val="24"/>
          <w:szCs w:val="24"/>
        </w:rPr>
        <w:t xml:space="preserve"> conforme mostra a figura abaixo,</w:t>
      </w:r>
      <w:r w:rsidR="002E2C1E" w:rsidRPr="006D7A8C">
        <w:rPr>
          <w:rFonts w:ascii="Times New Roman" w:hAnsi="Times New Roman" w:cs="Times New Roman"/>
          <w:sz w:val="24"/>
          <w:szCs w:val="24"/>
        </w:rPr>
        <w:t xml:space="preserve"> o que contribui negativamente para a melhoria da competitividade do produto nacional, n</w:t>
      </w:r>
      <w:r w:rsidR="008A2CFA" w:rsidRPr="006D7A8C">
        <w:rPr>
          <w:rFonts w:ascii="Times New Roman" w:hAnsi="Times New Roman" w:cs="Times New Roman"/>
          <w:sz w:val="24"/>
          <w:szCs w:val="24"/>
        </w:rPr>
        <w:t>ão obstante o Brasil ainda consi</w:t>
      </w:r>
      <w:r w:rsidR="002E2C1E" w:rsidRPr="006D7A8C">
        <w:rPr>
          <w:rFonts w:ascii="Times New Roman" w:hAnsi="Times New Roman" w:cs="Times New Roman"/>
          <w:sz w:val="24"/>
          <w:szCs w:val="24"/>
        </w:rPr>
        <w:t>g</w:t>
      </w:r>
      <w:r w:rsidRPr="006D7A8C">
        <w:rPr>
          <w:rFonts w:ascii="Times New Roman" w:hAnsi="Times New Roman" w:cs="Times New Roman"/>
          <w:sz w:val="24"/>
          <w:szCs w:val="24"/>
        </w:rPr>
        <w:t>a</w:t>
      </w:r>
      <w:r w:rsidR="002E2C1E" w:rsidRPr="006D7A8C">
        <w:rPr>
          <w:rFonts w:ascii="Times New Roman" w:hAnsi="Times New Roman" w:cs="Times New Roman"/>
          <w:sz w:val="24"/>
          <w:szCs w:val="24"/>
        </w:rPr>
        <w:t xml:space="preserve"> manter-se competitivo no setor</w:t>
      </w:r>
      <w:r w:rsidR="00887102" w:rsidRPr="006D7A8C">
        <w:rPr>
          <w:rFonts w:ascii="Times New Roman" w:hAnsi="Times New Roman" w:cs="Times New Roman"/>
          <w:sz w:val="24"/>
          <w:szCs w:val="24"/>
        </w:rPr>
        <w:t xml:space="preserve"> em relação à concorrência internacional por outros motivos que não este</w:t>
      </w:r>
      <w:r w:rsidR="002E2C1E" w:rsidRPr="006D7A8C">
        <w:rPr>
          <w:rFonts w:ascii="Times New Roman" w:hAnsi="Times New Roman" w:cs="Times New Roman"/>
          <w:sz w:val="24"/>
          <w:szCs w:val="24"/>
        </w:rPr>
        <w:t xml:space="preserve">.  </w:t>
      </w:r>
    </w:p>
    <w:p w14:paraId="5D0680AA" w14:textId="77777777" w:rsidR="002E2C1E" w:rsidRPr="006D7A8C" w:rsidRDefault="002E2C1E" w:rsidP="0064723A">
      <w:pPr>
        <w:spacing w:line="240" w:lineRule="auto"/>
        <w:jc w:val="both"/>
        <w:rPr>
          <w:rFonts w:ascii="Times New Roman" w:hAnsi="Times New Roman" w:cs="Times New Roman"/>
          <w:b/>
          <w:sz w:val="24"/>
          <w:szCs w:val="24"/>
        </w:rPr>
      </w:pPr>
    </w:p>
    <w:p w14:paraId="33779341" w14:textId="654ECC73" w:rsidR="00E110D6" w:rsidRDefault="002E2C1E" w:rsidP="0064723A">
      <w:pPr>
        <w:spacing w:after="0" w:line="240" w:lineRule="auto"/>
        <w:jc w:val="both"/>
        <w:rPr>
          <w:rFonts w:ascii="Times New Roman" w:hAnsi="Times New Roman" w:cs="Times New Roman"/>
          <w:b/>
          <w:sz w:val="24"/>
          <w:szCs w:val="24"/>
        </w:rPr>
      </w:pPr>
      <w:r w:rsidRPr="006D7A8C">
        <w:rPr>
          <w:rFonts w:ascii="Times New Roman" w:hAnsi="Times New Roman" w:cs="Times New Roman"/>
          <w:noProof/>
          <w:sz w:val="24"/>
          <w:szCs w:val="24"/>
        </w:rPr>
        <w:drawing>
          <wp:inline distT="0" distB="0" distL="0" distR="0" wp14:anchorId="4B3FE412" wp14:editId="07205244">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00A1BD" w14:textId="77777777" w:rsidR="00CD3001" w:rsidRPr="006D7A8C" w:rsidRDefault="00CD3001" w:rsidP="0064723A">
      <w:pPr>
        <w:spacing w:after="0" w:line="240" w:lineRule="auto"/>
        <w:jc w:val="both"/>
        <w:rPr>
          <w:rFonts w:ascii="Times New Roman" w:hAnsi="Times New Roman" w:cs="Times New Roman"/>
          <w:b/>
          <w:sz w:val="24"/>
          <w:szCs w:val="24"/>
        </w:rPr>
      </w:pPr>
    </w:p>
    <w:p w14:paraId="68B290EA" w14:textId="77777777" w:rsidR="00CD3001" w:rsidRDefault="00CD3001" w:rsidP="0064723A">
      <w:pPr>
        <w:pStyle w:val="Legenda"/>
        <w:spacing w:after="0"/>
        <w:ind w:left="567"/>
        <w:jc w:val="both"/>
        <w:rPr>
          <w:rFonts w:ascii="Times New Roman" w:hAnsi="Times New Roman" w:cs="Times New Roman"/>
          <w:b/>
          <w:i w:val="0"/>
          <w:color w:val="000000" w:themeColor="text1"/>
          <w:sz w:val="24"/>
          <w:szCs w:val="24"/>
        </w:rPr>
      </w:pPr>
      <w:bookmarkStart w:id="21" w:name="_Toc510211786"/>
    </w:p>
    <w:p w14:paraId="6FA76E0E" w14:textId="3E6F7A0E" w:rsidR="00887102" w:rsidRPr="006D7A8C" w:rsidRDefault="00887102" w:rsidP="0064723A">
      <w:pPr>
        <w:pStyle w:val="Legenda"/>
        <w:spacing w:after="0"/>
        <w:jc w:val="both"/>
        <w:rPr>
          <w:rFonts w:ascii="Times New Roman" w:hAnsi="Times New Roman" w:cs="Times New Roman"/>
          <w:b/>
          <w:i w:val="0"/>
          <w:color w:val="000000" w:themeColor="text1"/>
          <w:sz w:val="24"/>
          <w:szCs w:val="24"/>
        </w:rPr>
      </w:pPr>
      <w:r w:rsidRPr="006D7A8C">
        <w:rPr>
          <w:rFonts w:ascii="Times New Roman" w:hAnsi="Times New Roman" w:cs="Times New Roman"/>
          <w:b/>
          <w:i w:val="0"/>
          <w:color w:val="000000" w:themeColor="text1"/>
          <w:sz w:val="24"/>
          <w:szCs w:val="24"/>
        </w:rPr>
        <w:t xml:space="preserve">Figura </w:t>
      </w:r>
      <w:r w:rsidR="00B46FE0">
        <w:rPr>
          <w:rFonts w:ascii="Times New Roman" w:hAnsi="Times New Roman" w:cs="Times New Roman"/>
          <w:b/>
          <w:i w:val="0"/>
          <w:color w:val="000000" w:themeColor="text1"/>
          <w:sz w:val="24"/>
          <w:szCs w:val="24"/>
        </w:rPr>
        <w:t>11</w:t>
      </w:r>
      <w:r w:rsidRPr="006D7A8C">
        <w:rPr>
          <w:rFonts w:ascii="Times New Roman" w:hAnsi="Times New Roman" w:cs="Times New Roman"/>
          <w:i w:val="0"/>
          <w:color w:val="000000" w:themeColor="text1"/>
          <w:sz w:val="24"/>
          <w:szCs w:val="24"/>
        </w:rPr>
        <w:t xml:space="preserve"> - Taxa de câmbio efetiva Taxa de câmbio - efetiva real - setor: extração de minerais metálicos (média 2010 = 100)</w:t>
      </w:r>
      <w:bookmarkEnd w:id="21"/>
    </w:p>
    <w:p w14:paraId="20235EF6" w14:textId="21F11A9F" w:rsidR="00887102" w:rsidRPr="00241E53" w:rsidRDefault="00887102"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IPEADATA</w:t>
      </w:r>
    </w:p>
    <w:p w14:paraId="176CBB58" w14:textId="77777777" w:rsidR="008A2CFA" w:rsidRPr="006D7A8C" w:rsidRDefault="008A2CFA" w:rsidP="0064723A">
      <w:pPr>
        <w:spacing w:after="0" w:line="240" w:lineRule="auto"/>
        <w:jc w:val="both"/>
        <w:rPr>
          <w:rFonts w:ascii="Times New Roman" w:hAnsi="Times New Roman" w:cs="Times New Roman"/>
          <w:sz w:val="24"/>
          <w:szCs w:val="24"/>
        </w:rPr>
      </w:pPr>
    </w:p>
    <w:p w14:paraId="6EF72DFE" w14:textId="47CBA8CE" w:rsidR="001B284D" w:rsidRPr="006D7A8C" w:rsidRDefault="00887102" w:rsidP="0064723A">
      <w:pPr>
        <w:spacing w:after="0" w:line="240" w:lineRule="auto"/>
        <w:jc w:val="both"/>
        <w:rPr>
          <w:rFonts w:ascii="Times New Roman" w:hAnsi="Times New Roman" w:cs="Times New Roman"/>
          <w:b/>
          <w:sz w:val="24"/>
          <w:szCs w:val="24"/>
        </w:rPr>
      </w:pPr>
      <w:r w:rsidRPr="006D7A8C">
        <w:rPr>
          <w:rFonts w:ascii="Times New Roman" w:hAnsi="Times New Roman" w:cs="Times New Roman"/>
          <w:sz w:val="24"/>
          <w:szCs w:val="24"/>
        </w:rPr>
        <w:t xml:space="preserve">Outro indicador relacionado aos fatores sistêmicos que sempre deve ser destacado é a taxa básica de juros no Brasil, a Selic, que como instrumento de política monetária também tem contribuído de forma negativa para a competitividade de todas as atividades econômicas, em particular para a Indústria </w:t>
      </w:r>
      <w:r w:rsidR="00386A6F" w:rsidRPr="006D7A8C">
        <w:rPr>
          <w:rFonts w:ascii="Times New Roman" w:hAnsi="Times New Roman" w:cs="Times New Roman"/>
          <w:sz w:val="24"/>
          <w:szCs w:val="24"/>
        </w:rPr>
        <w:t>E</w:t>
      </w:r>
      <w:r w:rsidRPr="006D7A8C">
        <w:rPr>
          <w:rFonts w:ascii="Times New Roman" w:hAnsi="Times New Roman" w:cs="Times New Roman"/>
          <w:sz w:val="24"/>
          <w:szCs w:val="24"/>
        </w:rPr>
        <w:t>xtrativa</w:t>
      </w:r>
      <w:r w:rsidR="00386A6F" w:rsidRPr="006D7A8C">
        <w:rPr>
          <w:rFonts w:ascii="Times New Roman" w:hAnsi="Times New Roman" w:cs="Times New Roman"/>
          <w:sz w:val="24"/>
          <w:szCs w:val="24"/>
        </w:rPr>
        <w:t xml:space="preserve"> Mineral</w:t>
      </w:r>
      <w:r w:rsidRPr="006D7A8C">
        <w:rPr>
          <w:rFonts w:ascii="Times New Roman" w:hAnsi="Times New Roman" w:cs="Times New Roman"/>
          <w:sz w:val="24"/>
          <w:szCs w:val="24"/>
        </w:rPr>
        <w:t xml:space="preserve">, ao elevar o custo de capital das empresas. Apesar da tendência declinante </w:t>
      </w:r>
      <w:r w:rsidR="008A2CFA" w:rsidRPr="006D7A8C">
        <w:rPr>
          <w:rFonts w:ascii="Times New Roman" w:hAnsi="Times New Roman" w:cs="Times New Roman"/>
          <w:sz w:val="24"/>
          <w:szCs w:val="24"/>
        </w:rPr>
        <w:t>as taxas reais de juros no país ainda se mantem</w:t>
      </w:r>
      <w:r w:rsidRPr="006D7A8C">
        <w:rPr>
          <w:rFonts w:ascii="Times New Roman" w:hAnsi="Times New Roman" w:cs="Times New Roman"/>
          <w:sz w:val="24"/>
          <w:szCs w:val="24"/>
        </w:rPr>
        <w:t xml:space="preserve"> bastante elevada até o período analisado, sobretudo se comparada aos padrões internacionais</w:t>
      </w:r>
    </w:p>
    <w:p w14:paraId="7D3B9B55" w14:textId="256E3CDF" w:rsidR="008F6504" w:rsidRPr="006D7A8C" w:rsidRDefault="00887102"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Dentre os indicadore</w:t>
      </w:r>
      <w:r w:rsidR="003836A2" w:rsidRPr="006D7A8C">
        <w:rPr>
          <w:rFonts w:ascii="Times New Roman" w:hAnsi="Times New Roman" w:cs="Times New Roman"/>
          <w:sz w:val="24"/>
          <w:szCs w:val="24"/>
        </w:rPr>
        <w:t>s</w:t>
      </w:r>
      <w:r w:rsidRPr="006D7A8C">
        <w:rPr>
          <w:rFonts w:ascii="Times New Roman" w:hAnsi="Times New Roman" w:cs="Times New Roman"/>
          <w:sz w:val="24"/>
          <w:szCs w:val="24"/>
        </w:rPr>
        <w:t xml:space="preserve"> de desempenho </w:t>
      </w:r>
      <w:r w:rsidR="00386A6F" w:rsidRPr="006D7A8C">
        <w:rPr>
          <w:rFonts w:ascii="Times New Roman" w:hAnsi="Times New Roman" w:cs="Times New Roman"/>
          <w:sz w:val="24"/>
          <w:szCs w:val="24"/>
        </w:rPr>
        <w:t>estruturais</w:t>
      </w:r>
      <w:r w:rsidR="003836A2" w:rsidRPr="006D7A8C">
        <w:rPr>
          <w:rFonts w:ascii="Times New Roman" w:hAnsi="Times New Roman" w:cs="Times New Roman"/>
          <w:sz w:val="24"/>
          <w:szCs w:val="24"/>
        </w:rPr>
        <w:t xml:space="preserve">, </w:t>
      </w:r>
      <w:r w:rsidR="008B10E8" w:rsidRPr="006D7A8C">
        <w:rPr>
          <w:rFonts w:ascii="Times New Roman" w:hAnsi="Times New Roman" w:cs="Times New Roman"/>
          <w:sz w:val="24"/>
          <w:szCs w:val="24"/>
        </w:rPr>
        <w:t>a participação da Indústria Extrativa Mineral na economia cresceu de 2,6% em</w:t>
      </w:r>
      <w:r w:rsidR="008A2CFA" w:rsidRPr="006D7A8C">
        <w:rPr>
          <w:rFonts w:ascii="Times New Roman" w:hAnsi="Times New Roman" w:cs="Times New Roman"/>
          <w:sz w:val="24"/>
          <w:szCs w:val="24"/>
        </w:rPr>
        <w:t xml:space="preserve"> 2005</w:t>
      </w:r>
      <w:r w:rsidR="008B10E8" w:rsidRPr="006D7A8C">
        <w:rPr>
          <w:rFonts w:ascii="Times New Roman" w:hAnsi="Times New Roman" w:cs="Times New Roman"/>
          <w:sz w:val="24"/>
          <w:szCs w:val="24"/>
        </w:rPr>
        <w:t xml:space="preserve"> para 4,0% em 2013, </w:t>
      </w:r>
      <w:r w:rsidR="008A2CFA" w:rsidRPr="006D7A8C">
        <w:rPr>
          <w:rFonts w:ascii="Times New Roman" w:hAnsi="Times New Roman" w:cs="Times New Roman"/>
          <w:sz w:val="24"/>
          <w:szCs w:val="24"/>
        </w:rPr>
        <w:t>caindo para 2,9% em 2015</w:t>
      </w:r>
      <w:r w:rsidR="008B10E8" w:rsidRPr="006D7A8C">
        <w:rPr>
          <w:rFonts w:ascii="Times New Roman" w:hAnsi="Times New Roman" w:cs="Times New Roman"/>
          <w:sz w:val="24"/>
          <w:szCs w:val="24"/>
        </w:rPr>
        <w:t xml:space="preserve">, o que em boa medida se explica pela </w:t>
      </w:r>
      <w:r w:rsidR="008A2CFA" w:rsidRPr="006D7A8C">
        <w:rPr>
          <w:rFonts w:ascii="Times New Roman" w:hAnsi="Times New Roman" w:cs="Times New Roman"/>
          <w:sz w:val="24"/>
          <w:szCs w:val="24"/>
        </w:rPr>
        <w:t xml:space="preserve">redução </w:t>
      </w:r>
      <w:r w:rsidR="008B10E8" w:rsidRPr="006D7A8C">
        <w:rPr>
          <w:rFonts w:ascii="Times New Roman" w:hAnsi="Times New Roman" w:cs="Times New Roman"/>
          <w:sz w:val="24"/>
          <w:szCs w:val="24"/>
        </w:rPr>
        <w:t>do preço do minério de ferro, conforme foi avaliada na seção anterior</w:t>
      </w:r>
      <w:r w:rsidR="00386A6F" w:rsidRPr="006D7A8C">
        <w:rPr>
          <w:rFonts w:ascii="Times New Roman" w:hAnsi="Times New Roman" w:cs="Times New Roman"/>
          <w:sz w:val="24"/>
          <w:szCs w:val="24"/>
        </w:rPr>
        <w:t xml:space="preserve"> (Conduta-Preços)</w:t>
      </w:r>
      <w:r w:rsidR="008A2CFA" w:rsidRPr="006D7A8C">
        <w:rPr>
          <w:rStyle w:val="Refdenotaderodap"/>
          <w:rFonts w:ascii="Times New Roman" w:hAnsi="Times New Roman" w:cs="Times New Roman"/>
          <w:sz w:val="24"/>
          <w:szCs w:val="24"/>
        </w:rPr>
        <w:footnoteReference w:id="16"/>
      </w:r>
      <w:r w:rsidR="008A2CFA" w:rsidRPr="006D7A8C">
        <w:rPr>
          <w:rFonts w:ascii="Times New Roman" w:hAnsi="Times New Roman" w:cs="Times New Roman"/>
          <w:sz w:val="24"/>
          <w:szCs w:val="24"/>
        </w:rPr>
        <w:t>.</w:t>
      </w:r>
    </w:p>
    <w:p w14:paraId="5ABBED9E" w14:textId="11220504" w:rsidR="00887102" w:rsidRPr="006D7A8C" w:rsidRDefault="008B10E8"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Considerando, ainda, o desempenho do setor a partir de fatores estruturais, destaca-se </w:t>
      </w:r>
      <w:r w:rsidR="008F6504" w:rsidRPr="006D7A8C">
        <w:rPr>
          <w:rFonts w:ascii="Times New Roman" w:hAnsi="Times New Roman" w:cs="Times New Roman"/>
          <w:sz w:val="24"/>
          <w:szCs w:val="24"/>
        </w:rPr>
        <w:t xml:space="preserve">a taxa de variação das exportações do setor, que a partir de 2010 registrou um forte crescimento, todavia nos dois últimos anos analisado voltou a um patamar inferior ao do início do período analisado, conforme mostra a figura abaixo. Entretanto, não se pode deixar de destacar que ao longo da década avaliada o segmento apresentou uma taxa crescente em todos os anos, evidenciando a competitividade do setor mineral brasileiro. </w:t>
      </w:r>
    </w:p>
    <w:p w14:paraId="241DF414" w14:textId="77777777" w:rsidR="00071FBF" w:rsidRPr="006D7A8C" w:rsidRDefault="00071FBF" w:rsidP="0064723A">
      <w:pPr>
        <w:pStyle w:val="Legenda"/>
        <w:spacing w:after="120"/>
        <w:jc w:val="both"/>
        <w:rPr>
          <w:rFonts w:ascii="Times New Roman" w:hAnsi="Times New Roman" w:cs="Times New Roman"/>
          <w:i w:val="0"/>
          <w:color w:val="000000" w:themeColor="text1"/>
          <w:sz w:val="24"/>
          <w:szCs w:val="24"/>
        </w:rPr>
      </w:pPr>
      <w:r w:rsidRPr="006D7A8C">
        <w:rPr>
          <w:rFonts w:ascii="Times New Roman" w:hAnsi="Times New Roman" w:cs="Times New Roman"/>
          <w:i w:val="0"/>
          <w:noProof/>
          <w:color w:val="000000" w:themeColor="text1"/>
          <w:sz w:val="24"/>
          <w:szCs w:val="24"/>
        </w:rPr>
        <w:lastRenderedPageBreak/>
        <w:drawing>
          <wp:inline distT="0" distB="0" distL="0" distR="0" wp14:anchorId="0A20D7DE" wp14:editId="6CAAE423">
            <wp:extent cx="3714750" cy="2857500"/>
            <wp:effectExtent l="0" t="0" r="0" b="0"/>
            <wp:docPr id="16" name="Gráfico 16">
              <a:extLst xmlns:a="http://schemas.openxmlformats.org/drawingml/2006/main">
                <a:ext uri="{FF2B5EF4-FFF2-40B4-BE49-F238E27FC236}">
                  <a16:creationId xmlns:a16="http://schemas.microsoft.com/office/drawing/2014/main" id="{38724FBF-50CA-449C-9BE4-9A13AF2B4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296F8B" w14:textId="7E823C85" w:rsidR="00071FBF" w:rsidRPr="006D7A8C" w:rsidRDefault="00071FBF" w:rsidP="0064723A">
      <w:pPr>
        <w:spacing w:after="0" w:line="240" w:lineRule="auto"/>
        <w:jc w:val="both"/>
        <w:rPr>
          <w:rFonts w:ascii="Times New Roman" w:hAnsi="Times New Roman" w:cs="Times New Roman"/>
          <w:b/>
          <w:sz w:val="24"/>
          <w:szCs w:val="24"/>
        </w:rPr>
      </w:pPr>
      <w:bookmarkStart w:id="22" w:name="_Toc510211789"/>
      <w:r w:rsidRPr="006D7A8C">
        <w:rPr>
          <w:rFonts w:ascii="Times New Roman" w:hAnsi="Times New Roman" w:cs="Times New Roman"/>
          <w:b/>
          <w:color w:val="000000" w:themeColor="text1"/>
          <w:sz w:val="24"/>
          <w:szCs w:val="24"/>
        </w:rPr>
        <w:t xml:space="preserve">Figura </w:t>
      </w:r>
      <w:r w:rsidR="00B46FE0">
        <w:rPr>
          <w:rFonts w:ascii="Times New Roman" w:hAnsi="Times New Roman" w:cs="Times New Roman"/>
          <w:b/>
          <w:color w:val="000000" w:themeColor="text1"/>
          <w:sz w:val="24"/>
          <w:szCs w:val="24"/>
        </w:rPr>
        <w:t>12</w:t>
      </w:r>
      <w:r w:rsidRPr="006D7A8C">
        <w:rPr>
          <w:rFonts w:ascii="Times New Roman" w:hAnsi="Times New Roman" w:cs="Times New Roman"/>
          <w:color w:val="000000" w:themeColor="text1"/>
          <w:sz w:val="24"/>
          <w:szCs w:val="24"/>
        </w:rPr>
        <w:t xml:space="preserve"> - Exportações de Minério - US$ bilhões - FOB e % do total exportado - 2007/2016</w:t>
      </w:r>
      <w:bookmarkEnd w:id="22"/>
    </w:p>
    <w:p w14:paraId="4CA8FDE3" w14:textId="77777777" w:rsidR="00071FBF" w:rsidRPr="00241E53" w:rsidRDefault="00071FBF"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MDIC</w:t>
      </w:r>
    </w:p>
    <w:p w14:paraId="3FAA5D2D" w14:textId="764D7DCF" w:rsidR="00E110D6" w:rsidRPr="006D7A8C" w:rsidRDefault="00E110D6" w:rsidP="0064723A">
      <w:pPr>
        <w:spacing w:line="240" w:lineRule="auto"/>
        <w:jc w:val="both"/>
        <w:rPr>
          <w:rFonts w:ascii="Times New Roman" w:hAnsi="Times New Roman" w:cs="Times New Roman"/>
          <w:b/>
          <w:sz w:val="24"/>
          <w:szCs w:val="24"/>
        </w:rPr>
      </w:pPr>
    </w:p>
    <w:p w14:paraId="2C0C3027" w14:textId="43887D8D" w:rsidR="00386A6F" w:rsidRPr="006D7A8C" w:rsidRDefault="00514426"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Uma caracterização do setor que pode ser tanto estrutural quanto de desempenho é grau de </w:t>
      </w:r>
      <w:r w:rsidR="00F53848" w:rsidRPr="006D7A8C">
        <w:rPr>
          <w:rFonts w:ascii="Times New Roman" w:hAnsi="Times New Roman" w:cs="Times New Roman"/>
          <w:sz w:val="24"/>
          <w:szCs w:val="24"/>
        </w:rPr>
        <w:t>internacionalização</w:t>
      </w:r>
      <w:r w:rsidRPr="006D7A8C">
        <w:rPr>
          <w:rFonts w:ascii="Times New Roman" w:hAnsi="Times New Roman" w:cs="Times New Roman"/>
          <w:sz w:val="24"/>
          <w:szCs w:val="24"/>
        </w:rPr>
        <w:t xml:space="preserve"> da atividade, que é avaliada pela entra da Investimento Direto </w:t>
      </w:r>
      <w:r w:rsidR="00F53848" w:rsidRPr="006D7A8C">
        <w:rPr>
          <w:rFonts w:ascii="Times New Roman" w:hAnsi="Times New Roman" w:cs="Times New Roman"/>
          <w:sz w:val="24"/>
          <w:szCs w:val="24"/>
        </w:rPr>
        <w:t xml:space="preserve">no País (IDP). Tratar-se-á esse indicador como um desempenho, </w:t>
      </w:r>
      <w:r w:rsidR="00386A6F" w:rsidRPr="006D7A8C">
        <w:rPr>
          <w:rFonts w:ascii="Times New Roman" w:hAnsi="Times New Roman" w:cs="Times New Roman"/>
          <w:sz w:val="24"/>
          <w:szCs w:val="24"/>
        </w:rPr>
        <w:t xml:space="preserve">considerando que o mesmo indica uma </w:t>
      </w:r>
      <w:r w:rsidR="00F53848" w:rsidRPr="006D7A8C">
        <w:rPr>
          <w:rFonts w:ascii="Times New Roman" w:hAnsi="Times New Roman" w:cs="Times New Roman"/>
          <w:sz w:val="24"/>
          <w:szCs w:val="24"/>
        </w:rPr>
        <w:t xml:space="preserve">atratividade </w:t>
      </w:r>
      <w:r w:rsidR="00386A6F" w:rsidRPr="006D7A8C">
        <w:rPr>
          <w:rFonts w:ascii="Times New Roman" w:hAnsi="Times New Roman" w:cs="Times New Roman"/>
          <w:sz w:val="24"/>
          <w:szCs w:val="24"/>
        </w:rPr>
        <w:t xml:space="preserve">da atividade </w:t>
      </w:r>
      <w:r w:rsidR="00F53848" w:rsidRPr="006D7A8C">
        <w:rPr>
          <w:rFonts w:ascii="Times New Roman" w:hAnsi="Times New Roman" w:cs="Times New Roman"/>
          <w:sz w:val="24"/>
          <w:szCs w:val="24"/>
        </w:rPr>
        <w:t>decorrente da estrutura e da conduta identificada</w:t>
      </w:r>
      <w:r w:rsidR="00386A6F" w:rsidRPr="006D7A8C">
        <w:rPr>
          <w:rFonts w:ascii="Times New Roman" w:hAnsi="Times New Roman" w:cs="Times New Roman"/>
          <w:sz w:val="24"/>
          <w:szCs w:val="24"/>
        </w:rPr>
        <w:t>s nas seções anteriores</w:t>
      </w:r>
      <w:r w:rsidR="00F53848" w:rsidRPr="006D7A8C">
        <w:rPr>
          <w:rFonts w:ascii="Times New Roman" w:hAnsi="Times New Roman" w:cs="Times New Roman"/>
          <w:sz w:val="24"/>
          <w:szCs w:val="24"/>
        </w:rPr>
        <w:t xml:space="preserve">. </w:t>
      </w:r>
    </w:p>
    <w:p w14:paraId="32EF33BF" w14:textId="2D8A4476" w:rsidR="00514426" w:rsidRPr="006D7A8C" w:rsidRDefault="00F53848"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Neste </w:t>
      </w:r>
      <w:r w:rsidR="00386A6F" w:rsidRPr="006D7A8C">
        <w:rPr>
          <w:rFonts w:ascii="Times New Roman" w:hAnsi="Times New Roman" w:cs="Times New Roman"/>
          <w:sz w:val="24"/>
          <w:szCs w:val="24"/>
        </w:rPr>
        <w:t xml:space="preserve">caso, </w:t>
      </w:r>
      <w:r w:rsidRPr="006D7A8C">
        <w:rPr>
          <w:rFonts w:ascii="Times New Roman" w:hAnsi="Times New Roman" w:cs="Times New Roman"/>
          <w:sz w:val="24"/>
          <w:szCs w:val="24"/>
        </w:rPr>
        <w:t xml:space="preserve">o que se observou foi um significativo crescimento dos fluxos de IDP no setor, sobretudo </w:t>
      </w:r>
      <w:r w:rsidR="00386A6F" w:rsidRPr="006D7A8C">
        <w:rPr>
          <w:rFonts w:ascii="Times New Roman" w:hAnsi="Times New Roman" w:cs="Times New Roman"/>
          <w:sz w:val="24"/>
          <w:szCs w:val="24"/>
        </w:rPr>
        <w:t xml:space="preserve">em </w:t>
      </w:r>
      <w:r w:rsidRPr="006D7A8C">
        <w:rPr>
          <w:rFonts w:ascii="Times New Roman" w:hAnsi="Times New Roman" w:cs="Times New Roman"/>
          <w:sz w:val="24"/>
          <w:szCs w:val="24"/>
        </w:rPr>
        <w:t xml:space="preserve">2010, quando atingiu o maior estoque registrado do capital US$29 bilhões, o que perfez uma participação relativa ao estoque total da economia brasileira de 4,6%. Apesar da queda constante tanto em termos absolutos quanto em termos relativos, o IDP no último ano </w:t>
      </w:r>
      <w:r w:rsidR="00386A6F" w:rsidRPr="006D7A8C">
        <w:rPr>
          <w:rFonts w:ascii="Times New Roman" w:hAnsi="Times New Roman" w:cs="Times New Roman"/>
          <w:sz w:val="24"/>
          <w:szCs w:val="24"/>
        </w:rPr>
        <w:t>analisado tem</w:t>
      </w:r>
      <w:r w:rsidR="00BA33FF" w:rsidRPr="006D7A8C">
        <w:rPr>
          <w:rFonts w:ascii="Times New Roman" w:hAnsi="Times New Roman" w:cs="Times New Roman"/>
          <w:sz w:val="24"/>
          <w:szCs w:val="24"/>
        </w:rPr>
        <w:t xml:space="preserve"> um estoque 970% maior</w:t>
      </w:r>
      <w:r w:rsidR="00337ED0" w:rsidRPr="006D7A8C">
        <w:rPr>
          <w:rFonts w:ascii="Times New Roman" w:hAnsi="Times New Roman" w:cs="Times New Roman"/>
          <w:sz w:val="24"/>
          <w:szCs w:val="24"/>
        </w:rPr>
        <w:t>,</w:t>
      </w:r>
      <w:r w:rsidR="00BA33FF" w:rsidRPr="006D7A8C">
        <w:rPr>
          <w:rFonts w:ascii="Times New Roman" w:hAnsi="Times New Roman" w:cs="Times New Roman"/>
          <w:sz w:val="24"/>
          <w:szCs w:val="24"/>
        </w:rPr>
        <w:t xml:space="preserve"> quando comparado </w:t>
      </w:r>
      <w:r w:rsidR="00337ED0" w:rsidRPr="006D7A8C">
        <w:rPr>
          <w:rFonts w:ascii="Times New Roman" w:hAnsi="Times New Roman" w:cs="Times New Roman"/>
          <w:sz w:val="24"/>
          <w:szCs w:val="24"/>
        </w:rPr>
        <w:t xml:space="preserve">a </w:t>
      </w:r>
      <w:r w:rsidR="00BA33FF" w:rsidRPr="006D7A8C">
        <w:rPr>
          <w:rFonts w:ascii="Times New Roman" w:hAnsi="Times New Roman" w:cs="Times New Roman"/>
          <w:sz w:val="24"/>
          <w:szCs w:val="24"/>
        </w:rPr>
        <w:t xml:space="preserve">2001. Ademais, a participação relativa do IDP neste setor, comparada ao estoque total, é 147% </w:t>
      </w:r>
      <w:r w:rsidR="00337ED0" w:rsidRPr="006D7A8C">
        <w:rPr>
          <w:rFonts w:ascii="Times New Roman" w:hAnsi="Times New Roman" w:cs="Times New Roman"/>
          <w:sz w:val="24"/>
          <w:szCs w:val="24"/>
        </w:rPr>
        <w:t>superior</w:t>
      </w:r>
      <w:r w:rsidR="00BA33FF" w:rsidRPr="006D7A8C">
        <w:rPr>
          <w:rFonts w:ascii="Times New Roman" w:hAnsi="Times New Roman" w:cs="Times New Roman"/>
          <w:sz w:val="24"/>
          <w:szCs w:val="24"/>
        </w:rPr>
        <w:t>, indicando uma efetiva elevação do interesse do capital internacional sobre o setor extrativo mineral. Para maiores detalhes, ver a figura abaixo.</w:t>
      </w:r>
      <w:r w:rsidR="00C766AD" w:rsidRPr="006D7A8C">
        <w:rPr>
          <w:rFonts w:ascii="Times New Roman" w:hAnsi="Times New Roman" w:cs="Times New Roman"/>
          <w:sz w:val="24"/>
          <w:szCs w:val="24"/>
        </w:rPr>
        <w:tab/>
      </w:r>
    </w:p>
    <w:p w14:paraId="12FB4F39" w14:textId="198C358D" w:rsidR="00141DDC" w:rsidRPr="006D7A8C" w:rsidRDefault="00141DDC" w:rsidP="0064723A">
      <w:pPr>
        <w:spacing w:line="240" w:lineRule="auto"/>
        <w:jc w:val="both"/>
        <w:rPr>
          <w:rFonts w:ascii="Times New Roman" w:hAnsi="Times New Roman" w:cs="Times New Roman"/>
          <w:sz w:val="24"/>
          <w:szCs w:val="24"/>
        </w:rPr>
      </w:pPr>
      <w:r w:rsidRPr="006D7A8C">
        <w:rPr>
          <w:rFonts w:ascii="Times New Roman" w:hAnsi="Times New Roman" w:cs="Times New Roman"/>
          <w:noProof/>
          <w:sz w:val="24"/>
          <w:szCs w:val="24"/>
        </w:rPr>
        <w:lastRenderedPageBreak/>
        <w:drawing>
          <wp:inline distT="0" distB="0" distL="0" distR="0" wp14:anchorId="22C9D790" wp14:editId="3AC74D37">
            <wp:extent cx="3981450" cy="3267075"/>
            <wp:effectExtent l="0" t="0" r="0" b="9525"/>
            <wp:docPr id="21" name="Gráfico 21">
              <a:extLst xmlns:a="http://schemas.openxmlformats.org/drawingml/2006/main">
                <a:ext uri="{FF2B5EF4-FFF2-40B4-BE49-F238E27FC236}">
                  <a16:creationId xmlns:a16="http://schemas.microsoft.com/office/drawing/2014/main" id="{524D39F5-4B23-43B6-AC72-BDF82078C2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784BAF" w14:textId="15774ED5" w:rsidR="00141DDC" w:rsidRPr="006D7A8C" w:rsidRDefault="006A517F" w:rsidP="0064723A">
      <w:pPr>
        <w:pStyle w:val="Legenda"/>
        <w:spacing w:after="0"/>
        <w:jc w:val="both"/>
        <w:rPr>
          <w:rFonts w:ascii="Times New Roman" w:hAnsi="Times New Roman" w:cs="Times New Roman"/>
          <w:i w:val="0"/>
          <w:color w:val="000000" w:themeColor="text1"/>
          <w:sz w:val="24"/>
          <w:szCs w:val="24"/>
        </w:rPr>
      </w:pPr>
      <w:bookmarkStart w:id="23" w:name="_Toc510211790"/>
      <w:r w:rsidRPr="006D7A8C">
        <w:rPr>
          <w:rFonts w:ascii="Times New Roman" w:hAnsi="Times New Roman" w:cs="Times New Roman"/>
          <w:b/>
          <w:i w:val="0"/>
          <w:color w:val="000000" w:themeColor="text1"/>
          <w:sz w:val="24"/>
          <w:szCs w:val="24"/>
        </w:rPr>
        <w:t xml:space="preserve">Figura </w:t>
      </w:r>
      <w:r w:rsidR="00B46FE0">
        <w:rPr>
          <w:rFonts w:ascii="Times New Roman" w:hAnsi="Times New Roman" w:cs="Times New Roman"/>
          <w:b/>
          <w:i w:val="0"/>
          <w:color w:val="000000" w:themeColor="text1"/>
          <w:sz w:val="24"/>
          <w:szCs w:val="24"/>
        </w:rPr>
        <w:t>13</w:t>
      </w:r>
      <w:r w:rsidRPr="006D7A8C">
        <w:rPr>
          <w:rFonts w:ascii="Times New Roman" w:hAnsi="Times New Roman" w:cs="Times New Roman"/>
          <w:i w:val="0"/>
          <w:color w:val="000000" w:themeColor="text1"/>
          <w:sz w:val="24"/>
          <w:szCs w:val="24"/>
        </w:rPr>
        <w:t xml:space="preserve"> - Estoque de IED na Indústria Extrativa Mineral</w:t>
      </w:r>
      <w:bookmarkEnd w:id="23"/>
    </w:p>
    <w:p w14:paraId="280E0AA2" w14:textId="17021304" w:rsidR="006A517F" w:rsidRPr="00241E53" w:rsidRDefault="006A517F" w:rsidP="0064723A">
      <w:pPr>
        <w:spacing w:after="0" w:line="240" w:lineRule="auto"/>
        <w:jc w:val="both"/>
        <w:rPr>
          <w:rFonts w:ascii="Times New Roman" w:hAnsi="Times New Roman" w:cs="Times New Roman"/>
          <w:color w:val="000000" w:themeColor="text1"/>
        </w:rPr>
      </w:pPr>
      <w:r w:rsidRPr="00241E53">
        <w:rPr>
          <w:rFonts w:ascii="Times New Roman" w:hAnsi="Times New Roman" w:cs="Times New Roman"/>
          <w:b/>
          <w:color w:val="000000" w:themeColor="text1"/>
        </w:rPr>
        <w:t>Fonte:</w:t>
      </w:r>
      <w:r w:rsidRPr="00241E53">
        <w:rPr>
          <w:rFonts w:ascii="Times New Roman" w:hAnsi="Times New Roman" w:cs="Times New Roman"/>
          <w:color w:val="000000" w:themeColor="text1"/>
        </w:rPr>
        <w:t xml:space="preserve"> Censo do Capital Estrangeiro (BCB)</w:t>
      </w:r>
      <w:r w:rsidR="00514426" w:rsidRPr="00241E53">
        <w:rPr>
          <w:rFonts w:ascii="Times New Roman" w:hAnsi="Times New Roman" w:cs="Times New Roman"/>
          <w:color w:val="000000" w:themeColor="text1"/>
        </w:rPr>
        <w:t xml:space="preserve"> - 2016</w:t>
      </w:r>
    </w:p>
    <w:p w14:paraId="3564F6A1" w14:textId="5B417D5E" w:rsidR="00141DDC" w:rsidRPr="006D7A8C" w:rsidRDefault="00141DDC" w:rsidP="0064723A">
      <w:pPr>
        <w:spacing w:line="240" w:lineRule="auto"/>
        <w:jc w:val="both"/>
        <w:rPr>
          <w:rFonts w:ascii="Times New Roman" w:hAnsi="Times New Roman" w:cs="Times New Roman"/>
          <w:sz w:val="24"/>
          <w:szCs w:val="24"/>
        </w:rPr>
      </w:pPr>
    </w:p>
    <w:p w14:paraId="15E0530E" w14:textId="62EF7A86" w:rsidR="001B27BD" w:rsidRDefault="00C766AD"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Por fim, </w:t>
      </w:r>
      <w:r w:rsidR="00C20A9F" w:rsidRPr="006D7A8C">
        <w:rPr>
          <w:rFonts w:ascii="Times New Roman" w:hAnsi="Times New Roman" w:cs="Times New Roman"/>
          <w:sz w:val="24"/>
          <w:szCs w:val="24"/>
        </w:rPr>
        <w:t>considerando os fatores empresariais de desempenho observa-se que a taxa média de retorno do setor entre os anos de 2000 e 2016 foi de 8,05%, devendo chamar a atenção para a forte queda do indicador em 2015, que se explica, mais uma vez, pel</w:t>
      </w:r>
      <w:r w:rsidR="00BA33FF" w:rsidRPr="006D7A8C">
        <w:rPr>
          <w:rFonts w:ascii="Times New Roman" w:hAnsi="Times New Roman" w:cs="Times New Roman"/>
          <w:sz w:val="24"/>
          <w:szCs w:val="24"/>
        </w:rPr>
        <w:t>a</w:t>
      </w:r>
      <w:r w:rsidR="00C20A9F" w:rsidRPr="006D7A8C">
        <w:rPr>
          <w:rFonts w:ascii="Times New Roman" w:hAnsi="Times New Roman" w:cs="Times New Roman"/>
          <w:sz w:val="24"/>
          <w:szCs w:val="24"/>
        </w:rPr>
        <w:t xml:space="preserve"> queda no preço do minério de ferro no mercado internacional. De todo modo, </w:t>
      </w:r>
      <w:r w:rsidR="00BA33FF" w:rsidRPr="006D7A8C">
        <w:rPr>
          <w:rFonts w:ascii="Times New Roman" w:hAnsi="Times New Roman" w:cs="Times New Roman"/>
          <w:sz w:val="24"/>
          <w:szCs w:val="24"/>
        </w:rPr>
        <w:t>os resultados financeiros ao longo de quase todo o período analisado ficaram</w:t>
      </w:r>
      <w:r w:rsidR="00C20A9F" w:rsidRPr="006D7A8C">
        <w:rPr>
          <w:rFonts w:ascii="Times New Roman" w:hAnsi="Times New Roman" w:cs="Times New Roman"/>
          <w:sz w:val="24"/>
          <w:szCs w:val="24"/>
        </w:rPr>
        <w:t xml:space="preserve"> abaixo da taxa de juros básica da economia, como se pode </w:t>
      </w:r>
      <w:r w:rsidR="00DF00CA" w:rsidRPr="006D7A8C">
        <w:rPr>
          <w:rFonts w:ascii="Times New Roman" w:hAnsi="Times New Roman" w:cs="Times New Roman"/>
          <w:sz w:val="24"/>
          <w:szCs w:val="24"/>
        </w:rPr>
        <w:t>de</w:t>
      </w:r>
      <w:r w:rsidR="00C20A9F" w:rsidRPr="006D7A8C">
        <w:rPr>
          <w:rFonts w:ascii="Times New Roman" w:hAnsi="Times New Roman" w:cs="Times New Roman"/>
          <w:sz w:val="24"/>
          <w:szCs w:val="24"/>
        </w:rPr>
        <w:t xml:space="preserve">preender na figura a seguir. </w:t>
      </w:r>
    </w:p>
    <w:p w14:paraId="7DB092E9" w14:textId="77447D3C" w:rsidR="00FF0EA4" w:rsidRPr="006D7A8C" w:rsidRDefault="001D35E9" w:rsidP="0064723A">
      <w:pPr>
        <w:spacing w:line="240" w:lineRule="auto"/>
        <w:jc w:val="both"/>
        <w:rPr>
          <w:rFonts w:ascii="Times New Roman" w:hAnsi="Times New Roman" w:cs="Times New Roman"/>
          <w:b/>
          <w:sz w:val="24"/>
          <w:szCs w:val="24"/>
        </w:rPr>
      </w:pPr>
      <w:r w:rsidRPr="006D7A8C">
        <w:rPr>
          <w:rFonts w:ascii="Times New Roman" w:hAnsi="Times New Roman" w:cs="Times New Roman"/>
          <w:noProof/>
          <w:sz w:val="24"/>
          <w:szCs w:val="24"/>
        </w:rPr>
        <w:drawing>
          <wp:inline distT="0" distB="0" distL="0" distR="0" wp14:anchorId="6C1BC57A" wp14:editId="024CC09D">
            <wp:extent cx="3810000" cy="2743200"/>
            <wp:effectExtent l="0" t="0" r="0" b="0"/>
            <wp:docPr id="18" name="Gráfico 18">
              <a:extLst xmlns:a="http://schemas.openxmlformats.org/drawingml/2006/main">
                <a:ext uri="{FF2B5EF4-FFF2-40B4-BE49-F238E27FC236}">
                  <a16:creationId xmlns:a16="http://schemas.microsoft.com/office/drawing/2014/main" id="{47948EF3-3BA9-4B37-9F55-47264E7D5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A3DC2A" w14:textId="3AC5EAFB" w:rsidR="001D35E9" w:rsidRPr="006D7A8C" w:rsidRDefault="001D35E9" w:rsidP="0064723A">
      <w:pPr>
        <w:pStyle w:val="Legenda"/>
        <w:spacing w:after="0"/>
        <w:jc w:val="both"/>
        <w:rPr>
          <w:rFonts w:ascii="Times New Roman" w:hAnsi="Times New Roman" w:cs="Times New Roman"/>
          <w:i w:val="0"/>
          <w:sz w:val="24"/>
          <w:szCs w:val="24"/>
        </w:rPr>
      </w:pPr>
      <w:bookmarkStart w:id="24" w:name="_Toc510211791"/>
      <w:r w:rsidRPr="006D7A8C">
        <w:rPr>
          <w:rFonts w:ascii="Times New Roman" w:hAnsi="Times New Roman" w:cs="Times New Roman"/>
          <w:b/>
          <w:i w:val="0"/>
          <w:sz w:val="24"/>
          <w:szCs w:val="24"/>
        </w:rPr>
        <w:t xml:space="preserve">Figura </w:t>
      </w:r>
      <w:r w:rsidR="00B46FE0">
        <w:rPr>
          <w:rFonts w:ascii="Times New Roman" w:hAnsi="Times New Roman" w:cs="Times New Roman"/>
          <w:b/>
          <w:i w:val="0"/>
          <w:sz w:val="24"/>
          <w:szCs w:val="24"/>
        </w:rPr>
        <w:t>14</w:t>
      </w:r>
      <w:r w:rsidRPr="006D7A8C">
        <w:rPr>
          <w:rFonts w:ascii="Times New Roman" w:hAnsi="Times New Roman" w:cs="Times New Roman"/>
          <w:i w:val="0"/>
          <w:sz w:val="24"/>
          <w:szCs w:val="24"/>
        </w:rPr>
        <w:t xml:space="preserve"> - Rentab</w:t>
      </w:r>
      <w:r w:rsidR="00C20A9F" w:rsidRPr="006D7A8C">
        <w:rPr>
          <w:rFonts w:ascii="Times New Roman" w:hAnsi="Times New Roman" w:cs="Times New Roman"/>
          <w:i w:val="0"/>
          <w:sz w:val="24"/>
          <w:szCs w:val="24"/>
        </w:rPr>
        <w:t>ilidade</w:t>
      </w:r>
      <w:r w:rsidRPr="006D7A8C">
        <w:rPr>
          <w:rFonts w:ascii="Times New Roman" w:hAnsi="Times New Roman" w:cs="Times New Roman"/>
          <w:i w:val="0"/>
          <w:sz w:val="24"/>
          <w:szCs w:val="24"/>
        </w:rPr>
        <w:t xml:space="preserve"> do Patrimônio Líquido-</w:t>
      </w:r>
      <w:r w:rsidR="00877B8C">
        <w:rPr>
          <w:rFonts w:ascii="Times New Roman" w:hAnsi="Times New Roman" w:cs="Times New Roman"/>
          <w:i w:val="0"/>
          <w:sz w:val="24"/>
          <w:szCs w:val="24"/>
        </w:rPr>
        <w:t xml:space="preserve"> Indústria </w:t>
      </w:r>
      <w:r w:rsidRPr="006D7A8C">
        <w:rPr>
          <w:rFonts w:ascii="Times New Roman" w:hAnsi="Times New Roman" w:cs="Times New Roman"/>
          <w:i w:val="0"/>
          <w:sz w:val="24"/>
          <w:szCs w:val="24"/>
        </w:rPr>
        <w:t>Extrativa Mineral</w:t>
      </w:r>
      <w:r w:rsidR="00C20A9F" w:rsidRPr="006D7A8C">
        <w:rPr>
          <w:rFonts w:ascii="Times New Roman" w:hAnsi="Times New Roman" w:cs="Times New Roman"/>
          <w:i w:val="0"/>
          <w:sz w:val="24"/>
          <w:szCs w:val="24"/>
        </w:rPr>
        <w:t xml:space="preserve"> e Taxa Selic (em %)</w:t>
      </w:r>
      <w:bookmarkEnd w:id="24"/>
    </w:p>
    <w:p w14:paraId="19855A7D" w14:textId="5A0EB789" w:rsidR="001D35E9" w:rsidRPr="00241E53" w:rsidRDefault="001D35E9" w:rsidP="0064723A">
      <w:pPr>
        <w:spacing w:after="0" w:line="240" w:lineRule="auto"/>
        <w:jc w:val="both"/>
        <w:rPr>
          <w:rFonts w:ascii="Times New Roman" w:hAnsi="Times New Roman" w:cs="Times New Roman"/>
        </w:rPr>
      </w:pPr>
      <w:r w:rsidRPr="00241E53">
        <w:rPr>
          <w:rFonts w:ascii="Times New Roman" w:hAnsi="Times New Roman" w:cs="Times New Roman"/>
          <w:b/>
        </w:rPr>
        <w:t>Fonte:</w:t>
      </w:r>
      <w:r w:rsidRPr="00241E53">
        <w:rPr>
          <w:rFonts w:ascii="Times New Roman" w:hAnsi="Times New Roman" w:cs="Times New Roman"/>
        </w:rPr>
        <w:t xml:space="preserve"> </w:t>
      </w:r>
      <w:proofErr w:type="spellStart"/>
      <w:r w:rsidRPr="00241E53">
        <w:rPr>
          <w:rFonts w:ascii="Times New Roman" w:hAnsi="Times New Roman" w:cs="Times New Roman"/>
        </w:rPr>
        <w:t>Lafis</w:t>
      </w:r>
      <w:proofErr w:type="spellEnd"/>
    </w:p>
    <w:p w14:paraId="6862CC26" w14:textId="72606EBA" w:rsidR="00C20A9F" w:rsidRPr="006D7A8C" w:rsidRDefault="00C20A9F" w:rsidP="0064723A">
      <w:pPr>
        <w:spacing w:line="240" w:lineRule="auto"/>
        <w:jc w:val="both"/>
        <w:rPr>
          <w:rFonts w:ascii="Times New Roman" w:hAnsi="Times New Roman" w:cs="Times New Roman"/>
          <w:b/>
          <w:sz w:val="24"/>
          <w:szCs w:val="24"/>
        </w:rPr>
      </w:pPr>
    </w:p>
    <w:p w14:paraId="4726FA69" w14:textId="4AEC9D8A" w:rsidR="00E26899" w:rsidRPr="006D7A8C" w:rsidRDefault="00E2689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lastRenderedPageBreak/>
        <w:t xml:space="preserve">Como se pôde observar, a avaliação do setor a partir do </w:t>
      </w:r>
      <w:r w:rsidR="00B029EC">
        <w:rPr>
          <w:rFonts w:ascii="Times New Roman" w:hAnsi="Times New Roman" w:cs="Times New Roman"/>
          <w:sz w:val="24"/>
          <w:szCs w:val="24"/>
        </w:rPr>
        <w:t>Paradigma</w:t>
      </w:r>
      <w:r w:rsidRPr="006D7A8C">
        <w:rPr>
          <w:rFonts w:ascii="Times New Roman" w:hAnsi="Times New Roman" w:cs="Times New Roman"/>
          <w:sz w:val="24"/>
          <w:szCs w:val="24"/>
        </w:rPr>
        <w:t xml:space="preserve"> ECD seguiu a perspectiva revisada, em que não se estabelece uma relação causal de mão única interligando os seus componentes, bem como se considera como os aspectos regulatórios também afetaram tais elementos. Isto permite, a seguir, sintetizar o comportamento do setor.</w:t>
      </w:r>
    </w:p>
    <w:p w14:paraId="55E1E8B7" w14:textId="77777777" w:rsidR="00E26899" w:rsidRPr="006D7A8C" w:rsidRDefault="00E26899" w:rsidP="0064723A">
      <w:pPr>
        <w:spacing w:line="240" w:lineRule="auto"/>
        <w:jc w:val="both"/>
        <w:rPr>
          <w:rFonts w:ascii="Times New Roman" w:hAnsi="Times New Roman" w:cs="Times New Roman"/>
          <w:sz w:val="24"/>
          <w:szCs w:val="24"/>
        </w:rPr>
      </w:pPr>
    </w:p>
    <w:p w14:paraId="1E598676" w14:textId="4762179B" w:rsidR="002B6741" w:rsidRPr="006D7A8C" w:rsidRDefault="00551C6A" w:rsidP="0064723A">
      <w:pPr>
        <w:pStyle w:val="PargrafodaLista"/>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00412288" w:rsidRPr="006D7A8C">
        <w:rPr>
          <w:rFonts w:ascii="Times New Roman" w:hAnsi="Times New Roman" w:cs="Times New Roman"/>
          <w:b/>
          <w:sz w:val="24"/>
          <w:szCs w:val="24"/>
        </w:rPr>
        <w:t>Uma síntese da ECD da Indústria Extrativa Mineral brasileira</w:t>
      </w:r>
    </w:p>
    <w:p w14:paraId="45D2C76D" w14:textId="4EAA4E88" w:rsidR="002B6741" w:rsidRPr="006D7A8C" w:rsidRDefault="002B6741" w:rsidP="0064723A">
      <w:pPr>
        <w:spacing w:line="240" w:lineRule="auto"/>
        <w:jc w:val="both"/>
        <w:outlineLvl w:val="0"/>
        <w:rPr>
          <w:rFonts w:ascii="Times New Roman" w:hAnsi="Times New Roman" w:cs="Times New Roman"/>
          <w:sz w:val="24"/>
          <w:szCs w:val="24"/>
        </w:rPr>
      </w:pPr>
      <w:bookmarkStart w:id="25" w:name="_Toc510211758"/>
      <w:r w:rsidRPr="006D7A8C">
        <w:rPr>
          <w:rFonts w:ascii="Times New Roman" w:hAnsi="Times New Roman" w:cs="Times New Roman"/>
          <w:sz w:val="24"/>
          <w:szCs w:val="24"/>
        </w:rPr>
        <w:t xml:space="preserve">O território brasileiro conta com uma significativa diversidade de minérios, tornando a Atividade Extrativa Mineral uma das mais importantes para a economia brasileira. </w:t>
      </w:r>
      <w:bookmarkEnd w:id="25"/>
    </w:p>
    <w:p w14:paraId="78152A1B" w14:textId="4243C33E" w:rsidR="002B6741" w:rsidRPr="006D7A8C" w:rsidRDefault="002B6741"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 atividade extrativa no Brasil vem crescendo significativamente nos últimos anos, bem como tem uma forte importância para a Balança Comercial brasileira</w:t>
      </w:r>
      <w:r w:rsidR="003A085E" w:rsidRPr="006D7A8C">
        <w:rPr>
          <w:rFonts w:ascii="Times New Roman" w:hAnsi="Times New Roman" w:cs="Times New Roman"/>
          <w:sz w:val="24"/>
          <w:szCs w:val="24"/>
        </w:rPr>
        <w:t xml:space="preserve">. No ápice do desempenho comercial, em 2011, o segmento exportou US$44 bilhões, valor que caiu para US$15,8 bilhões em 2016, sendo a China a principal importadora do minério nacional. </w:t>
      </w:r>
    </w:p>
    <w:p w14:paraId="19AC0A55" w14:textId="2C6981EB" w:rsidR="002B6741" w:rsidRPr="006D7A8C" w:rsidRDefault="003A085E"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É um setor </w:t>
      </w:r>
      <w:r w:rsidR="00085861" w:rsidRPr="006D7A8C">
        <w:rPr>
          <w:rFonts w:ascii="Times New Roman" w:hAnsi="Times New Roman" w:cs="Times New Roman"/>
          <w:sz w:val="24"/>
          <w:szCs w:val="24"/>
        </w:rPr>
        <w:t xml:space="preserve">se </w:t>
      </w:r>
      <w:r w:rsidRPr="006D7A8C">
        <w:rPr>
          <w:rFonts w:ascii="Times New Roman" w:hAnsi="Times New Roman" w:cs="Times New Roman"/>
          <w:sz w:val="24"/>
          <w:szCs w:val="24"/>
        </w:rPr>
        <w:t xml:space="preserve">caracteriza por uma forte concentração de mercado em praticamente todas substâncias minerais, cabendo destacar as duas principais, o alumínio e </w:t>
      </w:r>
      <w:r w:rsidR="00085861" w:rsidRPr="006D7A8C">
        <w:rPr>
          <w:rFonts w:ascii="Times New Roman" w:hAnsi="Times New Roman" w:cs="Times New Roman"/>
          <w:sz w:val="24"/>
          <w:szCs w:val="24"/>
        </w:rPr>
        <w:t xml:space="preserve">o </w:t>
      </w:r>
      <w:r w:rsidRPr="006D7A8C">
        <w:rPr>
          <w:rFonts w:ascii="Times New Roman" w:hAnsi="Times New Roman" w:cs="Times New Roman"/>
          <w:sz w:val="24"/>
          <w:szCs w:val="24"/>
        </w:rPr>
        <w:t>minério de ferro</w:t>
      </w:r>
      <w:r w:rsidR="00085861" w:rsidRPr="006D7A8C">
        <w:rPr>
          <w:rFonts w:ascii="Times New Roman" w:hAnsi="Times New Roman" w:cs="Times New Roman"/>
          <w:sz w:val="24"/>
          <w:szCs w:val="24"/>
        </w:rPr>
        <w:t>. Ademais, o setor também, pelo porte das lavras e das usinas, evidencia a operação em larga escala, fato que eleva as barreiras à entrada de novos concorrentes. Por outro lado, a</w:t>
      </w:r>
      <w:r w:rsidRPr="006D7A8C">
        <w:rPr>
          <w:rFonts w:ascii="Times New Roman" w:hAnsi="Times New Roman" w:cs="Times New Roman"/>
          <w:sz w:val="24"/>
          <w:szCs w:val="24"/>
        </w:rPr>
        <w:t xml:space="preserve"> concentração regional também é elevada</w:t>
      </w:r>
      <w:r w:rsidR="00085861" w:rsidRPr="006D7A8C">
        <w:rPr>
          <w:rFonts w:ascii="Times New Roman" w:hAnsi="Times New Roman" w:cs="Times New Roman"/>
          <w:sz w:val="24"/>
          <w:szCs w:val="24"/>
        </w:rPr>
        <w:t xml:space="preserve">, uma vez que </w:t>
      </w:r>
      <w:r w:rsidRPr="006D7A8C">
        <w:rPr>
          <w:rFonts w:ascii="Times New Roman" w:hAnsi="Times New Roman" w:cs="Times New Roman"/>
          <w:sz w:val="24"/>
          <w:szCs w:val="24"/>
        </w:rPr>
        <w:t xml:space="preserve">os principais estados produtores </w:t>
      </w:r>
      <w:r w:rsidR="00085861" w:rsidRPr="006D7A8C">
        <w:rPr>
          <w:rFonts w:ascii="Times New Roman" w:hAnsi="Times New Roman" w:cs="Times New Roman"/>
          <w:sz w:val="24"/>
          <w:szCs w:val="24"/>
        </w:rPr>
        <w:t xml:space="preserve">são </w:t>
      </w:r>
      <w:r w:rsidRPr="006D7A8C">
        <w:rPr>
          <w:rFonts w:ascii="Times New Roman" w:hAnsi="Times New Roman" w:cs="Times New Roman"/>
          <w:sz w:val="24"/>
          <w:szCs w:val="24"/>
        </w:rPr>
        <w:t>o Pará e Minas Gerais.</w:t>
      </w:r>
    </w:p>
    <w:p w14:paraId="44BAEA26" w14:textId="17FC50D1" w:rsidR="003A085E" w:rsidRPr="006D7A8C" w:rsidRDefault="00085861"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N</w:t>
      </w:r>
      <w:r w:rsidR="003A085E" w:rsidRPr="006D7A8C">
        <w:rPr>
          <w:rFonts w:ascii="Times New Roman" w:hAnsi="Times New Roman" w:cs="Times New Roman"/>
          <w:sz w:val="24"/>
          <w:szCs w:val="24"/>
        </w:rPr>
        <w:t>ão se pode deixar de considerar</w:t>
      </w:r>
      <w:r w:rsidRPr="006D7A8C">
        <w:rPr>
          <w:rFonts w:ascii="Times New Roman" w:hAnsi="Times New Roman" w:cs="Times New Roman"/>
          <w:sz w:val="24"/>
          <w:szCs w:val="24"/>
        </w:rPr>
        <w:t xml:space="preserve">, também, </w:t>
      </w:r>
      <w:r w:rsidR="003A085E" w:rsidRPr="006D7A8C">
        <w:rPr>
          <w:rFonts w:ascii="Times New Roman" w:hAnsi="Times New Roman" w:cs="Times New Roman"/>
          <w:sz w:val="24"/>
          <w:szCs w:val="24"/>
        </w:rPr>
        <w:t xml:space="preserve">os </w:t>
      </w:r>
      <w:r w:rsidRPr="006D7A8C">
        <w:rPr>
          <w:rFonts w:ascii="Times New Roman" w:hAnsi="Times New Roman" w:cs="Times New Roman"/>
          <w:sz w:val="24"/>
          <w:szCs w:val="24"/>
        </w:rPr>
        <w:t xml:space="preserve">fatores exógenos expressos pelas políticas </w:t>
      </w:r>
      <w:r w:rsidR="003A085E" w:rsidRPr="006D7A8C">
        <w:rPr>
          <w:rFonts w:ascii="Times New Roman" w:hAnsi="Times New Roman" w:cs="Times New Roman"/>
          <w:sz w:val="24"/>
          <w:szCs w:val="24"/>
        </w:rPr>
        <w:t xml:space="preserve">regulatórios </w:t>
      </w:r>
      <w:r w:rsidR="00AA37B1">
        <w:rPr>
          <w:rFonts w:ascii="Times New Roman" w:hAnsi="Times New Roman" w:cs="Times New Roman"/>
          <w:sz w:val="24"/>
          <w:szCs w:val="24"/>
        </w:rPr>
        <w:t xml:space="preserve">(ambientais) </w:t>
      </w:r>
      <w:r w:rsidR="003A085E" w:rsidRPr="006D7A8C">
        <w:rPr>
          <w:rFonts w:ascii="Times New Roman" w:hAnsi="Times New Roman" w:cs="Times New Roman"/>
          <w:sz w:val="24"/>
          <w:szCs w:val="24"/>
        </w:rPr>
        <w:t xml:space="preserve">do setor, que </w:t>
      </w:r>
      <w:r w:rsidRPr="006D7A8C">
        <w:rPr>
          <w:rFonts w:ascii="Times New Roman" w:hAnsi="Times New Roman" w:cs="Times New Roman"/>
          <w:sz w:val="24"/>
          <w:szCs w:val="24"/>
        </w:rPr>
        <w:t xml:space="preserve">contribuem para </w:t>
      </w:r>
      <w:r w:rsidR="003A085E" w:rsidRPr="006D7A8C">
        <w:rPr>
          <w:rFonts w:ascii="Times New Roman" w:hAnsi="Times New Roman" w:cs="Times New Roman"/>
          <w:sz w:val="24"/>
          <w:szCs w:val="24"/>
        </w:rPr>
        <w:t>amplia</w:t>
      </w:r>
      <w:r w:rsidRPr="006D7A8C">
        <w:rPr>
          <w:rFonts w:ascii="Times New Roman" w:hAnsi="Times New Roman" w:cs="Times New Roman"/>
          <w:sz w:val="24"/>
          <w:szCs w:val="24"/>
        </w:rPr>
        <w:t>r</w:t>
      </w:r>
      <w:r w:rsidR="003A085E" w:rsidRPr="006D7A8C">
        <w:rPr>
          <w:rFonts w:ascii="Times New Roman" w:hAnsi="Times New Roman" w:cs="Times New Roman"/>
          <w:sz w:val="24"/>
          <w:szCs w:val="24"/>
        </w:rPr>
        <w:t xml:space="preserve"> </w:t>
      </w:r>
      <w:r w:rsidRPr="006D7A8C">
        <w:rPr>
          <w:rFonts w:ascii="Times New Roman" w:hAnsi="Times New Roman" w:cs="Times New Roman"/>
          <w:sz w:val="24"/>
          <w:szCs w:val="24"/>
        </w:rPr>
        <w:t>as barreiras à entrada de novos concorrentes.</w:t>
      </w:r>
    </w:p>
    <w:p w14:paraId="73E5217D" w14:textId="33B61E0B" w:rsidR="00492179" w:rsidRPr="006D7A8C" w:rsidRDefault="0049217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Em termos de conduta, observou-se que, apesar de serem </w:t>
      </w:r>
      <w:r w:rsidRPr="006D7A8C">
        <w:rPr>
          <w:rFonts w:ascii="Times New Roman" w:hAnsi="Times New Roman" w:cs="Times New Roman"/>
          <w:i/>
          <w:sz w:val="24"/>
          <w:szCs w:val="24"/>
        </w:rPr>
        <w:t>commodities</w:t>
      </w:r>
      <w:r w:rsidRPr="006D7A8C">
        <w:rPr>
          <w:rFonts w:ascii="Times New Roman" w:hAnsi="Times New Roman" w:cs="Times New Roman"/>
          <w:sz w:val="24"/>
          <w:szCs w:val="24"/>
        </w:rPr>
        <w:t>, os preços dos principais minério</w:t>
      </w:r>
      <w:r w:rsidR="00085861" w:rsidRPr="006D7A8C">
        <w:rPr>
          <w:rFonts w:ascii="Times New Roman" w:hAnsi="Times New Roman" w:cs="Times New Roman"/>
          <w:sz w:val="24"/>
          <w:szCs w:val="24"/>
        </w:rPr>
        <w:t>s</w:t>
      </w:r>
      <w:r w:rsidRPr="006D7A8C">
        <w:rPr>
          <w:rFonts w:ascii="Times New Roman" w:hAnsi="Times New Roman" w:cs="Times New Roman"/>
          <w:sz w:val="24"/>
          <w:szCs w:val="24"/>
        </w:rPr>
        <w:t xml:space="preserve"> produzidos pelo Brasil, com o destaque para o ferro</w:t>
      </w:r>
      <w:r w:rsidR="00085861" w:rsidRPr="006D7A8C">
        <w:rPr>
          <w:rFonts w:ascii="Times New Roman" w:hAnsi="Times New Roman" w:cs="Times New Roman"/>
          <w:sz w:val="24"/>
          <w:szCs w:val="24"/>
        </w:rPr>
        <w:t>,</w:t>
      </w:r>
      <w:r w:rsidRPr="006D7A8C">
        <w:rPr>
          <w:rFonts w:ascii="Times New Roman" w:hAnsi="Times New Roman" w:cs="Times New Roman"/>
          <w:sz w:val="24"/>
          <w:szCs w:val="24"/>
        </w:rPr>
        <w:t xml:space="preserve"> são determinados por uma conduta empresarial que se torna possível graças a estruturas concentrada</w:t>
      </w:r>
      <w:r w:rsidR="00085861" w:rsidRPr="006D7A8C">
        <w:rPr>
          <w:rFonts w:ascii="Times New Roman" w:hAnsi="Times New Roman" w:cs="Times New Roman"/>
          <w:sz w:val="24"/>
          <w:szCs w:val="24"/>
        </w:rPr>
        <w:t>s</w:t>
      </w:r>
      <w:r w:rsidRPr="006D7A8C">
        <w:rPr>
          <w:rFonts w:ascii="Times New Roman" w:hAnsi="Times New Roman" w:cs="Times New Roman"/>
          <w:sz w:val="24"/>
          <w:szCs w:val="24"/>
        </w:rPr>
        <w:t xml:space="preserve"> e de forte barreira, </w:t>
      </w:r>
      <w:r w:rsidR="00085861" w:rsidRPr="006D7A8C">
        <w:rPr>
          <w:rFonts w:ascii="Times New Roman" w:hAnsi="Times New Roman" w:cs="Times New Roman"/>
          <w:sz w:val="24"/>
          <w:szCs w:val="24"/>
        </w:rPr>
        <w:t xml:space="preserve">o </w:t>
      </w:r>
      <w:r w:rsidRPr="006D7A8C">
        <w:rPr>
          <w:rFonts w:ascii="Times New Roman" w:hAnsi="Times New Roman" w:cs="Times New Roman"/>
          <w:sz w:val="24"/>
          <w:szCs w:val="24"/>
        </w:rPr>
        <w:t xml:space="preserve">que leva os </w:t>
      </w:r>
      <w:r w:rsidRPr="006D7A8C">
        <w:rPr>
          <w:rFonts w:ascii="Times New Roman" w:hAnsi="Times New Roman" w:cs="Times New Roman"/>
          <w:i/>
          <w:sz w:val="24"/>
          <w:szCs w:val="24"/>
        </w:rPr>
        <w:t>players</w:t>
      </w:r>
      <w:r w:rsidRPr="006D7A8C">
        <w:rPr>
          <w:rFonts w:ascii="Times New Roman" w:hAnsi="Times New Roman" w:cs="Times New Roman"/>
          <w:sz w:val="24"/>
          <w:szCs w:val="24"/>
        </w:rPr>
        <w:t xml:space="preserve"> </w:t>
      </w:r>
      <w:r w:rsidR="00085861" w:rsidRPr="006D7A8C">
        <w:rPr>
          <w:rFonts w:ascii="Times New Roman" w:hAnsi="Times New Roman" w:cs="Times New Roman"/>
          <w:sz w:val="24"/>
          <w:szCs w:val="24"/>
        </w:rPr>
        <w:t xml:space="preserve">a </w:t>
      </w:r>
      <w:r w:rsidRPr="006D7A8C">
        <w:rPr>
          <w:rFonts w:ascii="Times New Roman" w:hAnsi="Times New Roman" w:cs="Times New Roman"/>
          <w:sz w:val="24"/>
          <w:szCs w:val="24"/>
        </w:rPr>
        <w:t>atuar</w:t>
      </w:r>
      <w:r w:rsidR="00085861" w:rsidRPr="006D7A8C">
        <w:rPr>
          <w:rFonts w:ascii="Times New Roman" w:hAnsi="Times New Roman" w:cs="Times New Roman"/>
          <w:sz w:val="24"/>
          <w:szCs w:val="24"/>
        </w:rPr>
        <w:t>em</w:t>
      </w:r>
      <w:r w:rsidRPr="006D7A8C">
        <w:rPr>
          <w:rFonts w:ascii="Times New Roman" w:hAnsi="Times New Roman" w:cs="Times New Roman"/>
          <w:sz w:val="24"/>
          <w:szCs w:val="24"/>
        </w:rPr>
        <w:t xml:space="preserve"> no sentido de afetar a oferta mundial e, por conseguinte, o preço. </w:t>
      </w:r>
    </w:p>
    <w:p w14:paraId="5F693DB3" w14:textId="718C28E0" w:rsidR="00492179" w:rsidRPr="006D7A8C" w:rsidRDefault="0049217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Ainda com relação às condutas do setor, não se pode deixar de destacar a importância dos investimentos em P&amp;D, sobretudo no que tange aos processos, uma vez que o produto bruto não carrega inovações.</w:t>
      </w:r>
    </w:p>
    <w:p w14:paraId="29090280" w14:textId="7ABF5E6E" w:rsidR="00492179" w:rsidRPr="006D7A8C" w:rsidRDefault="00492179" w:rsidP="0064723A">
      <w:pPr>
        <w:spacing w:line="240" w:lineRule="auto"/>
        <w:jc w:val="both"/>
        <w:rPr>
          <w:rFonts w:ascii="Times New Roman" w:hAnsi="Times New Roman" w:cs="Times New Roman"/>
          <w:sz w:val="24"/>
          <w:szCs w:val="24"/>
        </w:rPr>
      </w:pPr>
      <w:r w:rsidRPr="006D7A8C">
        <w:rPr>
          <w:rFonts w:ascii="Times New Roman" w:hAnsi="Times New Roman" w:cs="Times New Roman"/>
          <w:sz w:val="24"/>
          <w:szCs w:val="24"/>
        </w:rPr>
        <w:t xml:space="preserve">Por fim, em termos de desempenho, </w:t>
      </w:r>
      <w:r w:rsidR="00175EFA" w:rsidRPr="006D7A8C">
        <w:rPr>
          <w:rFonts w:ascii="Times New Roman" w:hAnsi="Times New Roman" w:cs="Times New Roman"/>
          <w:sz w:val="24"/>
          <w:szCs w:val="24"/>
        </w:rPr>
        <w:t>conclui-se que o Brasil tem se destacado na produção e comercialização dos seus principais minérios, fato que tem repercutido sobre outros indicadores, tais como o interesse do capital estrangeiro sobre o setor</w:t>
      </w:r>
      <w:r w:rsidR="00085861" w:rsidRPr="006D7A8C">
        <w:rPr>
          <w:rFonts w:ascii="Times New Roman" w:hAnsi="Times New Roman" w:cs="Times New Roman"/>
          <w:sz w:val="24"/>
          <w:szCs w:val="24"/>
        </w:rPr>
        <w:t>,</w:t>
      </w:r>
      <w:r w:rsidR="00175EFA" w:rsidRPr="006D7A8C">
        <w:rPr>
          <w:rFonts w:ascii="Times New Roman" w:hAnsi="Times New Roman" w:cs="Times New Roman"/>
          <w:sz w:val="24"/>
          <w:szCs w:val="24"/>
        </w:rPr>
        <w:t xml:space="preserve"> sobre os resultados econômicos e financeiros obtidos pelas empresas</w:t>
      </w:r>
      <w:r w:rsidR="00085861" w:rsidRPr="006D7A8C">
        <w:rPr>
          <w:rFonts w:ascii="Times New Roman" w:hAnsi="Times New Roman" w:cs="Times New Roman"/>
          <w:sz w:val="24"/>
          <w:szCs w:val="24"/>
        </w:rPr>
        <w:t xml:space="preserve"> e, como mostraram os dados das condições básicas de demanda, a expressão do comércio exterior realizado pelo setor</w:t>
      </w:r>
      <w:r w:rsidR="00175EFA" w:rsidRPr="006D7A8C">
        <w:rPr>
          <w:rFonts w:ascii="Times New Roman" w:hAnsi="Times New Roman" w:cs="Times New Roman"/>
          <w:sz w:val="24"/>
          <w:szCs w:val="24"/>
        </w:rPr>
        <w:t xml:space="preserve">. </w:t>
      </w:r>
    </w:p>
    <w:p w14:paraId="06B9510E" w14:textId="77777777" w:rsidR="00085861" w:rsidRPr="006D7A8C" w:rsidRDefault="00085861" w:rsidP="000168DC">
      <w:pPr>
        <w:pStyle w:val="Ttulo1"/>
        <w:spacing w:line="240" w:lineRule="auto"/>
        <w:rPr>
          <w:rFonts w:ascii="Times New Roman" w:hAnsi="Times New Roman" w:cs="Times New Roman"/>
          <w:b/>
          <w:color w:val="000000" w:themeColor="text1"/>
          <w:sz w:val="24"/>
          <w:szCs w:val="24"/>
        </w:rPr>
      </w:pPr>
      <w:bookmarkStart w:id="26" w:name="_Toc510211759"/>
    </w:p>
    <w:p w14:paraId="26A133E2" w14:textId="7F2D1D43" w:rsidR="00FB0FF3" w:rsidRPr="006D7A8C" w:rsidRDefault="00B42EE0" w:rsidP="000168DC">
      <w:pPr>
        <w:pStyle w:val="Ttulo1"/>
        <w:spacing w:line="240" w:lineRule="auto"/>
        <w:rPr>
          <w:rFonts w:ascii="Times New Roman" w:hAnsi="Times New Roman" w:cs="Times New Roman"/>
          <w:b/>
          <w:color w:val="000000" w:themeColor="text1"/>
          <w:sz w:val="24"/>
          <w:szCs w:val="24"/>
        </w:rPr>
      </w:pPr>
      <w:r w:rsidRPr="006D7A8C">
        <w:rPr>
          <w:rFonts w:ascii="Times New Roman" w:hAnsi="Times New Roman" w:cs="Times New Roman"/>
          <w:b/>
          <w:color w:val="000000" w:themeColor="text1"/>
          <w:sz w:val="24"/>
          <w:szCs w:val="24"/>
        </w:rPr>
        <w:t xml:space="preserve">Referências </w:t>
      </w:r>
      <w:r>
        <w:rPr>
          <w:rFonts w:ascii="Times New Roman" w:hAnsi="Times New Roman" w:cs="Times New Roman"/>
          <w:b/>
          <w:color w:val="000000" w:themeColor="text1"/>
          <w:sz w:val="24"/>
          <w:szCs w:val="24"/>
        </w:rPr>
        <w:t>B</w:t>
      </w:r>
      <w:r w:rsidRPr="006D7A8C">
        <w:rPr>
          <w:rFonts w:ascii="Times New Roman" w:hAnsi="Times New Roman" w:cs="Times New Roman"/>
          <w:b/>
          <w:color w:val="000000" w:themeColor="text1"/>
          <w:sz w:val="24"/>
          <w:szCs w:val="24"/>
        </w:rPr>
        <w:t>ibliográficas</w:t>
      </w:r>
      <w:bookmarkEnd w:id="26"/>
    </w:p>
    <w:p w14:paraId="7D167F0D" w14:textId="77777777" w:rsidR="00877B8C" w:rsidRDefault="00877B8C" w:rsidP="000168DC">
      <w:pPr>
        <w:spacing w:line="240" w:lineRule="auto"/>
        <w:rPr>
          <w:rFonts w:ascii="Times New Roman" w:hAnsi="Times New Roman" w:cs="Times New Roman"/>
          <w:b/>
          <w:sz w:val="24"/>
          <w:szCs w:val="24"/>
        </w:rPr>
      </w:pPr>
    </w:p>
    <w:p w14:paraId="267552FC" w14:textId="6603498A"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Agência Nacional de Mineração</w:t>
      </w:r>
      <w:r w:rsidRPr="006D7A8C">
        <w:rPr>
          <w:rFonts w:ascii="Times New Roman" w:hAnsi="Times New Roman" w:cs="Times New Roman"/>
          <w:sz w:val="24"/>
          <w:szCs w:val="24"/>
        </w:rPr>
        <w:t xml:space="preserve">. Disponível em: </w:t>
      </w:r>
      <w:hyperlink r:id="rId23" w:history="1">
        <w:r w:rsidRPr="006D7A8C">
          <w:rPr>
            <w:rStyle w:val="Hyperlink"/>
            <w:rFonts w:ascii="Times New Roman" w:hAnsi="Times New Roman" w:cs="Times New Roman"/>
            <w:sz w:val="24"/>
            <w:szCs w:val="24"/>
          </w:rPr>
          <w:t>http://www.anm.gov.br</w:t>
        </w:r>
      </w:hyperlink>
      <w:r w:rsidRPr="006D7A8C">
        <w:rPr>
          <w:rFonts w:ascii="Times New Roman" w:hAnsi="Times New Roman" w:cs="Times New Roman"/>
          <w:sz w:val="24"/>
          <w:szCs w:val="24"/>
        </w:rPr>
        <w:t xml:space="preserve">. </w:t>
      </w:r>
    </w:p>
    <w:p w14:paraId="7DFD49A3" w14:textId="132C9FBF"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lang w:val="en-US"/>
        </w:rPr>
        <w:lastRenderedPageBreak/>
        <w:t xml:space="preserve">CARLTON B.; PERLOFF, J. </w:t>
      </w:r>
      <w:r w:rsidRPr="006D7A8C">
        <w:rPr>
          <w:rFonts w:ascii="Times New Roman" w:hAnsi="Times New Roman" w:cs="Times New Roman"/>
          <w:b/>
          <w:sz w:val="24"/>
          <w:szCs w:val="24"/>
          <w:lang w:val="en-US"/>
        </w:rPr>
        <w:t>Modern Industrial Organization</w:t>
      </w:r>
      <w:r w:rsidRPr="006D7A8C">
        <w:rPr>
          <w:rFonts w:ascii="Times New Roman" w:hAnsi="Times New Roman" w:cs="Times New Roman"/>
          <w:sz w:val="24"/>
          <w:szCs w:val="24"/>
          <w:lang w:val="en-US"/>
        </w:rPr>
        <w:t xml:space="preserve">. </w:t>
      </w:r>
      <w:r w:rsidRPr="006D7A8C">
        <w:rPr>
          <w:rFonts w:ascii="Times New Roman" w:hAnsi="Times New Roman" w:cs="Times New Roman"/>
          <w:sz w:val="24"/>
          <w:szCs w:val="24"/>
        </w:rPr>
        <w:t>Harper Collins, 1994.</w:t>
      </w:r>
    </w:p>
    <w:p w14:paraId="31F928E5" w14:textId="7ED3AC77" w:rsidR="003A7295" w:rsidRPr="006D7A8C" w:rsidRDefault="003A7295"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Censo do Capital Estrangeiro</w:t>
      </w:r>
      <w:r w:rsidRPr="006D7A8C">
        <w:rPr>
          <w:rFonts w:ascii="Times New Roman" w:hAnsi="Times New Roman" w:cs="Times New Roman"/>
          <w:sz w:val="24"/>
          <w:szCs w:val="24"/>
        </w:rPr>
        <w:t>. Banco Central do Brasil. Disponível em: http://www.bcb.gov.br/rex/censoCE/port/censo.asp?idpai=cambio</w:t>
      </w:r>
    </w:p>
    <w:p w14:paraId="022917FC" w14:textId="2ACB8944"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Produção Industrial Anual (PIA)</w:t>
      </w:r>
      <w:r w:rsidRPr="006D7A8C">
        <w:rPr>
          <w:rFonts w:ascii="Times New Roman" w:hAnsi="Times New Roman" w:cs="Times New Roman"/>
          <w:sz w:val="24"/>
          <w:szCs w:val="24"/>
        </w:rPr>
        <w:t xml:space="preserve">. Instituto Brasileiro de Geografia e Estatística (IBGE). Disponível em: </w:t>
      </w:r>
      <w:hyperlink r:id="rId24" w:history="1">
        <w:r w:rsidRPr="006D7A8C">
          <w:rPr>
            <w:rStyle w:val="Hyperlink"/>
            <w:rFonts w:ascii="Times New Roman" w:hAnsi="Times New Roman" w:cs="Times New Roman"/>
            <w:sz w:val="24"/>
            <w:szCs w:val="24"/>
          </w:rPr>
          <w:t>http://www.ibge.gov.br/home/estatistica/economia/industria/pia/empresas/2012/defaultempresa.shtm</w:t>
        </w:r>
      </w:hyperlink>
      <w:r w:rsidRPr="006D7A8C">
        <w:rPr>
          <w:rFonts w:ascii="Times New Roman" w:hAnsi="Times New Roman" w:cs="Times New Roman"/>
          <w:sz w:val="24"/>
          <w:szCs w:val="24"/>
        </w:rPr>
        <w:t xml:space="preserve">. </w:t>
      </w:r>
    </w:p>
    <w:p w14:paraId="7D89D7CA" w14:textId="06112478"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rPr>
        <w:t xml:space="preserve">Fagundes, J.; PONDE, J.L. </w:t>
      </w:r>
      <w:r w:rsidRPr="006D7A8C">
        <w:rPr>
          <w:rFonts w:ascii="Times New Roman" w:hAnsi="Times New Roman" w:cs="Times New Roman"/>
          <w:b/>
          <w:sz w:val="24"/>
          <w:szCs w:val="24"/>
        </w:rPr>
        <w:t>Defesa da Concorrência e Regulação</w:t>
      </w:r>
      <w:r w:rsidRPr="006D7A8C">
        <w:rPr>
          <w:rFonts w:ascii="Times New Roman" w:hAnsi="Times New Roman" w:cs="Times New Roman"/>
          <w:sz w:val="24"/>
          <w:szCs w:val="24"/>
        </w:rPr>
        <w:t xml:space="preserve">. Texto para </w:t>
      </w:r>
      <w:proofErr w:type="spellStart"/>
      <w:r w:rsidRPr="006D7A8C">
        <w:rPr>
          <w:rFonts w:ascii="Times New Roman" w:hAnsi="Times New Roman" w:cs="Times New Roman"/>
          <w:sz w:val="24"/>
          <w:szCs w:val="24"/>
        </w:rPr>
        <w:t>discussção</w:t>
      </w:r>
      <w:proofErr w:type="spellEnd"/>
      <w:r w:rsidRPr="006D7A8C">
        <w:rPr>
          <w:rFonts w:ascii="Times New Roman" w:hAnsi="Times New Roman" w:cs="Times New Roman"/>
          <w:sz w:val="24"/>
          <w:szCs w:val="24"/>
        </w:rPr>
        <w:t xml:space="preserve">, IE/UFRJ, 1998. Disponível em: </w:t>
      </w:r>
      <w:hyperlink r:id="rId25" w:history="1">
        <w:r w:rsidRPr="006D7A8C">
          <w:rPr>
            <w:rStyle w:val="Hyperlink"/>
            <w:rFonts w:ascii="Times New Roman" w:hAnsi="Times New Roman" w:cs="Times New Roman"/>
            <w:sz w:val="24"/>
            <w:szCs w:val="24"/>
          </w:rPr>
          <w:t>http://www.ie.ufrj.br/grc/pdfs/barreiras_a_entrada_e_defesa_da_concorrencia.pdf</w:t>
        </w:r>
      </w:hyperlink>
      <w:r w:rsidRPr="006D7A8C">
        <w:rPr>
          <w:rFonts w:ascii="Times New Roman" w:hAnsi="Times New Roman" w:cs="Times New Roman"/>
          <w:sz w:val="24"/>
          <w:szCs w:val="24"/>
        </w:rPr>
        <w:t xml:space="preserve">. </w:t>
      </w:r>
    </w:p>
    <w:p w14:paraId="71512A3F" w14:textId="63B57143" w:rsidR="001615DE" w:rsidRPr="006D7A8C" w:rsidRDefault="001615DE"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rPr>
        <w:t xml:space="preserve">FARINA, E. M. M. Q. </w:t>
      </w:r>
      <w:r w:rsidRPr="006D7A8C">
        <w:rPr>
          <w:rFonts w:ascii="Times New Roman" w:hAnsi="Times New Roman" w:cs="Times New Roman"/>
          <w:b/>
          <w:sz w:val="24"/>
          <w:szCs w:val="24"/>
        </w:rPr>
        <w:t>Competitividade: mercado, estado e organizações.</w:t>
      </w:r>
      <w:r w:rsidRPr="006D7A8C">
        <w:rPr>
          <w:rFonts w:ascii="Times New Roman" w:hAnsi="Times New Roman" w:cs="Times New Roman"/>
          <w:sz w:val="24"/>
          <w:szCs w:val="24"/>
        </w:rPr>
        <w:t xml:space="preserve"> São Paulo: Singular, 1997. </w:t>
      </w:r>
    </w:p>
    <w:p w14:paraId="42C6FC6B" w14:textId="669D00BA" w:rsidR="00917700" w:rsidRPr="006D7A8C" w:rsidRDefault="00917700"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rPr>
        <w:t>FERRAZ, J.C.; COUTINHO, L. (</w:t>
      </w:r>
      <w:proofErr w:type="spellStart"/>
      <w:r w:rsidRPr="006D7A8C">
        <w:rPr>
          <w:rFonts w:ascii="Times New Roman" w:hAnsi="Times New Roman" w:cs="Times New Roman"/>
          <w:sz w:val="24"/>
          <w:szCs w:val="24"/>
        </w:rPr>
        <w:t>Orgs</w:t>
      </w:r>
      <w:proofErr w:type="spellEnd"/>
      <w:r w:rsidRPr="006D7A8C">
        <w:rPr>
          <w:rFonts w:ascii="Times New Roman" w:hAnsi="Times New Roman" w:cs="Times New Roman"/>
          <w:sz w:val="24"/>
          <w:szCs w:val="24"/>
        </w:rPr>
        <w:t xml:space="preserve">.). </w:t>
      </w:r>
      <w:r w:rsidRPr="006D7A8C">
        <w:rPr>
          <w:rFonts w:ascii="Times New Roman" w:hAnsi="Times New Roman" w:cs="Times New Roman"/>
          <w:b/>
          <w:sz w:val="24"/>
          <w:szCs w:val="24"/>
        </w:rPr>
        <w:t>Estudo da Competitividade Industrial Brasileira</w:t>
      </w:r>
      <w:r w:rsidRPr="006D7A8C">
        <w:rPr>
          <w:rFonts w:ascii="Times New Roman" w:hAnsi="Times New Roman" w:cs="Times New Roman"/>
          <w:sz w:val="24"/>
          <w:szCs w:val="24"/>
        </w:rPr>
        <w:t>. Campinas: Papirus e Unicamp, 1994.</w:t>
      </w:r>
    </w:p>
    <w:p w14:paraId="22C0D22C" w14:textId="48AB5E65"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 xml:space="preserve">Index </w:t>
      </w:r>
      <w:proofErr w:type="spellStart"/>
      <w:r w:rsidRPr="006D7A8C">
        <w:rPr>
          <w:rFonts w:ascii="Times New Roman" w:hAnsi="Times New Roman" w:cs="Times New Roman"/>
          <w:b/>
          <w:sz w:val="24"/>
          <w:szCs w:val="24"/>
        </w:rPr>
        <w:t>Mundi</w:t>
      </w:r>
      <w:proofErr w:type="spellEnd"/>
      <w:r w:rsidRPr="006D7A8C">
        <w:rPr>
          <w:rFonts w:ascii="Times New Roman" w:hAnsi="Times New Roman" w:cs="Times New Roman"/>
          <w:sz w:val="24"/>
          <w:szCs w:val="24"/>
        </w:rPr>
        <w:t xml:space="preserve">. Disponível em: </w:t>
      </w:r>
      <w:hyperlink r:id="rId26" w:history="1">
        <w:r w:rsidRPr="006D7A8C">
          <w:rPr>
            <w:rStyle w:val="Hyperlink"/>
            <w:rFonts w:ascii="Times New Roman" w:hAnsi="Times New Roman" w:cs="Times New Roman"/>
            <w:sz w:val="24"/>
            <w:szCs w:val="24"/>
          </w:rPr>
          <w:t>www.indexmundi.com</w:t>
        </w:r>
      </w:hyperlink>
      <w:r w:rsidRPr="006D7A8C">
        <w:rPr>
          <w:rFonts w:ascii="Times New Roman" w:hAnsi="Times New Roman" w:cs="Times New Roman"/>
          <w:sz w:val="24"/>
          <w:szCs w:val="24"/>
        </w:rPr>
        <w:t xml:space="preserve">. </w:t>
      </w:r>
    </w:p>
    <w:p w14:paraId="5A4B9DA0" w14:textId="6AFCF862" w:rsidR="002B6741" w:rsidRPr="006D7A8C" w:rsidRDefault="0008586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PINTEC - Pesquisa de Inovação</w:t>
      </w:r>
      <w:r w:rsidRPr="006D7A8C">
        <w:rPr>
          <w:rFonts w:ascii="Times New Roman" w:hAnsi="Times New Roman" w:cs="Times New Roman"/>
          <w:sz w:val="24"/>
          <w:szCs w:val="24"/>
        </w:rPr>
        <w:t>.</w:t>
      </w:r>
      <w:r w:rsidRPr="006D7A8C">
        <w:rPr>
          <w:rFonts w:ascii="Times New Roman" w:hAnsi="Times New Roman" w:cs="Times New Roman"/>
          <w:b/>
          <w:sz w:val="24"/>
          <w:szCs w:val="24"/>
        </w:rPr>
        <w:t xml:space="preserve"> </w:t>
      </w:r>
      <w:r w:rsidR="002B6741" w:rsidRPr="006D7A8C">
        <w:rPr>
          <w:rFonts w:ascii="Times New Roman" w:hAnsi="Times New Roman" w:cs="Times New Roman"/>
          <w:sz w:val="24"/>
          <w:szCs w:val="24"/>
        </w:rPr>
        <w:t xml:space="preserve">IBGE – Instituto Brasileiro de Geografia e </w:t>
      </w:r>
      <w:proofErr w:type="gramStart"/>
      <w:r w:rsidR="002B6741" w:rsidRPr="006D7A8C">
        <w:rPr>
          <w:rFonts w:ascii="Times New Roman" w:hAnsi="Times New Roman" w:cs="Times New Roman"/>
          <w:sz w:val="24"/>
          <w:szCs w:val="24"/>
        </w:rPr>
        <w:t>Estatística..</w:t>
      </w:r>
      <w:proofErr w:type="gramEnd"/>
      <w:r w:rsidR="002B6741" w:rsidRPr="006D7A8C">
        <w:rPr>
          <w:rFonts w:ascii="Times New Roman" w:hAnsi="Times New Roman" w:cs="Times New Roman"/>
          <w:sz w:val="24"/>
          <w:szCs w:val="24"/>
        </w:rPr>
        <w:t xml:space="preserve"> 2014. Disponível em: </w:t>
      </w:r>
      <w:hyperlink r:id="rId27" w:history="1">
        <w:r w:rsidR="002B6741" w:rsidRPr="006D7A8C">
          <w:rPr>
            <w:rStyle w:val="Hyperlink"/>
            <w:rFonts w:ascii="Times New Roman" w:hAnsi="Times New Roman" w:cs="Times New Roman"/>
            <w:sz w:val="24"/>
            <w:szCs w:val="24"/>
          </w:rPr>
          <w:t>www.pintec.ibge.gov.br</w:t>
        </w:r>
      </w:hyperlink>
      <w:r w:rsidR="002B6741" w:rsidRPr="006D7A8C">
        <w:rPr>
          <w:rFonts w:ascii="Times New Roman" w:hAnsi="Times New Roman" w:cs="Times New Roman"/>
          <w:sz w:val="24"/>
          <w:szCs w:val="24"/>
        </w:rPr>
        <w:t xml:space="preserve">.   </w:t>
      </w:r>
    </w:p>
    <w:p w14:paraId="21EAF372" w14:textId="36727331"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Instituto Brasileiro de Mineração (IBRAM).</w:t>
      </w:r>
      <w:r w:rsidRPr="006D7A8C">
        <w:rPr>
          <w:rFonts w:ascii="Times New Roman" w:hAnsi="Times New Roman" w:cs="Times New Roman"/>
          <w:sz w:val="24"/>
          <w:szCs w:val="24"/>
        </w:rPr>
        <w:t xml:space="preserve"> Disponível em: </w:t>
      </w:r>
      <w:hyperlink r:id="rId28" w:history="1">
        <w:r w:rsidRPr="006D7A8C">
          <w:rPr>
            <w:rStyle w:val="Hyperlink"/>
            <w:rFonts w:ascii="Times New Roman" w:hAnsi="Times New Roman" w:cs="Times New Roman"/>
            <w:sz w:val="24"/>
            <w:szCs w:val="24"/>
          </w:rPr>
          <w:t>http://www.ibram.org.br</w:t>
        </w:r>
      </w:hyperlink>
      <w:r w:rsidRPr="006D7A8C">
        <w:rPr>
          <w:rFonts w:ascii="Times New Roman" w:hAnsi="Times New Roman" w:cs="Times New Roman"/>
          <w:sz w:val="24"/>
          <w:szCs w:val="24"/>
        </w:rPr>
        <w:t xml:space="preserve">. </w:t>
      </w:r>
    </w:p>
    <w:p w14:paraId="462B7D02" w14:textId="5AFAC779"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Ministério do Desenvolvimento Indústria e Comércio Exterior (MDIC)</w:t>
      </w:r>
      <w:r w:rsidRPr="006D7A8C">
        <w:rPr>
          <w:rFonts w:ascii="Times New Roman" w:hAnsi="Times New Roman" w:cs="Times New Roman"/>
          <w:sz w:val="24"/>
          <w:szCs w:val="24"/>
        </w:rPr>
        <w:t xml:space="preserve">. Disponível em: </w:t>
      </w:r>
      <w:hyperlink r:id="rId29" w:history="1">
        <w:r w:rsidRPr="006D7A8C">
          <w:rPr>
            <w:rStyle w:val="Hyperlink"/>
            <w:rFonts w:ascii="Times New Roman" w:hAnsi="Times New Roman" w:cs="Times New Roman"/>
            <w:sz w:val="24"/>
            <w:szCs w:val="24"/>
          </w:rPr>
          <w:t>www.mdic.gov.br</w:t>
        </w:r>
      </w:hyperlink>
      <w:r w:rsidRPr="006D7A8C">
        <w:rPr>
          <w:rFonts w:ascii="Times New Roman" w:hAnsi="Times New Roman" w:cs="Times New Roman"/>
          <w:sz w:val="24"/>
          <w:szCs w:val="24"/>
        </w:rPr>
        <w:t xml:space="preserve">.  </w:t>
      </w:r>
    </w:p>
    <w:p w14:paraId="0D678142" w14:textId="5F513AA7"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Ministério do Planejamento, Orçamento e Gestão</w:t>
      </w:r>
      <w:r w:rsidRPr="006D7A8C">
        <w:rPr>
          <w:rFonts w:ascii="Times New Roman" w:hAnsi="Times New Roman" w:cs="Times New Roman"/>
          <w:sz w:val="24"/>
          <w:szCs w:val="24"/>
        </w:rPr>
        <w:t xml:space="preserve">. Pesquisa de Inovação PINTEC – 2011. Instruções para o preenchimento do questionário. Rio de Janeiro: IBGE, 2012. </w:t>
      </w:r>
    </w:p>
    <w:p w14:paraId="562D15FB" w14:textId="416BE823" w:rsidR="00917700" w:rsidRPr="006D7A8C" w:rsidRDefault="00917700"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rPr>
        <w:t xml:space="preserve">POSSAS, M. L. Estrutura de Mercado em Oligopólio. São Paulo: </w:t>
      </w:r>
      <w:proofErr w:type="spellStart"/>
      <w:r w:rsidRPr="006D7A8C">
        <w:rPr>
          <w:rFonts w:ascii="Times New Roman" w:hAnsi="Times New Roman" w:cs="Times New Roman"/>
          <w:sz w:val="24"/>
          <w:szCs w:val="24"/>
        </w:rPr>
        <w:t>Hucitec</w:t>
      </w:r>
      <w:proofErr w:type="spellEnd"/>
      <w:r w:rsidRPr="006D7A8C">
        <w:rPr>
          <w:rFonts w:ascii="Times New Roman" w:hAnsi="Times New Roman" w:cs="Times New Roman"/>
          <w:sz w:val="24"/>
          <w:szCs w:val="24"/>
        </w:rPr>
        <w:t>, 1985.</w:t>
      </w:r>
    </w:p>
    <w:p w14:paraId="0A33FED0" w14:textId="54B73919" w:rsidR="001615DE" w:rsidRPr="006D7A8C" w:rsidRDefault="001615DE" w:rsidP="000168DC">
      <w:pPr>
        <w:spacing w:line="240" w:lineRule="auto"/>
        <w:rPr>
          <w:rFonts w:ascii="Times New Roman" w:hAnsi="Times New Roman" w:cs="Times New Roman"/>
          <w:sz w:val="24"/>
          <w:szCs w:val="24"/>
        </w:rPr>
      </w:pPr>
      <w:r w:rsidRPr="006D7A8C">
        <w:rPr>
          <w:rFonts w:ascii="Times New Roman" w:hAnsi="Times New Roman" w:cs="Times New Roman"/>
          <w:sz w:val="24"/>
          <w:szCs w:val="24"/>
          <w:lang w:val="en-US"/>
        </w:rPr>
        <w:t>SCHERER, F.; ROSS, D.</w:t>
      </w:r>
      <w:r w:rsidRPr="006D7A8C">
        <w:rPr>
          <w:rFonts w:ascii="Times New Roman" w:hAnsi="Times New Roman" w:cs="Times New Roman"/>
          <w:b/>
          <w:sz w:val="24"/>
          <w:szCs w:val="24"/>
          <w:lang w:val="en-US"/>
        </w:rPr>
        <w:t xml:space="preserve"> Industrial Market Structure and Economic Performance</w:t>
      </w:r>
      <w:r w:rsidRPr="006D7A8C">
        <w:rPr>
          <w:rFonts w:ascii="Times New Roman" w:hAnsi="Times New Roman" w:cs="Times New Roman"/>
          <w:sz w:val="24"/>
          <w:szCs w:val="24"/>
          <w:lang w:val="en-US"/>
        </w:rPr>
        <w:t xml:space="preserve">. </w:t>
      </w:r>
      <w:r w:rsidRPr="006D7A8C">
        <w:rPr>
          <w:rFonts w:ascii="Times New Roman" w:hAnsi="Times New Roman" w:cs="Times New Roman"/>
          <w:sz w:val="24"/>
          <w:szCs w:val="24"/>
        </w:rPr>
        <w:t xml:space="preserve">Boston: H. </w:t>
      </w:r>
      <w:proofErr w:type="spellStart"/>
      <w:r w:rsidRPr="006D7A8C">
        <w:rPr>
          <w:rFonts w:ascii="Times New Roman" w:hAnsi="Times New Roman" w:cs="Times New Roman"/>
          <w:sz w:val="24"/>
          <w:szCs w:val="24"/>
        </w:rPr>
        <w:t>Mifflin</w:t>
      </w:r>
      <w:proofErr w:type="spellEnd"/>
      <w:r w:rsidRPr="006D7A8C">
        <w:rPr>
          <w:rFonts w:ascii="Times New Roman" w:hAnsi="Times New Roman" w:cs="Times New Roman"/>
          <w:sz w:val="24"/>
          <w:szCs w:val="24"/>
        </w:rPr>
        <w:t>, 1990.</w:t>
      </w:r>
    </w:p>
    <w:p w14:paraId="1D432BAD" w14:textId="07C31EE6" w:rsidR="002B6741" w:rsidRPr="006D7A8C" w:rsidRDefault="002B6741" w:rsidP="000168DC">
      <w:pPr>
        <w:spacing w:line="240" w:lineRule="auto"/>
        <w:rPr>
          <w:rFonts w:ascii="Times New Roman" w:hAnsi="Times New Roman" w:cs="Times New Roman"/>
          <w:sz w:val="24"/>
          <w:szCs w:val="24"/>
        </w:rPr>
      </w:pPr>
      <w:r w:rsidRPr="006D7A8C">
        <w:rPr>
          <w:rFonts w:ascii="Times New Roman" w:hAnsi="Times New Roman" w:cs="Times New Roman"/>
          <w:b/>
          <w:sz w:val="24"/>
          <w:szCs w:val="24"/>
        </w:rPr>
        <w:t xml:space="preserve">USGS Mineral </w:t>
      </w:r>
      <w:proofErr w:type="spellStart"/>
      <w:r w:rsidRPr="006D7A8C">
        <w:rPr>
          <w:rFonts w:ascii="Times New Roman" w:hAnsi="Times New Roman" w:cs="Times New Roman"/>
          <w:b/>
          <w:sz w:val="24"/>
          <w:szCs w:val="24"/>
        </w:rPr>
        <w:t>Resources</w:t>
      </w:r>
      <w:proofErr w:type="spellEnd"/>
      <w:r w:rsidRPr="006D7A8C">
        <w:rPr>
          <w:rFonts w:ascii="Times New Roman" w:hAnsi="Times New Roman" w:cs="Times New Roman"/>
          <w:b/>
          <w:sz w:val="24"/>
          <w:szCs w:val="24"/>
        </w:rPr>
        <w:t xml:space="preserve"> </w:t>
      </w:r>
      <w:proofErr w:type="spellStart"/>
      <w:r w:rsidRPr="006D7A8C">
        <w:rPr>
          <w:rFonts w:ascii="Times New Roman" w:hAnsi="Times New Roman" w:cs="Times New Roman"/>
          <w:b/>
          <w:sz w:val="24"/>
          <w:szCs w:val="24"/>
        </w:rPr>
        <w:t>Program</w:t>
      </w:r>
      <w:proofErr w:type="spellEnd"/>
      <w:r w:rsidRPr="006D7A8C">
        <w:rPr>
          <w:rFonts w:ascii="Times New Roman" w:hAnsi="Times New Roman" w:cs="Times New Roman"/>
          <w:sz w:val="24"/>
          <w:szCs w:val="24"/>
        </w:rPr>
        <w:t xml:space="preserve">. Disponível em: </w:t>
      </w:r>
      <w:hyperlink r:id="rId30" w:history="1">
        <w:r w:rsidRPr="006D7A8C">
          <w:rPr>
            <w:rStyle w:val="Hyperlink"/>
            <w:rFonts w:ascii="Times New Roman" w:hAnsi="Times New Roman" w:cs="Times New Roman"/>
            <w:sz w:val="24"/>
            <w:szCs w:val="24"/>
          </w:rPr>
          <w:t>https://minerals.usgs.gov</w:t>
        </w:r>
      </w:hyperlink>
      <w:r w:rsidRPr="006D7A8C">
        <w:rPr>
          <w:rFonts w:ascii="Times New Roman" w:hAnsi="Times New Roman" w:cs="Times New Roman"/>
          <w:sz w:val="24"/>
          <w:szCs w:val="24"/>
        </w:rPr>
        <w:t xml:space="preserve">. </w:t>
      </w:r>
    </w:p>
    <w:sectPr w:rsidR="002B6741" w:rsidRPr="006D7A8C" w:rsidSect="000168DC">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A3DBC" w14:textId="77777777" w:rsidR="0080284D" w:rsidRDefault="0080284D" w:rsidP="00106537">
      <w:pPr>
        <w:spacing w:after="0" w:line="240" w:lineRule="auto"/>
      </w:pPr>
      <w:r>
        <w:separator/>
      </w:r>
    </w:p>
  </w:endnote>
  <w:endnote w:type="continuationSeparator" w:id="0">
    <w:p w14:paraId="292A9369" w14:textId="77777777" w:rsidR="0080284D" w:rsidRDefault="0080284D" w:rsidP="0010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933E4" w14:textId="77777777" w:rsidR="0080284D" w:rsidRDefault="0080284D" w:rsidP="00106537">
      <w:pPr>
        <w:spacing w:after="0" w:line="240" w:lineRule="auto"/>
      </w:pPr>
      <w:r>
        <w:separator/>
      </w:r>
    </w:p>
  </w:footnote>
  <w:footnote w:type="continuationSeparator" w:id="0">
    <w:p w14:paraId="276010ED" w14:textId="77777777" w:rsidR="0080284D" w:rsidRDefault="0080284D" w:rsidP="00106537">
      <w:pPr>
        <w:spacing w:after="0" w:line="240" w:lineRule="auto"/>
      </w:pPr>
      <w:r>
        <w:continuationSeparator/>
      </w:r>
    </w:p>
  </w:footnote>
  <w:footnote w:id="1">
    <w:p w14:paraId="65B4D839" w14:textId="356C1F07" w:rsidR="00F96F09" w:rsidRDefault="00F96F09">
      <w:pPr>
        <w:pStyle w:val="Textodenotaderodap"/>
      </w:pPr>
      <w:r>
        <w:rPr>
          <w:rStyle w:val="Refdenotaderodap"/>
        </w:rPr>
        <w:footnoteRef/>
      </w:r>
      <w:r>
        <w:t xml:space="preserve"> </w:t>
      </w:r>
      <w:r w:rsidRPr="00990FFE">
        <w:t>Anuário Mineral Brasileiro – principais substâncias metálicas (2016)</w:t>
      </w:r>
      <w:r>
        <w:t>.</w:t>
      </w:r>
    </w:p>
  </w:footnote>
  <w:footnote w:id="2">
    <w:p w14:paraId="1ACE6055" w14:textId="13379118" w:rsidR="00F96F09" w:rsidRDefault="00F96F09">
      <w:pPr>
        <w:pStyle w:val="Textodenotaderodap"/>
      </w:pPr>
      <w:r>
        <w:rPr>
          <w:rStyle w:val="Refdenotaderodap"/>
        </w:rPr>
        <w:footnoteRef/>
      </w:r>
      <w:r>
        <w:t xml:space="preserve"> </w:t>
      </w:r>
      <w:r w:rsidRPr="00990FFE">
        <w:t>Anuário Mineral Brasileiro – principais substâncias metálicas (2016)</w:t>
      </w:r>
      <w:r>
        <w:t>.</w:t>
      </w:r>
    </w:p>
  </w:footnote>
  <w:footnote w:id="3">
    <w:p w14:paraId="6E34638A" w14:textId="3ACED10F" w:rsidR="00F96F09" w:rsidRDefault="00F96F09">
      <w:pPr>
        <w:pStyle w:val="Textodenotaderodap"/>
      </w:pPr>
      <w:r>
        <w:rPr>
          <w:rStyle w:val="Refdenotaderodap"/>
        </w:rPr>
        <w:footnoteRef/>
      </w:r>
      <w:r>
        <w:t xml:space="preserve"> </w:t>
      </w:r>
      <w:r w:rsidRPr="0077508E">
        <w:t>O Consumo Aparente é calculado somando os valores de produção com os das importações, deduzidas as exportações.</w:t>
      </w:r>
    </w:p>
  </w:footnote>
  <w:footnote w:id="4">
    <w:p w14:paraId="1AB128B1" w14:textId="4076C3F2" w:rsidR="00F96F09" w:rsidRDefault="00F96F09" w:rsidP="00137942">
      <w:pPr>
        <w:pStyle w:val="Textodenotaderodap"/>
        <w:jc w:val="both"/>
      </w:pPr>
      <w:r>
        <w:rPr>
          <w:rStyle w:val="Refdenotaderodap"/>
        </w:rPr>
        <w:footnoteRef/>
      </w:r>
      <w:r>
        <w:t xml:space="preserve"> </w:t>
      </w:r>
      <w:r w:rsidRPr="00137942">
        <w:t>O DNPM considera uma lavra de grande porte quando a produção bruta (ROM) anual é maior que 1.000.000 toneladas; Média de 100.000 até 1.000.000 toneladas; e, Pequena: até 100.000 toneladas.</w:t>
      </w:r>
    </w:p>
  </w:footnote>
  <w:footnote w:id="5">
    <w:p w14:paraId="53F50E12" w14:textId="17C114FD" w:rsidR="00F96F09" w:rsidRDefault="00F96F09">
      <w:pPr>
        <w:pStyle w:val="Textodenotaderodap"/>
      </w:pPr>
      <w:r>
        <w:rPr>
          <w:rStyle w:val="Refdenotaderodap"/>
        </w:rPr>
        <w:footnoteRef/>
      </w:r>
      <w:r>
        <w:t xml:space="preserve"> Segundo o DNPM, a usina é considerada de G</w:t>
      </w:r>
      <w:r w:rsidRPr="00137942">
        <w:t>rande</w:t>
      </w:r>
      <w:r>
        <w:t xml:space="preserve"> porte são aquelas com uma </w:t>
      </w:r>
      <w:r w:rsidRPr="00137942">
        <w:t>quantidade anual de produto beneficiado maior que 1.000.000 t</w:t>
      </w:r>
      <w:r>
        <w:t>oneladas</w:t>
      </w:r>
      <w:r w:rsidRPr="00137942">
        <w:t>; Média</w:t>
      </w:r>
      <w:r>
        <w:t xml:space="preserve"> entre</w:t>
      </w:r>
      <w:r w:rsidRPr="00137942">
        <w:t xml:space="preserve"> 100.000 até 1.000.000 t</w:t>
      </w:r>
      <w:r>
        <w:t>oneladas; e,</w:t>
      </w:r>
      <w:r w:rsidRPr="00137942">
        <w:t xml:space="preserve"> Pequena: até 100.000 t</w:t>
      </w:r>
      <w:r>
        <w:t>oneladas.</w:t>
      </w:r>
    </w:p>
  </w:footnote>
  <w:footnote w:id="6">
    <w:p w14:paraId="193147D2" w14:textId="383AD718" w:rsidR="00F96F09" w:rsidRDefault="00F96F09">
      <w:pPr>
        <w:pStyle w:val="Textodenotaderodap"/>
      </w:pPr>
      <w:r>
        <w:rPr>
          <w:rStyle w:val="Refdenotaderodap"/>
        </w:rPr>
        <w:footnoteRef/>
      </w:r>
      <w:r>
        <w:t xml:space="preserve"> </w:t>
      </w:r>
      <w:r w:rsidRPr="00B96B14">
        <w:t xml:space="preserve">O DNPM é uma autarquia federal vinculada ao Ministério de Minas e Energia, que foi criada em 1994, a quem cabe: “[...] promover o planejamento e o fomento da exploração mineral e do aproveitamento dos recursos minerais e superintender as pesquisas geológicas, minerais e de tecnologia mineral, bem como assegurar, controlar e fiscalizar o exercício das atividades de mineração em todo o território nacional, na forma do que dispõem o Código de Mineração, o Código de Águas Minerais, os respectivos regulamentos e a legislação que os complementa.  </w:t>
      </w:r>
    </w:p>
  </w:footnote>
  <w:footnote w:id="7">
    <w:p w14:paraId="00826ADC" w14:textId="20E17BE2" w:rsidR="00F96F09" w:rsidRDefault="00F96F09">
      <w:pPr>
        <w:pStyle w:val="Textodenotaderodap"/>
      </w:pPr>
      <w:r>
        <w:rPr>
          <w:rStyle w:val="Refdenotaderodap"/>
        </w:rPr>
        <w:footnoteRef/>
      </w:r>
      <w:r>
        <w:t xml:space="preserve"> Ver </w:t>
      </w:r>
      <w:r w:rsidRPr="00DA233C">
        <w:t>portaria do Ministro das Minas e Energia (Portaria de Lavra - Artigo 43 do Código de Mineração).</w:t>
      </w:r>
    </w:p>
  </w:footnote>
  <w:footnote w:id="8">
    <w:p w14:paraId="5FB428FE" w14:textId="77777777" w:rsidR="00F96F09" w:rsidRDefault="00F96F09" w:rsidP="00346442">
      <w:pPr>
        <w:pStyle w:val="Textodenotaderodap"/>
      </w:pPr>
      <w:r>
        <w:rPr>
          <w:rStyle w:val="Refdenotaderodap"/>
        </w:rPr>
        <w:footnoteRef/>
      </w:r>
      <w:r>
        <w:t xml:space="preserve"> A autorização de pesquisa é um regime de aproveitamento mineral em que são executados os trabalhos voltados à definição da jazida, sua avaliação e a determinação da exequibilidade de seu aproveitamento econômico. Neste regime o requerente não precisa ser proprietário do solo, mas ter a sua autorização para adentrar na propriedade e cumprir com o plano de pesquisa estabelecido no requerimento. Para áreas situadas na chamada “faixa de fronteira” (150 km ao longo da mesma), as pessoas físicas e jurídicas necessitarão do assentimento do CDN. A cessão ou transferência de direitos, parcial ou total, é admitida, apenas, após a outorga do Alvará de Pesquisa. Para maiores detalhes ver: </w:t>
      </w:r>
      <w:hyperlink r:id="rId1" w:history="1">
        <w:r w:rsidRPr="00F11BD3">
          <w:rPr>
            <w:rStyle w:val="Hyperlink"/>
          </w:rPr>
          <w:t>http://outorga.dnpm.gov.br/SitePages/Regimes%20Autorizacao%20de%20pesquisa.aspx</w:t>
        </w:r>
      </w:hyperlink>
      <w:r>
        <w:t xml:space="preserve">. </w:t>
      </w:r>
    </w:p>
  </w:footnote>
  <w:footnote w:id="9">
    <w:p w14:paraId="1E497EC1" w14:textId="44962B00" w:rsidR="00F96F09" w:rsidRDefault="00F96F09">
      <w:pPr>
        <w:pStyle w:val="Textodenotaderodap"/>
      </w:pPr>
      <w:r>
        <w:rPr>
          <w:rStyle w:val="Refdenotaderodap"/>
        </w:rPr>
        <w:footnoteRef/>
      </w:r>
      <w:r>
        <w:t xml:space="preserve"> Para maiores detalhes ver: </w:t>
      </w:r>
      <w:hyperlink r:id="rId2" w:anchor="L1" w:history="1">
        <w:r w:rsidRPr="00F11BD3">
          <w:rPr>
            <w:rStyle w:val="Hyperlink"/>
          </w:rPr>
          <w:t>http://outorga.dnpm.gov.br/SitePages/Regimes%20Licenciamento.aspx#L1</w:t>
        </w:r>
      </w:hyperlink>
      <w:r>
        <w:t xml:space="preserve">. </w:t>
      </w:r>
    </w:p>
  </w:footnote>
  <w:footnote w:id="10">
    <w:p w14:paraId="3202F7F2" w14:textId="4E658218" w:rsidR="00F96F09" w:rsidRDefault="00F96F09" w:rsidP="00035795">
      <w:pPr>
        <w:pStyle w:val="Textodenotaderodap"/>
      </w:pPr>
      <w:r>
        <w:rPr>
          <w:rStyle w:val="Refdenotaderodap"/>
        </w:rPr>
        <w:footnoteRef/>
      </w:r>
      <w:r>
        <w:t xml:space="preserve"> P</w:t>
      </w:r>
      <w:r w:rsidRPr="00035795">
        <w:t>or sua natureza, sobretudo seu pequeno volume e a distribuição irregular do bem mineral, não justificam, muitas vezes, investimento em trabalhos de pesquisa, tornando-se, assim, a lavra garimpeira a mais indicada.</w:t>
      </w:r>
      <w:r>
        <w:t xml:space="preserve"> Para maiores detalhes ver: </w:t>
      </w:r>
      <w:hyperlink r:id="rId3" w:anchor="G1" w:history="1">
        <w:r w:rsidRPr="00F11BD3">
          <w:rPr>
            <w:rStyle w:val="Hyperlink"/>
          </w:rPr>
          <w:t>http://outorga.dnpm.gov.br/SitePages/Regimes%20PLG.aspx#G1</w:t>
        </w:r>
      </w:hyperlink>
      <w:r>
        <w:t xml:space="preserve">. </w:t>
      </w:r>
    </w:p>
  </w:footnote>
  <w:footnote w:id="11">
    <w:p w14:paraId="30978CF1" w14:textId="6A28492D" w:rsidR="00F96F09" w:rsidRDefault="00F96F09">
      <w:pPr>
        <w:pStyle w:val="Textodenotaderodap"/>
      </w:pPr>
      <w:r>
        <w:rPr>
          <w:rStyle w:val="Refdenotaderodap"/>
        </w:rPr>
        <w:footnoteRef/>
      </w:r>
      <w:r>
        <w:t xml:space="preserve"> Para maiores detalhes ver: </w:t>
      </w:r>
      <w:hyperlink r:id="rId4" w:history="1">
        <w:r w:rsidRPr="00F11BD3">
          <w:rPr>
            <w:rStyle w:val="Hyperlink"/>
          </w:rPr>
          <w:t>http://www.dnpm-pe.gov.br/Legisla/Remissivo.php?sele=Regime%20de%20Extra%E7%E3o</w:t>
        </w:r>
      </w:hyperlink>
      <w:r>
        <w:t xml:space="preserve">. </w:t>
      </w:r>
    </w:p>
  </w:footnote>
  <w:footnote w:id="12">
    <w:p w14:paraId="52E7103A" w14:textId="3D6F874F" w:rsidR="00F96F09" w:rsidRDefault="00F96F09">
      <w:pPr>
        <w:pStyle w:val="Textodenotaderodap"/>
      </w:pPr>
      <w:r>
        <w:rPr>
          <w:rStyle w:val="Refdenotaderodap"/>
        </w:rPr>
        <w:footnoteRef/>
      </w:r>
      <w:r>
        <w:t xml:space="preserve"> </w:t>
      </w:r>
      <w:r w:rsidRPr="00BB38B9">
        <w:t>Os procedimentos para obtenção de Licenças Ambientais nos empreendimentos de aproveitamento dos recursos minerais estão explicitados em duas resoluções do CONAMA – Conselho Nacional de Meio-Ambiente. A Resolução CONAMA nº 09/90 trata do licenciamento ambiental das áreas sob o Regime de Autorização e Concessão. Por sua vez, o Regime de Licenciamento é abordado na Resolução CONAMA nº 10/90.</w:t>
      </w:r>
    </w:p>
  </w:footnote>
  <w:footnote w:id="13">
    <w:p w14:paraId="2C11F411" w14:textId="4B2116D8" w:rsidR="00F96F09" w:rsidRPr="00F67AA7" w:rsidRDefault="00F96F09">
      <w:pPr>
        <w:pStyle w:val="Textodenotaderodap"/>
      </w:pPr>
      <w:r>
        <w:rPr>
          <w:rStyle w:val="Refdenotaderodap"/>
        </w:rPr>
        <w:footnoteRef/>
      </w:r>
      <w:r>
        <w:t xml:space="preserve"> Segundo reportagem da </w:t>
      </w:r>
      <w:proofErr w:type="spellStart"/>
      <w:r w:rsidRPr="00F67AA7">
        <w:rPr>
          <w:i/>
        </w:rPr>
        <w:t>Bloomberg</w:t>
      </w:r>
      <w:proofErr w:type="spellEnd"/>
      <w:r>
        <w:t xml:space="preserve"> em 2017 a Vale, maior </w:t>
      </w:r>
      <w:r w:rsidRPr="00F67AA7">
        <w:t>produtora mundial do ingrediente usado na fabricação do aço</w:t>
      </w:r>
      <w:r>
        <w:t>, estava</w:t>
      </w:r>
      <w:r w:rsidRPr="00F67AA7">
        <w:t xml:space="preserve"> preparada para liberar até 50 milhões de toneladas em capacidade disponível para equilibrar o mercado se os preços subirem demais</w:t>
      </w:r>
      <w:r>
        <w:t xml:space="preserve">. </w:t>
      </w:r>
      <w:r w:rsidRPr="00F67AA7">
        <w:t>Para maiores detalhes ver: https://economia.uol.com.br/noticias/bloomberg/2017/12/07/vale-ameaca-inundar-mercado-se-preco-de-minerio-de-ferro-subir.htm?cmpid=copiaecola</w:t>
      </w:r>
    </w:p>
  </w:footnote>
  <w:footnote w:id="14">
    <w:p w14:paraId="501F2251" w14:textId="18322A9B" w:rsidR="00F96F09" w:rsidRDefault="00F96F09">
      <w:pPr>
        <w:pStyle w:val="Textodenotaderodap"/>
      </w:pPr>
      <w:r>
        <w:rPr>
          <w:rStyle w:val="Refdenotaderodap"/>
        </w:rPr>
        <w:footnoteRef/>
      </w:r>
      <w:r>
        <w:t xml:space="preserve"> Ver</w:t>
      </w:r>
      <w:r w:rsidRPr="00F67AA7">
        <w:t xml:space="preserve"> Index </w:t>
      </w:r>
      <w:proofErr w:type="spellStart"/>
      <w:r w:rsidRPr="00F67AA7">
        <w:t>Mundi</w:t>
      </w:r>
      <w:proofErr w:type="spellEnd"/>
      <w:r>
        <w:t>. Disponível em:</w:t>
      </w:r>
      <w:r w:rsidRPr="000121C8">
        <w:t xml:space="preserve"> </w:t>
      </w:r>
      <w:hyperlink r:id="rId5" w:history="1">
        <w:r w:rsidRPr="00F0242F">
          <w:rPr>
            <w:rStyle w:val="Hyperlink"/>
          </w:rPr>
          <w:t>https://www.indexmundi.com/pt/pre%C3%A7os-de-mercado/?mercadoria=min%C3%A9rio-de-ferro</w:t>
        </w:r>
      </w:hyperlink>
      <w:r>
        <w:t xml:space="preserve">. </w:t>
      </w:r>
    </w:p>
  </w:footnote>
  <w:footnote w:id="15">
    <w:p w14:paraId="54CF550C" w14:textId="2030B014" w:rsidR="00F96F09" w:rsidRDefault="00F96F09">
      <w:pPr>
        <w:pStyle w:val="Textodenotaderodap"/>
      </w:pPr>
      <w:r>
        <w:rPr>
          <w:rStyle w:val="Refdenotaderodap"/>
        </w:rPr>
        <w:footnoteRef/>
      </w:r>
      <w:r>
        <w:t xml:space="preserve"> </w:t>
      </w:r>
      <w:r w:rsidRPr="008A2CFA">
        <w:t xml:space="preserve">[...] </w:t>
      </w:r>
      <w:r>
        <w:t xml:space="preserve">a </w:t>
      </w:r>
      <w:r w:rsidRPr="008A2CFA">
        <w:t>competitividade internacional das economias nacionais é construída a partir da competitividade das empresas que operam dentro e exportam a partir das suas fronteiras. [...] Consequentemente, parece adequada a noção de competitividade sistêmica como modo de expressar o desempenho empresarial depende e é também resultado de fatores situados fora do âmbito das empresas e da estrutura industrial da qual fazem parte, como ordenação macroeconômica, as infraestruturas, o sistema político institucional e as características socioeconômicas dos mercados nacionais. (COUTINHO; FERRAZ, 1994, p. 17)</w:t>
      </w:r>
    </w:p>
  </w:footnote>
  <w:footnote w:id="16">
    <w:p w14:paraId="70D0E51E" w14:textId="31F41A5E" w:rsidR="00F96F09" w:rsidRDefault="00F96F09">
      <w:pPr>
        <w:pStyle w:val="Textodenotaderodap"/>
      </w:pPr>
      <w:r>
        <w:rPr>
          <w:rStyle w:val="Refdenotaderodap"/>
        </w:rPr>
        <w:footnoteRef/>
      </w:r>
      <w:r>
        <w:t xml:space="preserve"> Cálculos e</w:t>
      </w:r>
      <w:r w:rsidRPr="008A2CFA">
        <w:t>laborado</w:t>
      </w:r>
      <w:r>
        <w:t>s</w:t>
      </w:r>
      <w:r w:rsidRPr="008A2CFA">
        <w:t xml:space="preserve"> a partir da PIA/IBGE.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3459"/>
    <w:multiLevelType w:val="multilevel"/>
    <w:tmpl w:val="14CC292C"/>
    <w:lvl w:ilvl="0">
      <w:start w:val="1"/>
      <w:numFmt w:val="decimal"/>
      <w:lvlText w:val="%1."/>
      <w:lvlJc w:val="left"/>
      <w:pPr>
        <w:ind w:left="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2A123747"/>
    <w:multiLevelType w:val="hybridMultilevel"/>
    <w:tmpl w:val="637C1FC0"/>
    <w:lvl w:ilvl="0" w:tplc="621AE8F0">
      <w:start w:val="1"/>
      <w:numFmt w:val="lowerRoman"/>
      <w:lvlText w:val="%1)"/>
      <w:lvlJc w:val="left"/>
      <w:pPr>
        <w:ind w:left="1080" w:hanging="720"/>
      </w:pPr>
      <w:rPr>
        <w:rFonts w:ascii="Times New Roman" w:hAnsi="Times New Roman" w:cs="Times New Roman"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C37DC0"/>
    <w:multiLevelType w:val="multilevel"/>
    <w:tmpl w:val="FD7E8C2E"/>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7BB118B3"/>
    <w:multiLevelType w:val="multilevel"/>
    <w:tmpl w:val="80441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54223E"/>
    <w:multiLevelType w:val="multilevel"/>
    <w:tmpl w:val="C04258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F08"/>
    <w:rsid w:val="000121C8"/>
    <w:rsid w:val="000136E0"/>
    <w:rsid w:val="000168DC"/>
    <w:rsid w:val="00035795"/>
    <w:rsid w:val="000361A2"/>
    <w:rsid w:val="000536E3"/>
    <w:rsid w:val="00071FBF"/>
    <w:rsid w:val="00085861"/>
    <w:rsid w:val="000920CF"/>
    <w:rsid w:val="000B09F9"/>
    <w:rsid w:val="000C61B5"/>
    <w:rsid w:val="000E5056"/>
    <w:rsid w:val="0010129F"/>
    <w:rsid w:val="00106537"/>
    <w:rsid w:val="00106E09"/>
    <w:rsid w:val="00121DD1"/>
    <w:rsid w:val="00123A21"/>
    <w:rsid w:val="001335E6"/>
    <w:rsid w:val="00137942"/>
    <w:rsid w:val="00141DDC"/>
    <w:rsid w:val="00154859"/>
    <w:rsid w:val="001615DE"/>
    <w:rsid w:val="0016335E"/>
    <w:rsid w:val="00175EFA"/>
    <w:rsid w:val="00177B34"/>
    <w:rsid w:val="00196103"/>
    <w:rsid w:val="001B27BD"/>
    <w:rsid w:val="001B284D"/>
    <w:rsid w:val="001C2EA5"/>
    <w:rsid w:val="001C6639"/>
    <w:rsid w:val="001D35E9"/>
    <w:rsid w:val="001E2293"/>
    <w:rsid w:val="00203873"/>
    <w:rsid w:val="00241E53"/>
    <w:rsid w:val="0024433C"/>
    <w:rsid w:val="002828F2"/>
    <w:rsid w:val="00284E87"/>
    <w:rsid w:val="002B51D7"/>
    <w:rsid w:val="002B5B8F"/>
    <w:rsid w:val="002B6741"/>
    <w:rsid w:val="002E053C"/>
    <w:rsid w:val="002E2C1E"/>
    <w:rsid w:val="002E7991"/>
    <w:rsid w:val="002F2C27"/>
    <w:rsid w:val="002F554B"/>
    <w:rsid w:val="00337ED0"/>
    <w:rsid w:val="00337F21"/>
    <w:rsid w:val="00346442"/>
    <w:rsid w:val="00363334"/>
    <w:rsid w:val="00380509"/>
    <w:rsid w:val="003836A2"/>
    <w:rsid w:val="00386A6F"/>
    <w:rsid w:val="003A085E"/>
    <w:rsid w:val="003A7295"/>
    <w:rsid w:val="003D2EE6"/>
    <w:rsid w:val="003E5393"/>
    <w:rsid w:val="003F15E2"/>
    <w:rsid w:val="003F5412"/>
    <w:rsid w:val="003F7056"/>
    <w:rsid w:val="003F7F6F"/>
    <w:rsid w:val="004121D8"/>
    <w:rsid w:val="00412288"/>
    <w:rsid w:val="00426B5A"/>
    <w:rsid w:val="00451432"/>
    <w:rsid w:val="00475593"/>
    <w:rsid w:val="004778B0"/>
    <w:rsid w:val="00492179"/>
    <w:rsid w:val="00493E28"/>
    <w:rsid w:val="00496D8B"/>
    <w:rsid w:val="00496F90"/>
    <w:rsid w:val="004A5374"/>
    <w:rsid w:val="004A6944"/>
    <w:rsid w:val="004C0B25"/>
    <w:rsid w:val="004C6F87"/>
    <w:rsid w:val="0050026C"/>
    <w:rsid w:val="00500CB7"/>
    <w:rsid w:val="00501BF2"/>
    <w:rsid w:val="0050351E"/>
    <w:rsid w:val="00514426"/>
    <w:rsid w:val="0052355E"/>
    <w:rsid w:val="00530B7D"/>
    <w:rsid w:val="00551C6A"/>
    <w:rsid w:val="0055320F"/>
    <w:rsid w:val="00563537"/>
    <w:rsid w:val="005872DB"/>
    <w:rsid w:val="00590F2E"/>
    <w:rsid w:val="00597014"/>
    <w:rsid w:val="005B1AE5"/>
    <w:rsid w:val="005B1B69"/>
    <w:rsid w:val="005C230C"/>
    <w:rsid w:val="005F6858"/>
    <w:rsid w:val="0060709B"/>
    <w:rsid w:val="00613C86"/>
    <w:rsid w:val="0064723A"/>
    <w:rsid w:val="0064739B"/>
    <w:rsid w:val="0065536A"/>
    <w:rsid w:val="00684155"/>
    <w:rsid w:val="00695D0F"/>
    <w:rsid w:val="00697FAB"/>
    <w:rsid w:val="006A517F"/>
    <w:rsid w:val="006B04FD"/>
    <w:rsid w:val="006C0731"/>
    <w:rsid w:val="006C532C"/>
    <w:rsid w:val="006C7958"/>
    <w:rsid w:val="006D0B04"/>
    <w:rsid w:val="006D7A8C"/>
    <w:rsid w:val="006E2193"/>
    <w:rsid w:val="006E3B98"/>
    <w:rsid w:val="00715B37"/>
    <w:rsid w:val="0072617B"/>
    <w:rsid w:val="007363EF"/>
    <w:rsid w:val="0075172B"/>
    <w:rsid w:val="007538E6"/>
    <w:rsid w:val="00771446"/>
    <w:rsid w:val="0077508E"/>
    <w:rsid w:val="00780E46"/>
    <w:rsid w:val="00783AC1"/>
    <w:rsid w:val="007A4424"/>
    <w:rsid w:val="007B12E6"/>
    <w:rsid w:val="007B28C8"/>
    <w:rsid w:val="007C79A4"/>
    <w:rsid w:val="007D405A"/>
    <w:rsid w:val="007F3DB7"/>
    <w:rsid w:val="008021F6"/>
    <w:rsid w:val="0080284D"/>
    <w:rsid w:val="0080716C"/>
    <w:rsid w:val="008112C8"/>
    <w:rsid w:val="0084379D"/>
    <w:rsid w:val="008528F1"/>
    <w:rsid w:val="008537D9"/>
    <w:rsid w:val="00854990"/>
    <w:rsid w:val="0086365A"/>
    <w:rsid w:val="00877B8C"/>
    <w:rsid w:val="00887102"/>
    <w:rsid w:val="00892C50"/>
    <w:rsid w:val="008A2CFA"/>
    <w:rsid w:val="008B10E8"/>
    <w:rsid w:val="008B636C"/>
    <w:rsid w:val="008F6504"/>
    <w:rsid w:val="009017D8"/>
    <w:rsid w:val="009061E7"/>
    <w:rsid w:val="009074D8"/>
    <w:rsid w:val="00911B6C"/>
    <w:rsid w:val="00917700"/>
    <w:rsid w:val="0092090F"/>
    <w:rsid w:val="00925B39"/>
    <w:rsid w:val="00952F3A"/>
    <w:rsid w:val="00953661"/>
    <w:rsid w:val="00955C95"/>
    <w:rsid w:val="00990FFE"/>
    <w:rsid w:val="00996437"/>
    <w:rsid w:val="00996587"/>
    <w:rsid w:val="009E4119"/>
    <w:rsid w:val="009F548A"/>
    <w:rsid w:val="00A05FCC"/>
    <w:rsid w:val="00A10D8A"/>
    <w:rsid w:val="00A16685"/>
    <w:rsid w:val="00A17D90"/>
    <w:rsid w:val="00A776BE"/>
    <w:rsid w:val="00AA37B1"/>
    <w:rsid w:val="00AB0519"/>
    <w:rsid w:val="00AB08E7"/>
    <w:rsid w:val="00AB12E9"/>
    <w:rsid w:val="00AC5598"/>
    <w:rsid w:val="00AE5E60"/>
    <w:rsid w:val="00AF0AB8"/>
    <w:rsid w:val="00B029EC"/>
    <w:rsid w:val="00B0354C"/>
    <w:rsid w:val="00B06AB0"/>
    <w:rsid w:val="00B32F08"/>
    <w:rsid w:val="00B33D77"/>
    <w:rsid w:val="00B42EE0"/>
    <w:rsid w:val="00B46FE0"/>
    <w:rsid w:val="00B55915"/>
    <w:rsid w:val="00B5638D"/>
    <w:rsid w:val="00B56714"/>
    <w:rsid w:val="00B57A19"/>
    <w:rsid w:val="00B73DEA"/>
    <w:rsid w:val="00B812DA"/>
    <w:rsid w:val="00B96B14"/>
    <w:rsid w:val="00BA33FF"/>
    <w:rsid w:val="00BB38B9"/>
    <w:rsid w:val="00BC15D0"/>
    <w:rsid w:val="00BC4411"/>
    <w:rsid w:val="00BE2B88"/>
    <w:rsid w:val="00BE5AC9"/>
    <w:rsid w:val="00BE7AA5"/>
    <w:rsid w:val="00BF2797"/>
    <w:rsid w:val="00C20A9F"/>
    <w:rsid w:val="00C20B6C"/>
    <w:rsid w:val="00C23D2C"/>
    <w:rsid w:val="00C30F21"/>
    <w:rsid w:val="00C329E3"/>
    <w:rsid w:val="00C351A4"/>
    <w:rsid w:val="00C54BE5"/>
    <w:rsid w:val="00C6288A"/>
    <w:rsid w:val="00C766AD"/>
    <w:rsid w:val="00CC11CC"/>
    <w:rsid w:val="00CD3001"/>
    <w:rsid w:val="00CD6E18"/>
    <w:rsid w:val="00CE23FC"/>
    <w:rsid w:val="00CE247D"/>
    <w:rsid w:val="00CF6933"/>
    <w:rsid w:val="00D029A0"/>
    <w:rsid w:val="00D21E33"/>
    <w:rsid w:val="00D349FA"/>
    <w:rsid w:val="00D65973"/>
    <w:rsid w:val="00D944CE"/>
    <w:rsid w:val="00DA233C"/>
    <w:rsid w:val="00DE30AA"/>
    <w:rsid w:val="00DF00CA"/>
    <w:rsid w:val="00DF2D86"/>
    <w:rsid w:val="00DF557E"/>
    <w:rsid w:val="00E063F0"/>
    <w:rsid w:val="00E110D6"/>
    <w:rsid w:val="00E25DF3"/>
    <w:rsid w:val="00E26899"/>
    <w:rsid w:val="00E37DF6"/>
    <w:rsid w:val="00E60BFF"/>
    <w:rsid w:val="00E64845"/>
    <w:rsid w:val="00E80C10"/>
    <w:rsid w:val="00E828F3"/>
    <w:rsid w:val="00E85C90"/>
    <w:rsid w:val="00EA0FE9"/>
    <w:rsid w:val="00EA4C8C"/>
    <w:rsid w:val="00EB36F3"/>
    <w:rsid w:val="00EC6580"/>
    <w:rsid w:val="00EC6FF0"/>
    <w:rsid w:val="00ED699F"/>
    <w:rsid w:val="00EE6059"/>
    <w:rsid w:val="00EF549C"/>
    <w:rsid w:val="00F4491E"/>
    <w:rsid w:val="00F45843"/>
    <w:rsid w:val="00F53848"/>
    <w:rsid w:val="00F55BDF"/>
    <w:rsid w:val="00F569EA"/>
    <w:rsid w:val="00F56C8D"/>
    <w:rsid w:val="00F67AA7"/>
    <w:rsid w:val="00F73BF0"/>
    <w:rsid w:val="00F879F6"/>
    <w:rsid w:val="00F93D39"/>
    <w:rsid w:val="00F96F09"/>
    <w:rsid w:val="00FB0FF3"/>
    <w:rsid w:val="00FB2466"/>
    <w:rsid w:val="00FC3142"/>
    <w:rsid w:val="00FE7B83"/>
    <w:rsid w:val="00FF0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581F"/>
  <w15:docId w15:val="{251A7577-03C9-4795-A98A-16960858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08"/>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501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501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B32F08"/>
    <w:rPr>
      <w:sz w:val="16"/>
      <w:szCs w:val="16"/>
    </w:rPr>
  </w:style>
  <w:style w:type="paragraph" w:styleId="Textodecomentrio">
    <w:name w:val="annotation text"/>
    <w:basedOn w:val="Normal"/>
    <w:link w:val="TextodecomentrioChar"/>
    <w:rsid w:val="00B32F08"/>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B32F08"/>
    <w:rPr>
      <w:rFonts w:ascii="Times New Roman" w:eastAsia="Times New Roman" w:hAnsi="Times New Roman" w:cs="Times New Roman"/>
      <w:sz w:val="20"/>
      <w:szCs w:val="20"/>
      <w:lang w:eastAsia="pt-BR"/>
    </w:rPr>
  </w:style>
  <w:style w:type="paragraph" w:customStyle="1" w:styleId="Aria">
    <w:name w:val="Aria``"/>
    <w:basedOn w:val="Normal"/>
    <w:rsid w:val="00B32F08"/>
    <w:pPr>
      <w:spacing w:after="0" w:line="240" w:lineRule="auto"/>
    </w:pPr>
    <w:rPr>
      <w:rFonts w:ascii="Times New Roman" w:eastAsia="Calibri" w:hAnsi="Times New Roman" w:cs="Times New Roman"/>
      <w:sz w:val="24"/>
      <w:szCs w:val="24"/>
    </w:rPr>
  </w:style>
  <w:style w:type="character" w:customStyle="1" w:styleId="apple-style-span">
    <w:name w:val="apple-style-span"/>
    <w:rsid w:val="00B32F08"/>
  </w:style>
  <w:style w:type="character" w:customStyle="1" w:styleId="apple-converted-space">
    <w:name w:val="apple-converted-space"/>
    <w:basedOn w:val="Fontepargpadro"/>
    <w:rsid w:val="00B32F08"/>
  </w:style>
  <w:style w:type="paragraph" w:styleId="Textodebalo">
    <w:name w:val="Balloon Text"/>
    <w:basedOn w:val="Normal"/>
    <w:link w:val="TextodebaloChar"/>
    <w:uiPriority w:val="99"/>
    <w:semiHidden/>
    <w:unhideWhenUsed/>
    <w:rsid w:val="00B32F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2F08"/>
    <w:rPr>
      <w:rFonts w:ascii="Segoe UI" w:eastAsiaTheme="minorEastAsia" w:hAnsi="Segoe UI" w:cs="Segoe UI"/>
      <w:sz w:val="18"/>
      <w:szCs w:val="18"/>
      <w:lang w:eastAsia="pt-BR"/>
    </w:rPr>
  </w:style>
  <w:style w:type="paragraph" w:styleId="PargrafodaLista">
    <w:name w:val="List Paragraph"/>
    <w:basedOn w:val="Normal"/>
    <w:uiPriority w:val="34"/>
    <w:qFormat/>
    <w:rsid w:val="007363EF"/>
    <w:pPr>
      <w:ind w:left="720"/>
      <w:contextualSpacing/>
    </w:pPr>
  </w:style>
  <w:style w:type="paragraph" w:styleId="Legenda">
    <w:name w:val="caption"/>
    <w:basedOn w:val="Normal"/>
    <w:next w:val="Normal"/>
    <w:uiPriority w:val="35"/>
    <w:unhideWhenUsed/>
    <w:qFormat/>
    <w:rsid w:val="00337F21"/>
    <w:pPr>
      <w:spacing w:line="240" w:lineRule="auto"/>
    </w:pPr>
    <w:rPr>
      <w:i/>
      <w:iCs/>
      <w:color w:val="44546A" w:themeColor="text2"/>
      <w:sz w:val="18"/>
      <w:szCs w:val="18"/>
    </w:rPr>
  </w:style>
  <w:style w:type="character" w:styleId="Hyperlink">
    <w:name w:val="Hyperlink"/>
    <w:basedOn w:val="Fontepargpadro"/>
    <w:uiPriority w:val="99"/>
    <w:unhideWhenUsed/>
    <w:rsid w:val="0080716C"/>
    <w:rPr>
      <w:color w:val="0563C1" w:themeColor="hyperlink"/>
      <w:u w:val="single"/>
    </w:rPr>
  </w:style>
  <w:style w:type="character" w:customStyle="1" w:styleId="MenoPendente1">
    <w:name w:val="Menção Pendente1"/>
    <w:basedOn w:val="Fontepargpadro"/>
    <w:uiPriority w:val="99"/>
    <w:semiHidden/>
    <w:unhideWhenUsed/>
    <w:rsid w:val="0080716C"/>
    <w:rPr>
      <w:color w:val="808080"/>
      <w:shd w:val="clear" w:color="auto" w:fill="E6E6E6"/>
    </w:rPr>
  </w:style>
  <w:style w:type="character" w:styleId="HiperlinkVisitado">
    <w:name w:val="FollowedHyperlink"/>
    <w:basedOn w:val="Fontepargpadro"/>
    <w:uiPriority w:val="99"/>
    <w:semiHidden/>
    <w:unhideWhenUsed/>
    <w:rsid w:val="00911B6C"/>
    <w:rPr>
      <w:color w:val="954F72" w:themeColor="followedHyperlink"/>
      <w:u w:val="single"/>
    </w:rPr>
  </w:style>
  <w:style w:type="paragraph" w:styleId="Textodenotaderodap">
    <w:name w:val="footnote text"/>
    <w:basedOn w:val="Normal"/>
    <w:link w:val="TextodenotaderodapChar"/>
    <w:uiPriority w:val="99"/>
    <w:unhideWhenUsed/>
    <w:rsid w:val="0010653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6537"/>
    <w:rPr>
      <w:rFonts w:eastAsiaTheme="minorEastAsia"/>
      <w:sz w:val="20"/>
      <w:szCs w:val="20"/>
      <w:lang w:eastAsia="pt-BR"/>
    </w:rPr>
  </w:style>
  <w:style w:type="character" w:styleId="Refdenotaderodap">
    <w:name w:val="footnote reference"/>
    <w:basedOn w:val="Fontepargpadro"/>
    <w:uiPriority w:val="99"/>
    <w:semiHidden/>
    <w:unhideWhenUsed/>
    <w:rsid w:val="00106537"/>
    <w:rPr>
      <w:vertAlign w:val="superscript"/>
    </w:rPr>
  </w:style>
  <w:style w:type="character" w:customStyle="1" w:styleId="MenoPendente2">
    <w:name w:val="Menção Pendente2"/>
    <w:basedOn w:val="Fontepargpadro"/>
    <w:uiPriority w:val="99"/>
    <w:semiHidden/>
    <w:unhideWhenUsed/>
    <w:rsid w:val="00E25DF3"/>
    <w:rPr>
      <w:color w:val="808080"/>
      <w:shd w:val="clear" w:color="auto" w:fill="E6E6E6"/>
    </w:rPr>
  </w:style>
  <w:style w:type="character" w:customStyle="1" w:styleId="Ttulo2Char">
    <w:name w:val="Título 2 Char"/>
    <w:basedOn w:val="Fontepargpadro"/>
    <w:link w:val="Ttulo2"/>
    <w:uiPriority w:val="9"/>
    <w:semiHidden/>
    <w:rsid w:val="00501BF2"/>
    <w:rPr>
      <w:rFonts w:asciiTheme="majorHAnsi" w:eastAsiaTheme="majorEastAsia" w:hAnsiTheme="majorHAnsi" w:cstheme="majorBidi"/>
      <w:color w:val="2E74B5" w:themeColor="accent1" w:themeShade="BF"/>
      <w:sz w:val="26"/>
      <w:szCs w:val="26"/>
      <w:lang w:eastAsia="pt-BR"/>
    </w:rPr>
  </w:style>
  <w:style w:type="character" w:customStyle="1" w:styleId="Ttulo1Char">
    <w:name w:val="Título 1 Char"/>
    <w:basedOn w:val="Fontepargpadro"/>
    <w:link w:val="Ttulo1"/>
    <w:uiPriority w:val="9"/>
    <w:rsid w:val="00501BF2"/>
    <w:rPr>
      <w:rFonts w:asciiTheme="majorHAnsi" w:eastAsiaTheme="majorEastAsia" w:hAnsiTheme="majorHAnsi" w:cstheme="majorBidi"/>
      <w:color w:val="2E74B5" w:themeColor="accent1" w:themeShade="BF"/>
      <w:sz w:val="32"/>
      <w:szCs w:val="32"/>
      <w:lang w:eastAsia="pt-BR"/>
    </w:rPr>
  </w:style>
  <w:style w:type="paragraph" w:styleId="CabealhodoSumrio">
    <w:name w:val="TOC Heading"/>
    <w:basedOn w:val="Ttulo1"/>
    <w:next w:val="Normal"/>
    <w:uiPriority w:val="39"/>
    <w:unhideWhenUsed/>
    <w:qFormat/>
    <w:rsid w:val="00501BF2"/>
    <w:pPr>
      <w:spacing w:line="259" w:lineRule="auto"/>
      <w:outlineLvl w:val="9"/>
    </w:pPr>
  </w:style>
  <w:style w:type="paragraph" w:styleId="Sumrio1">
    <w:name w:val="toc 1"/>
    <w:basedOn w:val="Normal"/>
    <w:next w:val="Normal"/>
    <w:autoRedefine/>
    <w:uiPriority w:val="39"/>
    <w:unhideWhenUsed/>
    <w:rsid w:val="00501BF2"/>
    <w:pPr>
      <w:spacing w:after="100"/>
    </w:pPr>
  </w:style>
  <w:style w:type="paragraph" w:styleId="Sumrio2">
    <w:name w:val="toc 2"/>
    <w:basedOn w:val="Normal"/>
    <w:next w:val="Normal"/>
    <w:autoRedefine/>
    <w:uiPriority w:val="39"/>
    <w:unhideWhenUsed/>
    <w:rsid w:val="00501BF2"/>
    <w:pPr>
      <w:spacing w:after="100"/>
      <w:ind w:left="220"/>
    </w:pPr>
  </w:style>
  <w:style w:type="character" w:customStyle="1" w:styleId="MenoPendente3">
    <w:name w:val="Menção Pendente3"/>
    <w:basedOn w:val="Fontepargpadro"/>
    <w:uiPriority w:val="99"/>
    <w:semiHidden/>
    <w:unhideWhenUsed/>
    <w:rsid w:val="002B6741"/>
    <w:rPr>
      <w:color w:val="808080"/>
      <w:shd w:val="clear" w:color="auto" w:fill="E6E6E6"/>
    </w:rPr>
  </w:style>
  <w:style w:type="paragraph" w:customStyle="1" w:styleId="Pargrafo">
    <w:name w:val="Parágrafo"/>
    <w:basedOn w:val="Normal"/>
    <w:uiPriority w:val="99"/>
    <w:rsid w:val="002B6741"/>
    <w:pPr>
      <w:spacing w:after="0" w:line="360" w:lineRule="auto"/>
      <w:jc w:val="both"/>
    </w:pPr>
    <w:rPr>
      <w:rFonts w:ascii="Arial" w:eastAsia="Times New Roman" w:hAnsi="Arial" w:cs="Times New Roman"/>
      <w:szCs w:val="24"/>
    </w:rPr>
  </w:style>
  <w:style w:type="paragraph" w:styleId="ndicedeilustraes">
    <w:name w:val="table of figures"/>
    <w:basedOn w:val="Normal"/>
    <w:next w:val="Normal"/>
    <w:uiPriority w:val="99"/>
    <w:unhideWhenUsed/>
    <w:rsid w:val="004C6F87"/>
    <w:pPr>
      <w:spacing w:after="0"/>
    </w:pPr>
  </w:style>
  <w:style w:type="paragraph" w:styleId="Assuntodocomentrio">
    <w:name w:val="annotation subject"/>
    <w:basedOn w:val="Textodecomentrio"/>
    <w:next w:val="Textodecomentrio"/>
    <w:link w:val="AssuntodocomentrioChar"/>
    <w:uiPriority w:val="99"/>
    <w:semiHidden/>
    <w:unhideWhenUsed/>
    <w:rsid w:val="00F96F09"/>
    <w:pPr>
      <w:spacing w:after="200"/>
    </w:pPr>
    <w:rPr>
      <w:rFonts w:asciiTheme="minorHAnsi" w:eastAsiaTheme="minorEastAsia" w:hAnsiTheme="minorHAnsi" w:cstheme="minorBidi"/>
      <w:b/>
      <w:bCs/>
    </w:rPr>
  </w:style>
  <w:style w:type="character" w:customStyle="1" w:styleId="AssuntodocomentrioChar">
    <w:name w:val="Assunto do comentário Char"/>
    <w:basedOn w:val="TextodecomentrioChar"/>
    <w:link w:val="Assuntodocomentrio"/>
    <w:uiPriority w:val="99"/>
    <w:semiHidden/>
    <w:rsid w:val="00F96F09"/>
    <w:rPr>
      <w:rFonts w:ascii="Times New Roman" w:eastAsiaTheme="minorEastAsia" w:hAnsi="Times New Roman" w:cs="Times New Roman"/>
      <w:b/>
      <w:bCs/>
      <w:sz w:val="20"/>
      <w:szCs w:val="20"/>
      <w:lang w:eastAsia="pt-BR"/>
    </w:rPr>
  </w:style>
  <w:style w:type="paragraph" w:styleId="Cabealho">
    <w:name w:val="header"/>
    <w:basedOn w:val="Normal"/>
    <w:link w:val="CabealhoChar"/>
    <w:uiPriority w:val="99"/>
    <w:unhideWhenUsed/>
    <w:rsid w:val="00892C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C50"/>
    <w:rPr>
      <w:rFonts w:eastAsiaTheme="minorEastAsia"/>
      <w:lang w:eastAsia="pt-BR"/>
    </w:rPr>
  </w:style>
  <w:style w:type="paragraph" w:styleId="Rodap">
    <w:name w:val="footer"/>
    <w:basedOn w:val="Normal"/>
    <w:link w:val="RodapChar"/>
    <w:uiPriority w:val="99"/>
    <w:unhideWhenUsed/>
    <w:rsid w:val="00892C50"/>
    <w:pPr>
      <w:tabs>
        <w:tab w:val="center" w:pos="4252"/>
        <w:tab w:val="right" w:pos="8504"/>
      </w:tabs>
      <w:spacing w:after="0" w:line="240" w:lineRule="auto"/>
    </w:pPr>
  </w:style>
  <w:style w:type="character" w:customStyle="1" w:styleId="RodapChar">
    <w:name w:val="Rodapé Char"/>
    <w:basedOn w:val="Fontepargpadro"/>
    <w:link w:val="Rodap"/>
    <w:uiPriority w:val="99"/>
    <w:rsid w:val="00892C5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6150">
      <w:bodyDiv w:val="1"/>
      <w:marLeft w:val="0"/>
      <w:marRight w:val="0"/>
      <w:marTop w:val="0"/>
      <w:marBottom w:val="0"/>
      <w:divBdr>
        <w:top w:val="none" w:sz="0" w:space="0" w:color="auto"/>
        <w:left w:val="none" w:sz="0" w:space="0" w:color="auto"/>
        <w:bottom w:val="none" w:sz="0" w:space="0" w:color="auto"/>
        <w:right w:val="none" w:sz="0" w:space="0" w:color="auto"/>
      </w:divBdr>
      <w:divsChild>
        <w:div w:id="323093398">
          <w:marLeft w:val="0"/>
          <w:marRight w:val="0"/>
          <w:marTop w:val="0"/>
          <w:marBottom w:val="0"/>
          <w:divBdr>
            <w:top w:val="none" w:sz="0" w:space="0" w:color="auto"/>
            <w:left w:val="none" w:sz="0" w:space="0" w:color="auto"/>
            <w:bottom w:val="none" w:sz="0" w:space="0" w:color="auto"/>
            <w:right w:val="none" w:sz="0" w:space="0" w:color="auto"/>
          </w:divBdr>
        </w:div>
      </w:divsChild>
    </w:div>
    <w:div w:id="220093634">
      <w:bodyDiv w:val="1"/>
      <w:marLeft w:val="0"/>
      <w:marRight w:val="0"/>
      <w:marTop w:val="0"/>
      <w:marBottom w:val="0"/>
      <w:divBdr>
        <w:top w:val="none" w:sz="0" w:space="0" w:color="auto"/>
        <w:left w:val="none" w:sz="0" w:space="0" w:color="auto"/>
        <w:bottom w:val="none" w:sz="0" w:space="0" w:color="auto"/>
        <w:right w:val="none" w:sz="0" w:space="0" w:color="auto"/>
      </w:divBdr>
      <w:divsChild>
        <w:div w:id="1295019089">
          <w:marLeft w:val="0"/>
          <w:marRight w:val="0"/>
          <w:marTop w:val="0"/>
          <w:marBottom w:val="0"/>
          <w:divBdr>
            <w:top w:val="none" w:sz="0" w:space="0" w:color="auto"/>
            <w:left w:val="none" w:sz="0" w:space="0" w:color="auto"/>
            <w:bottom w:val="none" w:sz="0" w:space="0" w:color="auto"/>
            <w:right w:val="none" w:sz="0" w:space="0" w:color="auto"/>
          </w:divBdr>
        </w:div>
      </w:divsChild>
    </w:div>
    <w:div w:id="224877475">
      <w:bodyDiv w:val="1"/>
      <w:marLeft w:val="0"/>
      <w:marRight w:val="0"/>
      <w:marTop w:val="0"/>
      <w:marBottom w:val="0"/>
      <w:divBdr>
        <w:top w:val="none" w:sz="0" w:space="0" w:color="auto"/>
        <w:left w:val="none" w:sz="0" w:space="0" w:color="auto"/>
        <w:bottom w:val="none" w:sz="0" w:space="0" w:color="auto"/>
        <w:right w:val="none" w:sz="0" w:space="0" w:color="auto"/>
      </w:divBdr>
    </w:div>
    <w:div w:id="291712950">
      <w:bodyDiv w:val="1"/>
      <w:marLeft w:val="0"/>
      <w:marRight w:val="0"/>
      <w:marTop w:val="0"/>
      <w:marBottom w:val="0"/>
      <w:divBdr>
        <w:top w:val="none" w:sz="0" w:space="0" w:color="auto"/>
        <w:left w:val="none" w:sz="0" w:space="0" w:color="auto"/>
        <w:bottom w:val="none" w:sz="0" w:space="0" w:color="auto"/>
        <w:right w:val="none" w:sz="0" w:space="0" w:color="auto"/>
      </w:divBdr>
      <w:divsChild>
        <w:div w:id="1260676971">
          <w:marLeft w:val="0"/>
          <w:marRight w:val="0"/>
          <w:marTop w:val="0"/>
          <w:marBottom w:val="0"/>
          <w:divBdr>
            <w:top w:val="none" w:sz="0" w:space="0" w:color="auto"/>
            <w:left w:val="none" w:sz="0" w:space="0" w:color="auto"/>
            <w:bottom w:val="none" w:sz="0" w:space="0" w:color="auto"/>
            <w:right w:val="none" w:sz="0" w:space="0" w:color="auto"/>
          </w:divBdr>
        </w:div>
      </w:divsChild>
    </w:div>
    <w:div w:id="343746323">
      <w:bodyDiv w:val="1"/>
      <w:marLeft w:val="0"/>
      <w:marRight w:val="0"/>
      <w:marTop w:val="0"/>
      <w:marBottom w:val="0"/>
      <w:divBdr>
        <w:top w:val="none" w:sz="0" w:space="0" w:color="auto"/>
        <w:left w:val="none" w:sz="0" w:space="0" w:color="auto"/>
        <w:bottom w:val="none" w:sz="0" w:space="0" w:color="auto"/>
        <w:right w:val="none" w:sz="0" w:space="0" w:color="auto"/>
      </w:divBdr>
    </w:div>
    <w:div w:id="554781552">
      <w:bodyDiv w:val="1"/>
      <w:marLeft w:val="0"/>
      <w:marRight w:val="0"/>
      <w:marTop w:val="0"/>
      <w:marBottom w:val="0"/>
      <w:divBdr>
        <w:top w:val="none" w:sz="0" w:space="0" w:color="auto"/>
        <w:left w:val="none" w:sz="0" w:space="0" w:color="auto"/>
        <w:bottom w:val="none" w:sz="0" w:space="0" w:color="auto"/>
        <w:right w:val="none" w:sz="0" w:space="0" w:color="auto"/>
      </w:divBdr>
      <w:divsChild>
        <w:div w:id="181433546">
          <w:marLeft w:val="0"/>
          <w:marRight w:val="0"/>
          <w:marTop w:val="0"/>
          <w:marBottom w:val="0"/>
          <w:divBdr>
            <w:top w:val="none" w:sz="0" w:space="0" w:color="auto"/>
            <w:left w:val="none" w:sz="0" w:space="0" w:color="auto"/>
            <w:bottom w:val="none" w:sz="0" w:space="0" w:color="auto"/>
            <w:right w:val="none" w:sz="0" w:space="0" w:color="auto"/>
          </w:divBdr>
        </w:div>
      </w:divsChild>
    </w:div>
    <w:div w:id="591086616">
      <w:bodyDiv w:val="1"/>
      <w:marLeft w:val="0"/>
      <w:marRight w:val="0"/>
      <w:marTop w:val="0"/>
      <w:marBottom w:val="0"/>
      <w:divBdr>
        <w:top w:val="none" w:sz="0" w:space="0" w:color="auto"/>
        <w:left w:val="none" w:sz="0" w:space="0" w:color="auto"/>
        <w:bottom w:val="none" w:sz="0" w:space="0" w:color="auto"/>
        <w:right w:val="none" w:sz="0" w:space="0" w:color="auto"/>
      </w:divBdr>
    </w:div>
    <w:div w:id="632949758">
      <w:bodyDiv w:val="1"/>
      <w:marLeft w:val="0"/>
      <w:marRight w:val="0"/>
      <w:marTop w:val="0"/>
      <w:marBottom w:val="0"/>
      <w:divBdr>
        <w:top w:val="none" w:sz="0" w:space="0" w:color="auto"/>
        <w:left w:val="none" w:sz="0" w:space="0" w:color="auto"/>
        <w:bottom w:val="none" w:sz="0" w:space="0" w:color="auto"/>
        <w:right w:val="none" w:sz="0" w:space="0" w:color="auto"/>
      </w:divBdr>
    </w:div>
    <w:div w:id="689186582">
      <w:bodyDiv w:val="1"/>
      <w:marLeft w:val="0"/>
      <w:marRight w:val="0"/>
      <w:marTop w:val="0"/>
      <w:marBottom w:val="0"/>
      <w:divBdr>
        <w:top w:val="none" w:sz="0" w:space="0" w:color="auto"/>
        <w:left w:val="none" w:sz="0" w:space="0" w:color="auto"/>
        <w:bottom w:val="none" w:sz="0" w:space="0" w:color="auto"/>
        <w:right w:val="none" w:sz="0" w:space="0" w:color="auto"/>
      </w:divBdr>
      <w:divsChild>
        <w:div w:id="1138113541">
          <w:marLeft w:val="0"/>
          <w:marRight w:val="0"/>
          <w:marTop w:val="0"/>
          <w:marBottom w:val="0"/>
          <w:divBdr>
            <w:top w:val="none" w:sz="0" w:space="0" w:color="auto"/>
            <w:left w:val="none" w:sz="0" w:space="0" w:color="auto"/>
            <w:bottom w:val="none" w:sz="0" w:space="0" w:color="auto"/>
            <w:right w:val="none" w:sz="0" w:space="0" w:color="auto"/>
          </w:divBdr>
        </w:div>
      </w:divsChild>
    </w:div>
    <w:div w:id="732462871">
      <w:bodyDiv w:val="1"/>
      <w:marLeft w:val="0"/>
      <w:marRight w:val="0"/>
      <w:marTop w:val="0"/>
      <w:marBottom w:val="0"/>
      <w:divBdr>
        <w:top w:val="none" w:sz="0" w:space="0" w:color="auto"/>
        <w:left w:val="none" w:sz="0" w:space="0" w:color="auto"/>
        <w:bottom w:val="none" w:sz="0" w:space="0" w:color="auto"/>
        <w:right w:val="none" w:sz="0" w:space="0" w:color="auto"/>
      </w:divBdr>
      <w:divsChild>
        <w:div w:id="885139957">
          <w:marLeft w:val="0"/>
          <w:marRight w:val="0"/>
          <w:marTop w:val="0"/>
          <w:marBottom w:val="0"/>
          <w:divBdr>
            <w:top w:val="none" w:sz="0" w:space="0" w:color="auto"/>
            <w:left w:val="none" w:sz="0" w:space="0" w:color="auto"/>
            <w:bottom w:val="none" w:sz="0" w:space="0" w:color="auto"/>
            <w:right w:val="none" w:sz="0" w:space="0" w:color="auto"/>
          </w:divBdr>
        </w:div>
      </w:divsChild>
    </w:div>
    <w:div w:id="774836078">
      <w:bodyDiv w:val="1"/>
      <w:marLeft w:val="0"/>
      <w:marRight w:val="0"/>
      <w:marTop w:val="0"/>
      <w:marBottom w:val="0"/>
      <w:divBdr>
        <w:top w:val="none" w:sz="0" w:space="0" w:color="auto"/>
        <w:left w:val="none" w:sz="0" w:space="0" w:color="auto"/>
        <w:bottom w:val="none" w:sz="0" w:space="0" w:color="auto"/>
        <w:right w:val="none" w:sz="0" w:space="0" w:color="auto"/>
      </w:divBdr>
      <w:divsChild>
        <w:div w:id="2109502046">
          <w:marLeft w:val="0"/>
          <w:marRight w:val="0"/>
          <w:marTop w:val="0"/>
          <w:marBottom w:val="0"/>
          <w:divBdr>
            <w:top w:val="none" w:sz="0" w:space="0" w:color="auto"/>
            <w:left w:val="none" w:sz="0" w:space="0" w:color="auto"/>
            <w:bottom w:val="none" w:sz="0" w:space="0" w:color="auto"/>
            <w:right w:val="none" w:sz="0" w:space="0" w:color="auto"/>
          </w:divBdr>
        </w:div>
      </w:divsChild>
    </w:div>
    <w:div w:id="887649446">
      <w:bodyDiv w:val="1"/>
      <w:marLeft w:val="0"/>
      <w:marRight w:val="0"/>
      <w:marTop w:val="0"/>
      <w:marBottom w:val="0"/>
      <w:divBdr>
        <w:top w:val="none" w:sz="0" w:space="0" w:color="auto"/>
        <w:left w:val="none" w:sz="0" w:space="0" w:color="auto"/>
        <w:bottom w:val="none" w:sz="0" w:space="0" w:color="auto"/>
        <w:right w:val="none" w:sz="0" w:space="0" w:color="auto"/>
      </w:divBdr>
    </w:div>
    <w:div w:id="923298676">
      <w:bodyDiv w:val="1"/>
      <w:marLeft w:val="0"/>
      <w:marRight w:val="0"/>
      <w:marTop w:val="0"/>
      <w:marBottom w:val="0"/>
      <w:divBdr>
        <w:top w:val="none" w:sz="0" w:space="0" w:color="auto"/>
        <w:left w:val="none" w:sz="0" w:space="0" w:color="auto"/>
        <w:bottom w:val="none" w:sz="0" w:space="0" w:color="auto"/>
        <w:right w:val="none" w:sz="0" w:space="0" w:color="auto"/>
      </w:divBdr>
      <w:divsChild>
        <w:div w:id="713231255">
          <w:marLeft w:val="0"/>
          <w:marRight w:val="0"/>
          <w:marTop w:val="0"/>
          <w:marBottom w:val="0"/>
          <w:divBdr>
            <w:top w:val="none" w:sz="0" w:space="0" w:color="auto"/>
            <w:left w:val="none" w:sz="0" w:space="0" w:color="auto"/>
            <w:bottom w:val="none" w:sz="0" w:space="0" w:color="auto"/>
            <w:right w:val="none" w:sz="0" w:space="0" w:color="auto"/>
          </w:divBdr>
        </w:div>
        <w:div w:id="591817021">
          <w:marLeft w:val="0"/>
          <w:marRight w:val="0"/>
          <w:marTop w:val="0"/>
          <w:marBottom w:val="0"/>
          <w:divBdr>
            <w:top w:val="none" w:sz="0" w:space="0" w:color="auto"/>
            <w:left w:val="none" w:sz="0" w:space="0" w:color="auto"/>
            <w:bottom w:val="none" w:sz="0" w:space="0" w:color="auto"/>
            <w:right w:val="none" w:sz="0" w:space="0" w:color="auto"/>
          </w:divBdr>
        </w:div>
        <w:div w:id="40982119">
          <w:marLeft w:val="0"/>
          <w:marRight w:val="0"/>
          <w:marTop w:val="0"/>
          <w:marBottom w:val="0"/>
          <w:divBdr>
            <w:top w:val="none" w:sz="0" w:space="0" w:color="auto"/>
            <w:left w:val="none" w:sz="0" w:space="0" w:color="auto"/>
            <w:bottom w:val="none" w:sz="0" w:space="0" w:color="auto"/>
            <w:right w:val="none" w:sz="0" w:space="0" w:color="auto"/>
          </w:divBdr>
        </w:div>
        <w:div w:id="1617564213">
          <w:marLeft w:val="0"/>
          <w:marRight w:val="0"/>
          <w:marTop w:val="0"/>
          <w:marBottom w:val="0"/>
          <w:divBdr>
            <w:top w:val="none" w:sz="0" w:space="0" w:color="auto"/>
            <w:left w:val="none" w:sz="0" w:space="0" w:color="auto"/>
            <w:bottom w:val="none" w:sz="0" w:space="0" w:color="auto"/>
            <w:right w:val="none" w:sz="0" w:space="0" w:color="auto"/>
          </w:divBdr>
        </w:div>
        <w:div w:id="2027902600">
          <w:marLeft w:val="0"/>
          <w:marRight w:val="0"/>
          <w:marTop w:val="0"/>
          <w:marBottom w:val="0"/>
          <w:divBdr>
            <w:top w:val="none" w:sz="0" w:space="0" w:color="auto"/>
            <w:left w:val="none" w:sz="0" w:space="0" w:color="auto"/>
            <w:bottom w:val="none" w:sz="0" w:space="0" w:color="auto"/>
            <w:right w:val="none" w:sz="0" w:space="0" w:color="auto"/>
          </w:divBdr>
        </w:div>
        <w:div w:id="1348825036">
          <w:marLeft w:val="0"/>
          <w:marRight w:val="0"/>
          <w:marTop w:val="0"/>
          <w:marBottom w:val="0"/>
          <w:divBdr>
            <w:top w:val="none" w:sz="0" w:space="0" w:color="auto"/>
            <w:left w:val="none" w:sz="0" w:space="0" w:color="auto"/>
            <w:bottom w:val="none" w:sz="0" w:space="0" w:color="auto"/>
            <w:right w:val="none" w:sz="0" w:space="0" w:color="auto"/>
          </w:divBdr>
        </w:div>
        <w:div w:id="415173516">
          <w:marLeft w:val="0"/>
          <w:marRight w:val="0"/>
          <w:marTop w:val="0"/>
          <w:marBottom w:val="0"/>
          <w:divBdr>
            <w:top w:val="none" w:sz="0" w:space="0" w:color="auto"/>
            <w:left w:val="none" w:sz="0" w:space="0" w:color="auto"/>
            <w:bottom w:val="none" w:sz="0" w:space="0" w:color="auto"/>
            <w:right w:val="none" w:sz="0" w:space="0" w:color="auto"/>
          </w:divBdr>
        </w:div>
        <w:div w:id="73403188">
          <w:marLeft w:val="0"/>
          <w:marRight w:val="0"/>
          <w:marTop w:val="0"/>
          <w:marBottom w:val="0"/>
          <w:divBdr>
            <w:top w:val="none" w:sz="0" w:space="0" w:color="auto"/>
            <w:left w:val="none" w:sz="0" w:space="0" w:color="auto"/>
            <w:bottom w:val="none" w:sz="0" w:space="0" w:color="auto"/>
            <w:right w:val="none" w:sz="0" w:space="0" w:color="auto"/>
          </w:divBdr>
        </w:div>
        <w:div w:id="1203665986">
          <w:marLeft w:val="0"/>
          <w:marRight w:val="0"/>
          <w:marTop w:val="0"/>
          <w:marBottom w:val="0"/>
          <w:divBdr>
            <w:top w:val="none" w:sz="0" w:space="0" w:color="auto"/>
            <w:left w:val="none" w:sz="0" w:space="0" w:color="auto"/>
            <w:bottom w:val="none" w:sz="0" w:space="0" w:color="auto"/>
            <w:right w:val="none" w:sz="0" w:space="0" w:color="auto"/>
          </w:divBdr>
        </w:div>
      </w:divsChild>
    </w:div>
    <w:div w:id="1013654537">
      <w:bodyDiv w:val="1"/>
      <w:marLeft w:val="0"/>
      <w:marRight w:val="0"/>
      <w:marTop w:val="0"/>
      <w:marBottom w:val="0"/>
      <w:divBdr>
        <w:top w:val="none" w:sz="0" w:space="0" w:color="auto"/>
        <w:left w:val="none" w:sz="0" w:space="0" w:color="auto"/>
        <w:bottom w:val="none" w:sz="0" w:space="0" w:color="auto"/>
        <w:right w:val="none" w:sz="0" w:space="0" w:color="auto"/>
      </w:divBdr>
      <w:divsChild>
        <w:div w:id="507716659">
          <w:marLeft w:val="0"/>
          <w:marRight w:val="0"/>
          <w:marTop w:val="0"/>
          <w:marBottom w:val="0"/>
          <w:divBdr>
            <w:top w:val="none" w:sz="0" w:space="0" w:color="auto"/>
            <w:left w:val="none" w:sz="0" w:space="0" w:color="auto"/>
            <w:bottom w:val="none" w:sz="0" w:space="0" w:color="auto"/>
            <w:right w:val="none" w:sz="0" w:space="0" w:color="auto"/>
          </w:divBdr>
        </w:div>
      </w:divsChild>
    </w:div>
    <w:div w:id="1129669394">
      <w:bodyDiv w:val="1"/>
      <w:marLeft w:val="0"/>
      <w:marRight w:val="0"/>
      <w:marTop w:val="0"/>
      <w:marBottom w:val="0"/>
      <w:divBdr>
        <w:top w:val="none" w:sz="0" w:space="0" w:color="auto"/>
        <w:left w:val="none" w:sz="0" w:space="0" w:color="auto"/>
        <w:bottom w:val="none" w:sz="0" w:space="0" w:color="auto"/>
        <w:right w:val="none" w:sz="0" w:space="0" w:color="auto"/>
      </w:divBdr>
      <w:divsChild>
        <w:div w:id="1533224257">
          <w:marLeft w:val="0"/>
          <w:marRight w:val="0"/>
          <w:marTop w:val="0"/>
          <w:marBottom w:val="0"/>
          <w:divBdr>
            <w:top w:val="none" w:sz="0" w:space="0" w:color="auto"/>
            <w:left w:val="none" w:sz="0" w:space="0" w:color="auto"/>
            <w:bottom w:val="none" w:sz="0" w:space="0" w:color="auto"/>
            <w:right w:val="none" w:sz="0" w:space="0" w:color="auto"/>
          </w:divBdr>
        </w:div>
      </w:divsChild>
    </w:div>
    <w:div w:id="1247228950">
      <w:bodyDiv w:val="1"/>
      <w:marLeft w:val="0"/>
      <w:marRight w:val="0"/>
      <w:marTop w:val="0"/>
      <w:marBottom w:val="0"/>
      <w:divBdr>
        <w:top w:val="none" w:sz="0" w:space="0" w:color="auto"/>
        <w:left w:val="none" w:sz="0" w:space="0" w:color="auto"/>
        <w:bottom w:val="none" w:sz="0" w:space="0" w:color="auto"/>
        <w:right w:val="none" w:sz="0" w:space="0" w:color="auto"/>
      </w:divBdr>
    </w:div>
    <w:div w:id="1459911253">
      <w:bodyDiv w:val="1"/>
      <w:marLeft w:val="0"/>
      <w:marRight w:val="0"/>
      <w:marTop w:val="0"/>
      <w:marBottom w:val="0"/>
      <w:divBdr>
        <w:top w:val="none" w:sz="0" w:space="0" w:color="auto"/>
        <w:left w:val="none" w:sz="0" w:space="0" w:color="auto"/>
        <w:bottom w:val="none" w:sz="0" w:space="0" w:color="auto"/>
        <w:right w:val="none" w:sz="0" w:space="0" w:color="auto"/>
      </w:divBdr>
      <w:divsChild>
        <w:div w:id="1331828996">
          <w:marLeft w:val="0"/>
          <w:marRight w:val="0"/>
          <w:marTop w:val="0"/>
          <w:marBottom w:val="0"/>
          <w:divBdr>
            <w:top w:val="none" w:sz="0" w:space="0" w:color="auto"/>
            <w:left w:val="none" w:sz="0" w:space="0" w:color="auto"/>
            <w:bottom w:val="none" w:sz="0" w:space="0" w:color="auto"/>
            <w:right w:val="none" w:sz="0" w:space="0" w:color="auto"/>
          </w:divBdr>
        </w:div>
        <w:div w:id="1115636187">
          <w:marLeft w:val="0"/>
          <w:marRight w:val="0"/>
          <w:marTop w:val="0"/>
          <w:marBottom w:val="0"/>
          <w:divBdr>
            <w:top w:val="none" w:sz="0" w:space="0" w:color="auto"/>
            <w:left w:val="none" w:sz="0" w:space="0" w:color="auto"/>
            <w:bottom w:val="none" w:sz="0" w:space="0" w:color="auto"/>
            <w:right w:val="none" w:sz="0" w:space="0" w:color="auto"/>
          </w:divBdr>
        </w:div>
        <w:div w:id="256911951">
          <w:marLeft w:val="0"/>
          <w:marRight w:val="0"/>
          <w:marTop w:val="0"/>
          <w:marBottom w:val="0"/>
          <w:divBdr>
            <w:top w:val="none" w:sz="0" w:space="0" w:color="auto"/>
            <w:left w:val="none" w:sz="0" w:space="0" w:color="auto"/>
            <w:bottom w:val="none" w:sz="0" w:space="0" w:color="auto"/>
            <w:right w:val="none" w:sz="0" w:space="0" w:color="auto"/>
          </w:divBdr>
        </w:div>
        <w:div w:id="711341034">
          <w:marLeft w:val="0"/>
          <w:marRight w:val="0"/>
          <w:marTop w:val="0"/>
          <w:marBottom w:val="0"/>
          <w:divBdr>
            <w:top w:val="none" w:sz="0" w:space="0" w:color="auto"/>
            <w:left w:val="none" w:sz="0" w:space="0" w:color="auto"/>
            <w:bottom w:val="none" w:sz="0" w:space="0" w:color="auto"/>
            <w:right w:val="none" w:sz="0" w:space="0" w:color="auto"/>
          </w:divBdr>
        </w:div>
        <w:div w:id="1033187328">
          <w:marLeft w:val="0"/>
          <w:marRight w:val="0"/>
          <w:marTop w:val="0"/>
          <w:marBottom w:val="0"/>
          <w:divBdr>
            <w:top w:val="none" w:sz="0" w:space="0" w:color="auto"/>
            <w:left w:val="none" w:sz="0" w:space="0" w:color="auto"/>
            <w:bottom w:val="none" w:sz="0" w:space="0" w:color="auto"/>
            <w:right w:val="none" w:sz="0" w:space="0" w:color="auto"/>
          </w:divBdr>
        </w:div>
        <w:div w:id="2146045230">
          <w:marLeft w:val="0"/>
          <w:marRight w:val="0"/>
          <w:marTop w:val="0"/>
          <w:marBottom w:val="0"/>
          <w:divBdr>
            <w:top w:val="none" w:sz="0" w:space="0" w:color="auto"/>
            <w:left w:val="none" w:sz="0" w:space="0" w:color="auto"/>
            <w:bottom w:val="none" w:sz="0" w:space="0" w:color="auto"/>
            <w:right w:val="none" w:sz="0" w:space="0" w:color="auto"/>
          </w:divBdr>
        </w:div>
        <w:div w:id="553735075">
          <w:marLeft w:val="0"/>
          <w:marRight w:val="0"/>
          <w:marTop w:val="0"/>
          <w:marBottom w:val="0"/>
          <w:divBdr>
            <w:top w:val="none" w:sz="0" w:space="0" w:color="auto"/>
            <w:left w:val="none" w:sz="0" w:space="0" w:color="auto"/>
            <w:bottom w:val="none" w:sz="0" w:space="0" w:color="auto"/>
            <w:right w:val="none" w:sz="0" w:space="0" w:color="auto"/>
          </w:divBdr>
        </w:div>
        <w:div w:id="575169833">
          <w:marLeft w:val="0"/>
          <w:marRight w:val="0"/>
          <w:marTop w:val="0"/>
          <w:marBottom w:val="0"/>
          <w:divBdr>
            <w:top w:val="none" w:sz="0" w:space="0" w:color="auto"/>
            <w:left w:val="none" w:sz="0" w:space="0" w:color="auto"/>
            <w:bottom w:val="none" w:sz="0" w:space="0" w:color="auto"/>
            <w:right w:val="none" w:sz="0" w:space="0" w:color="auto"/>
          </w:divBdr>
        </w:div>
        <w:div w:id="2128960523">
          <w:marLeft w:val="0"/>
          <w:marRight w:val="0"/>
          <w:marTop w:val="0"/>
          <w:marBottom w:val="0"/>
          <w:divBdr>
            <w:top w:val="none" w:sz="0" w:space="0" w:color="auto"/>
            <w:left w:val="none" w:sz="0" w:space="0" w:color="auto"/>
            <w:bottom w:val="none" w:sz="0" w:space="0" w:color="auto"/>
            <w:right w:val="none" w:sz="0" w:space="0" w:color="auto"/>
          </w:divBdr>
        </w:div>
      </w:divsChild>
    </w:div>
    <w:div w:id="1511524660">
      <w:bodyDiv w:val="1"/>
      <w:marLeft w:val="0"/>
      <w:marRight w:val="0"/>
      <w:marTop w:val="0"/>
      <w:marBottom w:val="0"/>
      <w:divBdr>
        <w:top w:val="none" w:sz="0" w:space="0" w:color="auto"/>
        <w:left w:val="none" w:sz="0" w:space="0" w:color="auto"/>
        <w:bottom w:val="none" w:sz="0" w:space="0" w:color="auto"/>
        <w:right w:val="none" w:sz="0" w:space="0" w:color="auto"/>
      </w:divBdr>
    </w:div>
    <w:div w:id="1542668525">
      <w:bodyDiv w:val="1"/>
      <w:marLeft w:val="0"/>
      <w:marRight w:val="0"/>
      <w:marTop w:val="0"/>
      <w:marBottom w:val="0"/>
      <w:divBdr>
        <w:top w:val="none" w:sz="0" w:space="0" w:color="auto"/>
        <w:left w:val="none" w:sz="0" w:space="0" w:color="auto"/>
        <w:bottom w:val="none" w:sz="0" w:space="0" w:color="auto"/>
        <w:right w:val="none" w:sz="0" w:space="0" w:color="auto"/>
      </w:divBdr>
      <w:divsChild>
        <w:div w:id="1581987636">
          <w:marLeft w:val="0"/>
          <w:marRight w:val="0"/>
          <w:marTop w:val="0"/>
          <w:marBottom w:val="0"/>
          <w:divBdr>
            <w:top w:val="none" w:sz="0" w:space="0" w:color="auto"/>
            <w:left w:val="none" w:sz="0" w:space="0" w:color="auto"/>
            <w:bottom w:val="none" w:sz="0" w:space="0" w:color="auto"/>
            <w:right w:val="none" w:sz="0" w:space="0" w:color="auto"/>
          </w:divBdr>
        </w:div>
      </w:divsChild>
    </w:div>
    <w:div w:id="1622423025">
      <w:bodyDiv w:val="1"/>
      <w:marLeft w:val="0"/>
      <w:marRight w:val="0"/>
      <w:marTop w:val="0"/>
      <w:marBottom w:val="0"/>
      <w:divBdr>
        <w:top w:val="none" w:sz="0" w:space="0" w:color="auto"/>
        <w:left w:val="none" w:sz="0" w:space="0" w:color="auto"/>
        <w:bottom w:val="none" w:sz="0" w:space="0" w:color="auto"/>
        <w:right w:val="none" w:sz="0" w:space="0" w:color="auto"/>
      </w:divBdr>
      <w:divsChild>
        <w:div w:id="265843045">
          <w:marLeft w:val="0"/>
          <w:marRight w:val="0"/>
          <w:marTop w:val="0"/>
          <w:marBottom w:val="0"/>
          <w:divBdr>
            <w:top w:val="none" w:sz="0" w:space="0" w:color="auto"/>
            <w:left w:val="none" w:sz="0" w:space="0" w:color="auto"/>
            <w:bottom w:val="none" w:sz="0" w:space="0" w:color="auto"/>
            <w:right w:val="none" w:sz="0" w:space="0" w:color="auto"/>
          </w:divBdr>
        </w:div>
      </w:divsChild>
    </w:div>
    <w:div w:id="1651327935">
      <w:bodyDiv w:val="1"/>
      <w:marLeft w:val="0"/>
      <w:marRight w:val="0"/>
      <w:marTop w:val="0"/>
      <w:marBottom w:val="0"/>
      <w:divBdr>
        <w:top w:val="none" w:sz="0" w:space="0" w:color="auto"/>
        <w:left w:val="none" w:sz="0" w:space="0" w:color="auto"/>
        <w:bottom w:val="none" w:sz="0" w:space="0" w:color="auto"/>
        <w:right w:val="none" w:sz="0" w:space="0" w:color="auto"/>
      </w:divBdr>
    </w:div>
    <w:div w:id="1783767392">
      <w:bodyDiv w:val="1"/>
      <w:marLeft w:val="0"/>
      <w:marRight w:val="0"/>
      <w:marTop w:val="0"/>
      <w:marBottom w:val="0"/>
      <w:divBdr>
        <w:top w:val="none" w:sz="0" w:space="0" w:color="auto"/>
        <w:left w:val="none" w:sz="0" w:space="0" w:color="auto"/>
        <w:bottom w:val="none" w:sz="0" w:space="0" w:color="auto"/>
        <w:right w:val="none" w:sz="0" w:space="0" w:color="auto"/>
      </w:divBdr>
      <w:divsChild>
        <w:div w:id="639383815">
          <w:marLeft w:val="0"/>
          <w:marRight w:val="0"/>
          <w:marTop w:val="0"/>
          <w:marBottom w:val="0"/>
          <w:divBdr>
            <w:top w:val="none" w:sz="0" w:space="0" w:color="auto"/>
            <w:left w:val="none" w:sz="0" w:space="0" w:color="auto"/>
            <w:bottom w:val="none" w:sz="0" w:space="0" w:color="auto"/>
            <w:right w:val="none" w:sz="0" w:space="0" w:color="auto"/>
          </w:divBdr>
        </w:div>
      </w:divsChild>
    </w:div>
    <w:div w:id="1788892975">
      <w:bodyDiv w:val="1"/>
      <w:marLeft w:val="0"/>
      <w:marRight w:val="0"/>
      <w:marTop w:val="0"/>
      <w:marBottom w:val="0"/>
      <w:divBdr>
        <w:top w:val="none" w:sz="0" w:space="0" w:color="auto"/>
        <w:left w:val="none" w:sz="0" w:space="0" w:color="auto"/>
        <w:bottom w:val="none" w:sz="0" w:space="0" w:color="auto"/>
        <w:right w:val="none" w:sz="0" w:space="0" w:color="auto"/>
      </w:divBdr>
      <w:divsChild>
        <w:div w:id="1240141975">
          <w:marLeft w:val="0"/>
          <w:marRight w:val="0"/>
          <w:marTop w:val="0"/>
          <w:marBottom w:val="0"/>
          <w:divBdr>
            <w:top w:val="none" w:sz="0" w:space="0" w:color="auto"/>
            <w:left w:val="none" w:sz="0" w:space="0" w:color="auto"/>
            <w:bottom w:val="none" w:sz="0" w:space="0" w:color="auto"/>
            <w:right w:val="none" w:sz="0" w:space="0" w:color="auto"/>
          </w:divBdr>
        </w:div>
      </w:divsChild>
    </w:div>
    <w:div w:id="1833791936">
      <w:bodyDiv w:val="1"/>
      <w:marLeft w:val="0"/>
      <w:marRight w:val="0"/>
      <w:marTop w:val="0"/>
      <w:marBottom w:val="0"/>
      <w:divBdr>
        <w:top w:val="none" w:sz="0" w:space="0" w:color="auto"/>
        <w:left w:val="none" w:sz="0" w:space="0" w:color="auto"/>
        <w:bottom w:val="none" w:sz="0" w:space="0" w:color="auto"/>
        <w:right w:val="none" w:sz="0" w:space="0" w:color="auto"/>
      </w:divBdr>
      <w:divsChild>
        <w:div w:id="667371604">
          <w:marLeft w:val="0"/>
          <w:marRight w:val="0"/>
          <w:marTop w:val="0"/>
          <w:marBottom w:val="0"/>
          <w:divBdr>
            <w:top w:val="none" w:sz="0" w:space="0" w:color="auto"/>
            <w:left w:val="none" w:sz="0" w:space="0" w:color="auto"/>
            <w:bottom w:val="none" w:sz="0" w:space="0" w:color="auto"/>
            <w:right w:val="none" w:sz="0" w:space="0" w:color="auto"/>
          </w:divBdr>
        </w:div>
      </w:divsChild>
    </w:div>
    <w:div w:id="1842161553">
      <w:bodyDiv w:val="1"/>
      <w:marLeft w:val="0"/>
      <w:marRight w:val="0"/>
      <w:marTop w:val="0"/>
      <w:marBottom w:val="0"/>
      <w:divBdr>
        <w:top w:val="none" w:sz="0" w:space="0" w:color="auto"/>
        <w:left w:val="none" w:sz="0" w:space="0" w:color="auto"/>
        <w:bottom w:val="none" w:sz="0" w:space="0" w:color="auto"/>
        <w:right w:val="none" w:sz="0" w:space="0" w:color="auto"/>
      </w:divBdr>
    </w:div>
    <w:div w:id="2002927374">
      <w:bodyDiv w:val="1"/>
      <w:marLeft w:val="0"/>
      <w:marRight w:val="0"/>
      <w:marTop w:val="0"/>
      <w:marBottom w:val="0"/>
      <w:divBdr>
        <w:top w:val="none" w:sz="0" w:space="0" w:color="auto"/>
        <w:left w:val="none" w:sz="0" w:space="0" w:color="auto"/>
        <w:bottom w:val="none" w:sz="0" w:space="0" w:color="auto"/>
        <w:right w:val="none" w:sz="0" w:space="0" w:color="auto"/>
      </w:divBdr>
      <w:divsChild>
        <w:div w:id="171724298">
          <w:marLeft w:val="0"/>
          <w:marRight w:val="0"/>
          <w:marTop w:val="0"/>
          <w:marBottom w:val="0"/>
          <w:divBdr>
            <w:top w:val="none" w:sz="0" w:space="0" w:color="auto"/>
            <w:left w:val="none" w:sz="0" w:space="0" w:color="auto"/>
            <w:bottom w:val="none" w:sz="0" w:space="0" w:color="auto"/>
            <w:right w:val="none" w:sz="0" w:space="0" w:color="auto"/>
          </w:divBdr>
        </w:div>
      </w:divsChild>
    </w:div>
    <w:div w:id="2047678120">
      <w:bodyDiv w:val="1"/>
      <w:marLeft w:val="0"/>
      <w:marRight w:val="0"/>
      <w:marTop w:val="0"/>
      <w:marBottom w:val="0"/>
      <w:divBdr>
        <w:top w:val="none" w:sz="0" w:space="0" w:color="auto"/>
        <w:left w:val="none" w:sz="0" w:space="0" w:color="auto"/>
        <w:bottom w:val="none" w:sz="0" w:space="0" w:color="auto"/>
        <w:right w:val="none" w:sz="0" w:space="0" w:color="auto"/>
      </w:divBdr>
    </w:div>
    <w:div w:id="2068644407">
      <w:bodyDiv w:val="1"/>
      <w:marLeft w:val="0"/>
      <w:marRight w:val="0"/>
      <w:marTop w:val="0"/>
      <w:marBottom w:val="0"/>
      <w:divBdr>
        <w:top w:val="none" w:sz="0" w:space="0" w:color="auto"/>
        <w:left w:val="none" w:sz="0" w:space="0" w:color="auto"/>
        <w:bottom w:val="none" w:sz="0" w:space="0" w:color="auto"/>
        <w:right w:val="none" w:sz="0" w:space="0" w:color="auto"/>
      </w:divBdr>
      <w:divsChild>
        <w:div w:id="650255592">
          <w:marLeft w:val="0"/>
          <w:marRight w:val="0"/>
          <w:marTop w:val="0"/>
          <w:marBottom w:val="0"/>
          <w:divBdr>
            <w:top w:val="none" w:sz="0" w:space="0" w:color="auto"/>
            <w:left w:val="none" w:sz="0" w:space="0" w:color="auto"/>
            <w:bottom w:val="none" w:sz="0" w:space="0" w:color="auto"/>
            <w:right w:val="none" w:sz="0" w:space="0" w:color="auto"/>
          </w:divBdr>
        </w:div>
      </w:divsChild>
    </w:div>
    <w:div w:id="2091272248">
      <w:bodyDiv w:val="1"/>
      <w:marLeft w:val="0"/>
      <w:marRight w:val="0"/>
      <w:marTop w:val="0"/>
      <w:marBottom w:val="0"/>
      <w:divBdr>
        <w:top w:val="none" w:sz="0" w:space="0" w:color="auto"/>
        <w:left w:val="none" w:sz="0" w:space="0" w:color="auto"/>
        <w:bottom w:val="none" w:sz="0" w:space="0" w:color="auto"/>
        <w:right w:val="none" w:sz="0" w:space="0" w:color="auto"/>
      </w:divBdr>
      <w:divsChild>
        <w:div w:id="7756883">
          <w:marLeft w:val="0"/>
          <w:marRight w:val="0"/>
          <w:marTop w:val="0"/>
          <w:marBottom w:val="0"/>
          <w:divBdr>
            <w:top w:val="none" w:sz="0" w:space="0" w:color="auto"/>
            <w:left w:val="none" w:sz="0" w:space="0" w:color="auto"/>
            <w:bottom w:val="none" w:sz="0" w:space="0" w:color="auto"/>
            <w:right w:val="none" w:sz="0" w:space="0" w:color="auto"/>
          </w:divBdr>
        </w:div>
        <w:div w:id="354622900">
          <w:marLeft w:val="0"/>
          <w:marRight w:val="0"/>
          <w:marTop w:val="0"/>
          <w:marBottom w:val="0"/>
          <w:divBdr>
            <w:top w:val="none" w:sz="0" w:space="0" w:color="auto"/>
            <w:left w:val="none" w:sz="0" w:space="0" w:color="auto"/>
            <w:bottom w:val="none" w:sz="0" w:space="0" w:color="auto"/>
            <w:right w:val="none" w:sz="0" w:space="0" w:color="auto"/>
          </w:divBdr>
        </w:div>
        <w:div w:id="2081053177">
          <w:marLeft w:val="0"/>
          <w:marRight w:val="0"/>
          <w:marTop w:val="0"/>
          <w:marBottom w:val="0"/>
          <w:divBdr>
            <w:top w:val="none" w:sz="0" w:space="0" w:color="auto"/>
            <w:left w:val="none" w:sz="0" w:space="0" w:color="auto"/>
            <w:bottom w:val="none" w:sz="0" w:space="0" w:color="auto"/>
            <w:right w:val="none" w:sz="0" w:space="0" w:color="auto"/>
          </w:divBdr>
        </w:div>
        <w:div w:id="492529197">
          <w:marLeft w:val="0"/>
          <w:marRight w:val="0"/>
          <w:marTop w:val="0"/>
          <w:marBottom w:val="0"/>
          <w:divBdr>
            <w:top w:val="none" w:sz="0" w:space="0" w:color="auto"/>
            <w:left w:val="none" w:sz="0" w:space="0" w:color="auto"/>
            <w:bottom w:val="none" w:sz="0" w:space="0" w:color="auto"/>
            <w:right w:val="none" w:sz="0" w:space="0" w:color="auto"/>
          </w:divBdr>
          <w:divsChild>
            <w:div w:id="1487091249">
              <w:marLeft w:val="0"/>
              <w:marRight w:val="0"/>
              <w:marTop w:val="0"/>
              <w:marBottom w:val="0"/>
              <w:divBdr>
                <w:top w:val="none" w:sz="0" w:space="0" w:color="auto"/>
                <w:left w:val="none" w:sz="0" w:space="0" w:color="auto"/>
                <w:bottom w:val="none" w:sz="0" w:space="0" w:color="auto"/>
                <w:right w:val="none" w:sz="0" w:space="0" w:color="auto"/>
              </w:divBdr>
              <w:divsChild>
                <w:div w:id="902910090">
                  <w:marLeft w:val="0"/>
                  <w:marRight w:val="0"/>
                  <w:marTop w:val="0"/>
                  <w:marBottom w:val="0"/>
                  <w:divBdr>
                    <w:top w:val="none" w:sz="0" w:space="0" w:color="auto"/>
                    <w:left w:val="none" w:sz="0" w:space="0" w:color="auto"/>
                    <w:bottom w:val="none" w:sz="0" w:space="0" w:color="auto"/>
                    <w:right w:val="none" w:sz="0" w:space="0" w:color="auto"/>
                  </w:divBdr>
                  <w:divsChild>
                    <w:div w:id="1654984141">
                      <w:marLeft w:val="0"/>
                      <w:marRight w:val="0"/>
                      <w:marTop w:val="0"/>
                      <w:marBottom w:val="0"/>
                      <w:divBdr>
                        <w:top w:val="none" w:sz="0" w:space="0" w:color="auto"/>
                        <w:left w:val="none" w:sz="0" w:space="0" w:color="auto"/>
                        <w:bottom w:val="none" w:sz="0" w:space="0" w:color="auto"/>
                        <w:right w:val="none" w:sz="0" w:space="0" w:color="auto"/>
                      </w:divBdr>
                      <w:divsChild>
                        <w:div w:id="2125883055">
                          <w:marLeft w:val="0"/>
                          <w:marRight w:val="0"/>
                          <w:marTop w:val="0"/>
                          <w:marBottom w:val="0"/>
                          <w:divBdr>
                            <w:top w:val="none" w:sz="0" w:space="0" w:color="auto"/>
                            <w:left w:val="none" w:sz="0" w:space="0" w:color="auto"/>
                            <w:bottom w:val="none" w:sz="0" w:space="0" w:color="auto"/>
                            <w:right w:val="none" w:sz="0" w:space="0" w:color="auto"/>
                          </w:divBdr>
                        </w:div>
                      </w:divsChild>
                    </w:div>
                    <w:div w:id="1757164492">
                      <w:marLeft w:val="0"/>
                      <w:marRight w:val="0"/>
                      <w:marTop w:val="0"/>
                      <w:marBottom w:val="0"/>
                      <w:divBdr>
                        <w:top w:val="none" w:sz="0" w:space="0" w:color="auto"/>
                        <w:left w:val="none" w:sz="0" w:space="0" w:color="auto"/>
                        <w:bottom w:val="none" w:sz="0" w:space="0" w:color="auto"/>
                        <w:right w:val="none" w:sz="0" w:space="0" w:color="auto"/>
                      </w:divBdr>
                      <w:divsChild>
                        <w:div w:id="21193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hyperlink" Target="http://www.indexmundi.com" TargetMode="Externa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www.ie.ufrj.br/grc/pdfs/barreiras_a_entrada_e_defesa_da_concorrencia.pdf"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www.mdic.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ibge.gov.br/home/estatistica/economia/industria/pia/empresas/2012/defaultempresa.s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dexmundi.com" TargetMode="External"/><Relationship Id="rId23" Type="http://schemas.openxmlformats.org/officeDocument/2006/relationships/hyperlink" Target="http://www.anm.gov.br" TargetMode="External"/><Relationship Id="rId28" Type="http://schemas.openxmlformats.org/officeDocument/2006/relationships/hyperlink" Target="http://www.ibram.org.br" TargetMode="Externa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emf"/><Relationship Id="rId22" Type="http://schemas.openxmlformats.org/officeDocument/2006/relationships/chart" Target="charts/chart12.xml"/><Relationship Id="rId27" Type="http://schemas.openxmlformats.org/officeDocument/2006/relationships/hyperlink" Target="http://www.pintec.ibge.gov.br" TargetMode="External"/><Relationship Id="rId30" Type="http://schemas.openxmlformats.org/officeDocument/2006/relationships/hyperlink" Target="https://minerals.usg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utorga.dnpm.gov.br/SitePages/Regimes%20PLG.aspx" TargetMode="External"/><Relationship Id="rId2" Type="http://schemas.openxmlformats.org/officeDocument/2006/relationships/hyperlink" Target="http://outorga.dnpm.gov.br/SitePages/Regimes%20Licenciamento.aspx" TargetMode="External"/><Relationship Id="rId1" Type="http://schemas.openxmlformats.org/officeDocument/2006/relationships/hyperlink" Target="http://outorga.dnpm.gov.br/SitePages/Regimes%20Autorizacao%20de%20pesquisa.aspx" TargetMode="External"/><Relationship Id="rId5" Type="http://schemas.openxmlformats.org/officeDocument/2006/relationships/hyperlink" Target="https://www.indexmundi.com/pt/pre%C3%A7os-de-mercado/?mercadoria=min%C3%A9rio-de-ferro" TargetMode="External"/><Relationship Id="rId4" Type="http://schemas.openxmlformats.org/officeDocument/2006/relationships/hyperlink" Target="http://www.dnpm-pe.gov.br/Legisla/Remissivo.php?sele=Regime%20de%20Extra%E7%E3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93;lvaro\Desktop\MACKPESQUISA%202017\PIA%20VEND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93;lvaro\Desktop\MACKPESQUISA%20SETOR%20MINERAL_26_MAR_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93;lvaro\Desktop\MACKENZIE\Disciplinas\ORGANIZA&#199;&#195;O%20INDUSTRIAL\1SEM2018\EstoqueIED-200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93;lvaro\Desktop\MACKPESQUISA%20SETOR%20MINERAL_26_MAR_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93;lvaro\Desktop\MACKPESQUISA%20SETOR%20MINERAL_26_MAR_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93;lvaro\Desktop\MACKPESQUISA%20SETOR%20MINERAL_26_MAR_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93;lvaro\Desktop\MACKPESQUISA%20SETOR%20MINERAL_26_MAR_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rquivos%20Mackenzie\Projeto%20Setor%20Mineral\Indicadores%20de%20Inova&#231;&#227;o%20-%20Planilh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rquivos%20Mackenzie\Projeto%20Setor%20Mineral\Indicadores%20de%20Inova&#231;&#227;o%20-%20Planilh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10581\Desktop\Slides%20OI\C&#243;pia%20de%20MACKPESQUISA%20SETOR%20MINERAL_26_MAR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'Vendas Valores Reais 2015=100'!$B$99</c:f>
              <c:strCache>
                <c:ptCount val="1"/>
                <c:pt idx="0">
                  <c:v>em R$ bilhões (valores de 2015)</c:v>
                </c:pt>
              </c:strCache>
            </c:strRef>
          </c:tx>
          <c:spPr>
            <a:solidFill>
              <a:schemeClr val="accent1">
                <a:alpha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'Vendas Valores Reais 2015=100'!$C$98:$M$98</c:f>
              <c:numCache>
                <c:formatCode>0</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'Vendas Valores Reais 2015=100'!$C$99:$M$99</c:f>
              <c:numCache>
                <c:formatCode>#,##0.00</c:formatCode>
                <c:ptCount val="11"/>
                <c:pt idx="0">
                  <c:v>54.822582557659779</c:v>
                </c:pt>
                <c:pt idx="1">
                  <c:v>60.582218987151279</c:v>
                </c:pt>
                <c:pt idx="2">
                  <c:v>63.482082368125617</c:v>
                </c:pt>
                <c:pt idx="3">
                  <c:v>72.536277937444623</c:v>
                </c:pt>
                <c:pt idx="4">
                  <c:v>64.376478726882624</c:v>
                </c:pt>
                <c:pt idx="5">
                  <c:v>97.480129816104125</c:v>
                </c:pt>
                <c:pt idx="6">
                  <c:v>125.56667125939903</c:v>
                </c:pt>
                <c:pt idx="7">
                  <c:v>110.5115658324146</c:v>
                </c:pt>
                <c:pt idx="8">
                  <c:v>111.37710636687599</c:v>
                </c:pt>
                <c:pt idx="9">
                  <c:v>98.442192321000007</c:v>
                </c:pt>
                <c:pt idx="10">
                  <c:v>75.078975999999997</c:v>
                </c:pt>
              </c:numCache>
            </c:numRef>
          </c:val>
          <c:extLst>
            <c:ext xmlns:c16="http://schemas.microsoft.com/office/drawing/2014/chart" uri="{C3380CC4-5D6E-409C-BE32-E72D297353CC}">
              <c16:uniqueId val="{00000000-16D6-435C-AEC5-F95A8B8A54A8}"/>
            </c:ext>
          </c:extLst>
        </c:ser>
        <c:dLbls>
          <c:showLegendKey val="0"/>
          <c:showVal val="0"/>
          <c:showCatName val="0"/>
          <c:showSerName val="0"/>
          <c:showPercent val="0"/>
          <c:showBubbleSize val="0"/>
        </c:dLbls>
        <c:gapWidth val="219"/>
        <c:overlap val="-27"/>
        <c:axId val="91663360"/>
        <c:axId val="62731328"/>
      </c:barChart>
      <c:lineChart>
        <c:grouping val="standard"/>
        <c:varyColors val="0"/>
        <c:ser>
          <c:idx val="1"/>
          <c:order val="1"/>
          <c:tx>
            <c:strRef>
              <c:f>'Vendas Valores Reais 2015=100'!$B$100</c:f>
              <c:strCache>
                <c:ptCount val="1"/>
                <c:pt idx="0">
                  <c:v>em %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'Vendas Valores Reais 2015=100'!$C$98:$M$98</c:f>
              <c:numCache>
                <c:formatCode>0</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'Vendas Valores Reais 2015=100'!$C$100:$M$100</c:f>
              <c:numCache>
                <c:formatCode>0.00%</c:formatCode>
                <c:ptCount val="11"/>
                <c:pt idx="0">
                  <c:v>2.8635414494089628E-2</c:v>
                </c:pt>
                <c:pt idx="1">
                  <c:v>3.0777094962433967E-2</c:v>
                </c:pt>
                <c:pt idx="2">
                  <c:v>3.1321932695152682E-2</c:v>
                </c:pt>
                <c:pt idx="3">
                  <c:v>3.3690536568827471E-2</c:v>
                </c:pt>
                <c:pt idx="4">
                  <c:v>3.1543037733353971E-2</c:v>
                </c:pt>
                <c:pt idx="5">
                  <c:v>4.5344683297044511E-2</c:v>
                </c:pt>
                <c:pt idx="6">
                  <c:v>5.4960042019411993E-2</c:v>
                </c:pt>
                <c:pt idx="7">
                  <c:v>4.8554453832834701E-2</c:v>
                </c:pt>
                <c:pt idx="8">
                  <c:v>4.6981015739127746E-2</c:v>
                </c:pt>
                <c:pt idx="9">
                  <c:v>4.1043297425317767E-2</c:v>
                </c:pt>
                <c:pt idx="10">
                  <c:v>3.4762421382742964E-2</c:v>
                </c:pt>
              </c:numCache>
            </c:numRef>
          </c:val>
          <c:smooth val="0"/>
          <c:extLst>
            <c:ext xmlns:c16="http://schemas.microsoft.com/office/drawing/2014/chart" uri="{C3380CC4-5D6E-409C-BE32-E72D297353CC}">
              <c16:uniqueId val="{00000001-16D6-435C-AEC5-F95A8B8A54A8}"/>
            </c:ext>
          </c:extLst>
        </c:ser>
        <c:dLbls>
          <c:showLegendKey val="0"/>
          <c:showVal val="0"/>
          <c:showCatName val="0"/>
          <c:showSerName val="0"/>
          <c:showPercent val="0"/>
          <c:showBubbleSize val="0"/>
        </c:dLbls>
        <c:marker val="1"/>
        <c:smooth val="0"/>
        <c:axId val="101391360"/>
        <c:axId val="105155392"/>
      </c:lineChart>
      <c:catAx>
        <c:axId val="916633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2731328"/>
        <c:crosses val="autoZero"/>
        <c:auto val="1"/>
        <c:lblAlgn val="ctr"/>
        <c:lblOffset val="100"/>
        <c:noMultiLvlLbl val="0"/>
      </c:catAx>
      <c:valAx>
        <c:axId val="62731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663360"/>
        <c:crosses val="autoZero"/>
        <c:crossBetween val="between"/>
      </c:valAx>
      <c:valAx>
        <c:axId val="10515539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391360"/>
        <c:crosses val="max"/>
        <c:crossBetween val="between"/>
      </c:valAx>
      <c:catAx>
        <c:axId val="101391360"/>
        <c:scaling>
          <c:orientation val="minMax"/>
        </c:scaling>
        <c:delete val="1"/>
        <c:axPos val="b"/>
        <c:numFmt formatCode="0" sourceLinked="1"/>
        <c:majorTickMark val="none"/>
        <c:minorTickMark val="none"/>
        <c:tickLblPos val="nextTo"/>
        <c:crossAx val="1051553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'[MACKPESQUISA SETOR MINERAL_26_MAR_2018.xlsx]Planilha4'!$A$26</c:f>
              <c:strCache>
                <c:ptCount val="1"/>
                <c:pt idx="0">
                  <c:v>% do total exportado</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'[MACKPESQUISA SETOR MINERAL_26_MAR_2018.xlsx]Planilha4'!$B$24:$K$24</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'[MACKPESQUISA SETOR MINERAL_26_MAR_2018.xlsx]Planilha4'!$B$26:$K$26</c:f>
              <c:numCache>
                <c:formatCode>0.0%</c:formatCode>
                <c:ptCount val="10"/>
                <c:pt idx="0">
                  <c:v>7.4860487907865383E-2</c:v>
                </c:pt>
                <c:pt idx="1">
                  <c:v>9.4606416278337963E-2</c:v>
                </c:pt>
                <c:pt idx="2">
                  <c:v>9.4467910014537179E-2</c:v>
                </c:pt>
                <c:pt idx="3">
                  <c:v>0.15273267206013927</c:v>
                </c:pt>
                <c:pt idx="4">
                  <c:v>0.1726942190013597</c:v>
                </c:pt>
                <c:pt idx="5">
                  <c:v>0.13704610094309261</c:v>
                </c:pt>
                <c:pt idx="6">
                  <c:v>0.14494983941622958</c:v>
                </c:pt>
                <c:pt idx="7">
                  <c:v>0.12617548580639146</c:v>
                </c:pt>
                <c:pt idx="8">
                  <c:v>8.7338761686750532E-2</c:v>
                </c:pt>
                <c:pt idx="9">
                  <c:v>8.5383780072632212E-2</c:v>
                </c:pt>
              </c:numCache>
            </c:numRef>
          </c:val>
          <c:smooth val="0"/>
          <c:extLst>
            <c:ext xmlns:c16="http://schemas.microsoft.com/office/drawing/2014/chart" uri="{C3380CC4-5D6E-409C-BE32-E72D297353CC}">
              <c16:uniqueId val="{00000001-DE3F-4F35-9DD7-EEC094A7250A}"/>
            </c:ext>
          </c:extLst>
        </c:ser>
        <c:dLbls>
          <c:showLegendKey val="0"/>
          <c:showVal val="0"/>
          <c:showCatName val="0"/>
          <c:showSerName val="0"/>
          <c:showPercent val="0"/>
          <c:showBubbleSize val="0"/>
        </c:dLbls>
        <c:smooth val="0"/>
        <c:axId val="207618048"/>
        <c:axId val="152781376"/>
      </c:lineChart>
      <c:catAx>
        <c:axId val="20761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2781376"/>
        <c:crosses val="autoZero"/>
        <c:auto val="1"/>
        <c:lblAlgn val="ctr"/>
        <c:lblOffset val="100"/>
        <c:noMultiLvlLbl val="0"/>
      </c:catAx>
      <c:valAx>
        <c:axId val="152781376"/>
        <c:scaling>
          <c:orientation val="minMax"/>
          <c:min val="7.0000000000000007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61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'[EstoqueIED-2000.xls]Planilha1'!$I$26</c:f>
              <c:strCache>
                <c:ptCount val="1"/>
                <c:pt idx="0">
                  <c:v>US$ milhões</c:v>
                </c:pt>
              </c:strCache>
            </c:strRef>
          </c:tx>
          <c:spPr>
            <a:solidFill>
              <a:schemeClr val="accent1">
                <a:alpha val="44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'[EstoqueIED-2000.xls]Planilha1'!$H$27:$H$33</c:f>
              <c:numCache>
                <c:formatCode>General</c:formatCode>
                <c:ptCount val="7"/>
                <c:pt idx="0">
                  <c:v>2001</c:v>
                </c:pt>
                <c:pt idx="1">
                  <c:v>2010</c:v>
                </c:pt>
                <c:pt idx="2">
                  <c:v>2011</c:v>
                </c:pt>
                <c:pt idx="3">
                  <c:v>2012</c:v>
                </c:pt>
                <c:pt idx="4">
                  <c:v>2013</c:v>
                </c:pt>
                <c:pt idx="5">
                  <c:v>2014</c:v>
                </c:pt>
                <c:pt idx="6">
                  <c:v>2015</c:v>
                </c:pt>
              </c:numCache>
            </c:numRef>
          </c:cat>
          <c:val>
            <c:numRef>
              <c:f>'[EstoqueIED-2000.xls]Planilha1'!$I$27:$I$33</c:f>
              <c:numCache>
                <c:formatCode>General</c:formatCode>
                <c:ptCount val="7"/>
                <c:pt idx="0" formatCode="#,##0.00;\(#,##0.00\)">
                  <c:v>995.01278510790632</c:v>
                </c:pt>
                <c:pt idx="1">
                  <c:v>28998.656661540263</c:v>
                </c:pt>
                <c:pt idx="2">
                  <c:v>25920.800806459607</c:v>
                </c:pt>
                <c:pt idx="3">
                  <c:v>22063.030278478782</c:v>
                </c:pt>
                <c:pt idx="4">
                  <c:v>21071.59913729073</c:v>
                </c:pt>
                <c:pt idx="5">
                  <c:v>20365.931105551688</c:v>
                </c:pt>
                <c:pt idx="6">
                  <c:v>10636.630410452799</c:v>
                </c:pt>
              </c:numCache>
            </c:numRef>
          </c:val>
          <c:extLst>
            <c:ext xmlns:c16="http://schemas.microsoft.com/office/drawing/2014/chart" uri="{C3380CC4-5D6E-409C-BE32-E72D297353CC}">
              <c16:uniqueId val="{00000000-C7E4-4616-A7E6-B0751D543A8F}"/>
            </c:ext>
          </c:extLst>
        </c:ser>
        <c:dLbls>
          <c:showLegendKey val="0"/>
          <c:showVal val="0"/>
          <c:showCatName val="0"/>
          <c:showSerName val="0"/>
          <c:showPercent val="0"/>
          <c:showBubbleSize val="0"/>
        </c:dLbls>
        <c:gapWidth val="219"/>
        <c:overlap val="-27"/>
        <c:axId val="207619584"/>
        <c:axId val="152784256"/>
      </c:barChart>
      <c:lineChart>
        <c:grouping val="standard"/>
        <c:varyColors val="0"/>
        <c:ser>
          <c:idx val="1"/>
          <c:order val="1"/>
          <c:tx>
            <c:strRef>
              <c:f>'[EstoqueIED-2000.xls]Planilha1'!$J$26</c:f>
              <c:strCache>
                <c:ptCount val="1"/>
                <c:pt idx="0">
                  <c:v>% do total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'[EstoqueIED-2000.xls]Planilha1'!$H$27:$H$33</c:f>
              <c:numCache>
                <c:formatCode>General</c:formatCode>
                <c:ptCount val="7"/>
                <c:pt idx="0">
                  <c:v>2001</c:v>
                </c:pt>
                <c:pt idx="1">
                  <c:v>2010</c:v>
                </c:pt>
                <c:pt idx="2">
                  <c:v>2011</c:v>
                </c:pt>
                <c:pt idx="3">
                  <c:v>2012</c:v>
                </c:pt>
                <c:pt idx="4">
                  <c:v>2013</c:v>
                </c:pt>
                <c:pt idx="5">
                  <c:v>2014</c:v>
                </c:pt>
                <c:pt idx="6">
                  <c:v>2015</c:v>
                </c:pt>
              </c:numCache>
            </c:numRef>
          </c:cat>
          <c:val>
            <c:numRef>
              <c:f>'[EstoqueIED-2000.xls]Planilha1'!$J$27:$J$33</c:f>
              <c:numCache>
                <c:formatCode>0.0%</c:formatCode>
                <c:ptCount val="7"/>
                <c:pt idx="0" formatCode="0.00%">
                  <c:v>9.6589576969883691E-3</c:v>
                </c:pt>
                <c:pt idx="1">
                  <c:v>4.5960913302248246E-2</c:v>
                </c:pt>
                <c:pt idx="2">
                  <c:v>4.0553144670226401E-2</c:v>
                </c:pt>
                <c:pt idx="3">
                  <c:v>3.3226228661970697E-2</c:v>
                </c:pt>
                <c:pt idx="4">
                  <c:v>3.4612034999063714E-2</c:v>
                </c:pt>
                <c:pt idx="5">
                  <c:v>3.5420532980734394E-2</c:v>
                </c:pt>
                <c:pt idx="6">
                  <c:v>2.3782782846234304E-2</c:v>
                </c:pt>
              </c:numCache>
            </c:numRef>
          </c:val>
          <c:smooth val="0"/>
          <c:extLst>
            <c:ext xmlns:c16="http://schemas.microsoft.com/office/drawing/2014/chart" uri="{C3380CC4-5D6E-409C-BE32-E72D297353CC}">
              <c16:uniqueId val="{00000001-C7E4-4616-A7E6-B0751D543A8F}"/>
            </c:ext>
          </c:extLst>
        </c:ser>
        <c:dLbls>
          <c:showLegendKey val="0"/>
          <c:showVal val="0"/>
          <c:showCatName val="0"/>
          <c:showSerName val="0"/>
          <c:showPercent val="0"/>
          <c:showBubbleSize val="0"/>
        </c:dLbls>
        <c:marker val="1"/>
        <c:smooth val="0"/>
        <c:axId val="207621120"/>
        <c:axId val="152784832"/>
      </c:lineChart>
      <c:catAx>
        <c:axId val="20761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2784256"/>
        <c:crosses val="autoZero"/>
        <c:auto val="1"/>
        <c:lblAlgn val="ctr"/>
        <c:lblOffset val="100"/>
        <c:noMultiLvlLbl val="0"/>
      </c:catAx>
      <c:valAx>
        <c:axId val="152784256"/>
        <c:scaling>
          <c:orientation val="minMax"/>
        </c:scaling>
        <c:delete val="0"/>
        <c:axPos val="l"/>
        <c:majorGridlines>
          <c:spPr>
            <a:ln w="9525" cap="flat" cmpd="sng" algn="ctr">
              <a:solidFill>
                <a:schemeClr val="tx1">
                  <a:lumMod val="15000"/>
                  <a:lumOff val="85000"/>
                </a:schemeClr>
              </a:solidFill>
              <a:round/>
            </a:ln>
            <a:effectLst/>
          </c:spPr>
        </c:majorGridlines>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619584"/>
        <c:crosses val="autoZero"/>
        <c:crossBetween val="between"/>
      </c:valAx>
      <c:valAx>
        <c:axId val="15278483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621120"/>
        <c:crosses val="max"/>
        <c:crossBetween val="between"/>
      </c:valAx>
      <c:catAx>
        <c:axId val="207621120"/>
        <c:scaling>
          <c:orientation val="minMax"/>
        </c:scaling>
        <c:delete val="1"/>
        <c:axPos val="b"/>
        <c:numFmt formatCode="General" sourceLinked="1"/>
        <c:majorTickMark val="none"/>
        <c:minorTickMark val="none"/>
        <c:tickLblPos val="nextTo"/>
        <c:crossAx val="15278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'desempenho cont_financ'!$Q$126</c:f>
              <c:strCache>
                <c:ptCount val="1"/>
                <c:pt idx="0">
                  <c:v>ROE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'desempenho cont_financ'!$P$127:$P$143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'desempenho cont_financ'!$Q$127:$Q$143</c:f>
              <c:numCache>
                <c:formatCode>General</c:formatCode>
                <c:ptCount val="17"/>
                <c:pt idx="0">
                  <c:v>11.765000000000001</c:v>
                </c:pt>
                <c:pt idx="1">
                  <c:v>11.13</c:v>
                </c:pt>
                <c:pt idx="2">
                  <c:v>9.3574999999999999</c:v>
                </c:pt>
                <c:pt idx="3">
                  <c:v>15.3</c:v>
                </c:pt>
                <c:pt idx="4">
                  <c:v>15.922499999999999</c:v>
                </c:pt>
                <c:pt idx="5">
                  <c:v>17.344999999999999</c:v>
                </c:pt>
                <c:pt idx="6">
                  <c:v>15.6425</c:v>
                </c:pt>
                <c:pt idx="7">
                  <c:v>16.07</c:v>
                </c:pt>
                <c:pt idx="8">
                  <c:v>7.1</c:v>
                </c:pt>
                <c:pt idx="9">
                  <c:v>1.96</c:v>
                </c:pt>
                <c:pt idx="10">
                  <c:v>8.27</c:v>
                </c:pt>
                <c:pt idx="11">
                  <c:v>10.362500000000001</c:v>
                </c:pt>
                <c:pt idx="12">
                  <c:v>4.5525000000000002</c:v>
                </c:pt>
                <c:pt idx="13">
                  <c:v>2.8650000000000002</c:v>
                </c:pt>
                <c:pt idx="14">
                  <c:v>1.2175</c:v>
                </c:pt>
                <c:pt idx="15">
                  <c:v>-18.965</c:v>
                </c:pt>
                <c:pt idx="16">
                  <c:v>7.0666666666666673</c:v>
                </c:pt>
              </c:numCache>
            </c:numRef>
          </c:val>
          <c:smooth val="0"/>
          <c:extLst>
            <c:ext xmlns:c16="http://schemas.microsoft.com/office/drawing/2014/chart" uri="{C3380CC4-5D6E-409C-BE32-E72D297353CC}">
              <c16:uniqueId val="{00000000-C826-424D-9F91-EB0AC0889E14}"/>
            </c:ext>
          </c:extLst>
        </c:ser>
        <c:ser>
          <c:idx val="1"/>
          <c:order val="1"/>
          <c:tx>
            <c:strRef>
              <c:f>'desempenho cont_financ'!$R$126</c:f>
              <c:strCache>
                <c:ptCount val="1"/>
                <c:pt idx="0">
                  <c:v>Taxa Selic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'desempenho cont_financ'!$P$127:$P$143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'desempenho cont_financ'!$R$127:$R$143</c:f>
              <c:numCache>
                <c:formatCode>General</c:formatCode>
                <c:ptCount val="17"/>
                <c:pt idx="0">
                  <c:v>16.399999999999999</c:v>
                </c:pt>
                <c:pt idx="1">
                  <c:v>19.05</c:v>
                </c:pt>
                <c:pt idx="2">
                  <c:v>24.9</c:v>
                </c:pt>
                <c:pt idx="3">
                  <c:v>16.34</c:v>
                </c:pt>
                <c:pt idx="4">
                  <c:v>17.739999999999998</c:v>
                </c:pt>
                <c:pt idx="5">
                  <c:v>18.05</c:v>
                </c:pt>
                <c:pt idx="6">
                  <c:v>13.18</c:v>
                </c:pt>
                <c:pt idx="7">
                  <c:v>11.18</c:v>
                </c:pt>
                <c:pt idx="8">
                  <c:v>13.66</c:v>
                </c:pt>
                <c:pt idx="9">
                  <c:v>8.65</c:v>
                </c:pt>
                <c:pt idx="10">
                  <c:v>10.66</c:v>
                </c:pt>
                <c:pt idx="11">
                  <c:v>10.9</c:v>
                </c:pt>
                <c:pt idx="12">
                  <c:v>7.29</c:v>
                </c:pt>
                <c:pt idx="13">
                  <c:v>9.9</c:v>
                </c:pt>
                <c:pt idx="14">
                  <c:v>11.65</c:v>
                </c:pt>
                <c:pt idx="15">
                  <c:v>14.15</c:v>
                </c:pt>
                <c:pt idx="16">
                  <c:v>13.65</c:v>
                </c:pt>
              </c:numCache>
            </c:numRef>
          </c:val>
          <c:smooth val="0"/>
          <c:extLst>
            <c:ext xmlns:c16="http://schemas.microsoft.com/office/drawing/2014/chart" uri="{C3380CC4-5D6E-409C-BE32-E72D297353CC}">
              <c16:uniqueId val="{00000001-C826-424D-9F91-EB0AC0889E14}"/>
            </c:ext>
          </c:extLst>
        </c:ser>
        <c:dLbls>
          <c:showLegendKey val="0"/>
          <c:showVal val="0"/>
          <c:showCatName val="0"/>
          <c:showSerName val="0"/>
          <c:showPercent val="0"/>
          <c:showBubbleSize val="0"/>
        </c:dLbls>
        <c:marker val="1"/>
        <c:smooth val="0"/>
        <c:axId val="164464128"/>
        <c:axId val="209248256"/>
      </c:lineChart>
      <c:catAx>
        <c:axId val="1644641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9248256"/>
        <c:crosses val="autoZero"/>
        <c:auto val="1"/>
        <c:lblAlgn val="ctr"/>
        <c:lblOffset val="100"/>
        <c:noMultiLvlLbl val="0"/>
      </c:catAx>
      <c:valAx>
        <c:axId val="2092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446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4C-4551-BB73-AE793114DD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4C-4551-BB73-AE793114DD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E4C-4551-BB73-AE793114DDC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E4C-4551-BB73-AE793114DDC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E4C-4551-BB73-AE793114DDC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E4C-4551-BB73-AE793114DDC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E4C-4551-BB73-AE793114DDC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E4C-4551-BB73-AE793114DDC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E4C-4551-BB73-AE793114DDC4}"/>
              </c:ext>
            </c:extLst>
          </c:dPt>
          <c:dLbls>
            <c:dLbl>
              <c:idx val="0"/>
              <c:layout>
                <c:manualLayout>
                  <c:x val="2.0449941111547323E-2"/>
                  <c:y val="4.538071172030159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E4C-4551-BB73-AE793114DDC4}"/>
                </c:ext>
              </c:extLst>
            </c:dLbl>
            <c:dLbl>
              <c:idx val="1"/>
              <c:layout>
                <c:manualLayout>
                  <c:x val="-2.2778257198094828E-2"/>
                  <c:y val="-3.294045322219884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E4C-4551-BB73-AE793114DDC4}"/>
                </c:ext>
              </c:extLst>
            </c:dLbl>
            <c:dLbl>
              <c:idx val="2"/>
              <c:layout>
                <c:manualLayout>
                  <c:x val="-0.10177628313864341"/>
                  <c:y val="4.680809156956574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E4C-4551-BB73-AE793114DDC4}"/>
                </c:ext>
              </c:extLst>
            </c:dLbl>
            <c:dLbl>
              <c:idx val="7"/>
              <c:layout>
                <c:manualLayout>
                  <c:x val="0.3869199501155795"/>
                  <c:y val="0.1181938911022576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AE4C-4551-BB73-AE793114DDC4}"/>
                </c:ext>
              </c:extLst>
            </c:dLbl>
            <c:dLbl>
              <c:idx val="8"/>
              <c:layout>
                <c:manualLayout>
                  <c:x val="0.28000892284090734"/>
                  <c:y val="3.9614769269379173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AE4C-4551-BB73-AE793114DDC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lt"/>
                    <a:ea typeface="+mn-ea"/>
                    <a:cs typeface="Times New Roman" panose="02020603050405020304" pitchFamily="18" charset="0"/>
                  </a:defRPr>
                </a:pPr>
                <a:endParaRPr lang="pt-BR"/>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Planilha1!$B$4:$B$12</c:f>
              <c:strCache>
                <c:ptCount val="9"/>
                <c:pt idx="0">
                  <c:v>Ferro</c:v>
                </c:pt>
                <c:pt idx="1">
                  <c:v>Ouro</c:v>
                </c:pt>
                <c:pt idx="2">
                  <c:v>Cobre</c:v>
                </c:pt>
                <c:pt idx="3">
                  <c:v>Alumínio</c:v>
                </c:pt>
                <c:pt idx="4">
                  <c:v>Níquel</c:v>
                </c:pt>
                <c:pt idx="5">
                  <c:v>Nióbio</c:v>
                </c:pt>
                <c:pt idx="6">
                  <c:v>Manganês</c:v>
                </c:pt>
                <c:pt idx="7">
                  <c:v>Estanho </c:v>
                </c:pt>
                <c:pt idx="8">
                  <c:v>Outros </c:v>
                </c:pt>
              </c:strCache>
            </c:strRef>
          </c:cat>
          <c:val>
            <c:numRef>
              <c:f>Planilha1!$C$4:$C$12</c:f>
              <c:numCache>
                <c:formatCode>0.0%</c:formatCode>
                <c:ptCount val="9"/>
                <c:pt idx="0">
                  <c:v>0.61699999999999999</c:v>
                </c:pt>
                <c:pt idx="1">
                  <c:v>0.13900000000000001</c:v>
                </c:pt>
                <c:pt idx="2">
                  <c:v>0.10299999999999999</c:v>
                </c:pt>
                <c:pt idx="3">
                  <c:v>5.1999999999999998E-2</c:v>
                </c:pt>
                <c:pt idx="4">
                  <c:v>4.7E-2</c:v>
                </c:pt>
                <c:pt idx="5">
                  <c:v>0.01</c:v>
                </c:pt>
                <c:pt idx="6">
                  <c:v>8.9999999999999993E-3</c:v>
                </c:pt>
                <c:pt idx="7">
                  <c:v>8.9999999999999993E-3</c:v>
                </c:pt>
                <c:pt idx="8">
                  <c:v>1.4E-2</c:v>
                </c:pt>
              </c:numCache>
            </c:numRef>
          </c:val>
          <c:extLst>
            <c:ext xmlns:c16="http://schemas.microsoft.com/office/drawing/2014/chart" uri="{C3380CC4-5D6E-409C-BE32-E72D297353CC}">
              <c16:uniqueId val="{00000012-AE4C-4551-BB73-AE793114DDC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528159050673705E-2"/>
          <c:y val="3.7900322152738301E-2"/>
          <c:w val="0.88030533107162168"/>
          <c:h val="0.87038746364777175"/>
        </c:manualLayout>
      </c:layout>
      <c:lineChart>
        <c:grouping val="standard"/>
        <c:varyColors val="0"/>
        <c:ser>
          <c:idx val="0"/>
          <c:order val="0"/>
          <c:tx>
            <c:strRef>
              <c:f>'[MACKPESQUISA SETOR MINERAL_26_MAR_2018.xlsx]Consumo Aparente'!$C$2</c:f>
              <c:strCache>
                <c:ptCount val="1"/>
                <c:pt idx="0">
                  <c:v>CA</c:v>
                </c:pt>
              </c:strCache>
            </c:strRef>
          </c:tx>
          <c:spPr>
            <a:ln w="28575" cap="rnd">
              <a:solidFill>
                <a:schemeClr val="accent1"/>
              </a:solidFill>
              <a:round/>
            </a:ln>
            <a:effectLst/>
          </c:spPr>
          <c:marker>
            <c:symbol val="none"/>
          </c:marker>
          <c:cat>
            <c:numRef>
              <c:f>'[MACKPESQUISA SETOR MINERAL_26_MAR_2018.xlsx]Consumo Aparente'!$B$3:$B$21</c:f>
              <c:numCache>
                <c:formatCode>General</c:formatCode>
                <c:ptCount val="19"/>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numCache>
            </c:numRef>
          </c:cat>
          <c:val>
            <c:numRef>
              <c:f>'[MACKPESQUISA SETOR MINERAL_26_MAR_2018.xlsx]Consumo Aparente'!$C$3:$C$21</c:f>
              <c:numCache>
                <c:formatCode>#,##0.00</c:formatCode>
                <c:ptCount val="19"/>
                <c:pt idx="0">
                  <c:v>61.0666534984517</c:v>
                </c:pt>
                <c:pt idx="1">
                  <c:v>66.336661216166405</c:v>
                </c:pt>
                <c:pt idx="2">
                  <c:v>76.290450582271902</c:v>
                </c:pt>
                <c:pt idx="3">
                  <c:v>82.025112951453593</c:v>
                </c:pt>
                <c:pt idx="4">
                  <c:v>87.144947731295801</c:v>
                </c:pt>
                <c:pt idx="5">
                  <c:v>81.580720129725094</c:v>
                </c:pt>
                <c:pt idx="6">
                  <c:v>98.389693841988404</c:v>
                </c:pt>
                <c:pt idx="7">
                  <c:v>102.519358539439</c:v>
                </c:pt>
                <c:pt idx="8">
                  <c:v>90.447513401122507</c:v>
                </c:pt>
                <c:pt idx="9">
                  <c:v>102.73357607627401</c:v>
                </c:pt>
                <c:pt idx="10">
                  <c:v>101.86028333380099</c:v>
                </c:pt>
                <c:pt idx="11">
                  <c:v>109.03453916275301</c:v>
                </c:pt>
                <c:pt idx="12">
                  <c:v>81.220778609851806</c:v>
                </c:pt>
                <c:pt idx="13">
                  <c:v>92.072275441762898</c:v>
                </c:pt>
                <c:pt idx="14">
                  <c:v>102.99726006389101</c:v>
                </c:pt>
                <c:pt idx="15">
                  <c:v>100.004378205423</c:v>
                </c:pt>
                <c:pt idx="16">
                  <c:v>109.803117015387</c:v>
                </c:pt>
                <c:pt idx="17">
                  <c:v>94.049914079596803</c:v>
                </c:pt>
                <c:pt idx="18">
                  <c:v>97.212190198729601</c:v>
                </c:pt>
              </c:numCache>
            </c:numRef>
          </c:val>
          <c:smooth val="0"/>
          <c:extLst>
            <c:ext xmlns:c16="http://schemas.microsoft.com/office/drawing/2014/chart" uri="{C3380CC4-5D6E-409C-BE32-E72D297353CC}">
              <c16:uniqueId val="{00000001-9BC4-472D-8128-BB4C684401ED}"/>
            </c:ext>
          </c:extLst>
        </c:ser>
        <c:dLbls>
          <c:showLegendKey val="0"/>
          <c:showVal val="0"/>
          <c:showCatName val="0"/>
          <c:showSerName val="0"/>
          <c:showPercent val="0"/>
          <c:showBubbleSize val="0"/>
        </c:dLbls>
        <c:smooth val="0"/>
        <c:axId val="164463616"/>
        <c:axId val="105158272"/>
      </c:lineChart>
      <c:catAx>
        <c:axId val="16446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5158272"/>
        <c:crosses val="autoZero"/>
        <c:auto val="1"/>
        <c:lblAlgn val="ctr"/>
        <c:lblOffset val="100"/>
        <c:noMultiLvlLbl val="0"/>
      </c:catAx>
      <c:valAx>
        <c:axId val="105158272"/>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4463616"/>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'[MACKPESQUISA SETOR MINERAL_26_MAR_2018.xlsx]Planilha4'!$A$25</c:f>
              <c:strCache>
                <c:ptCount val="1"/>
                <c:pt idx="0">
                  <c:v>em US$ bilhões - valores correntes</c:v>
                </c:pt>
              </c:strCache>
            </c:strRef>
          </c:tx>
          <c:spPr>
            <a:solidFill>
              <a:schemeClr val="accent1">
                <a:alpha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'[MACKPESQUISA SETOR MINERAL_26_MAR_2018.xlsx]Planilha4'!$B$24:$K$24</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'[MACKPESQUISA SETOR MINERAL_26_MAR_2018.xlsx]Planilha4'!$B$25:$K$25</c:f>
              <c:numCache>
                <c:formatCode>0.0</c:formatCode>
                <c:ptCount val="10"/>
                <c:pt idx="0">
                  <c:v>12.026267974</c:v>
                </c:pt>
                <c:pt idx="1">
                  <c:v>18.726625153000001</c:v>
                </c:pt>
                <c:pt idx="2">
                  <c:v>14.453093596</c:v>
                </c:pt>
                <c:pt idx="3">
                  <c:v>30.839061058999999</c:v>
                </c:pt>
                <c:pt idx="4">
                  <c:v>44.216554398</c:v>
                </c:pt>
                <c:pt idx="5">
                  <c:v>33.244370930999999</c:v>
                </c:pt>
                <c:pt idx="6">
                  <c:v>35.082727789000003</c:v>
                </c:pt>
                <c:pt idx="7">
                  <c:v>28.402213498999998</c:v>
                </c:pt>
                <c:pt idx="8">
                  <c:v>16.693435225000002</c:v>
                </c:pt>
                <c:pt idx="9">
                  <c:v>15.816098724</c:v>
                </c:pt>
              </c:numCache>
            </c:numRef>
          </c:val>
          <c:extLst>
            <c:ext xmlns:c16="http://schemas.microsoft.com/office/drawing/2014/chart" uri="{C3380CC4-5D6E-409C-BE32-E72D297353CC}">
              <c16:uniqueId val="{00000000-C44B-45F8-928C-36D16CF39204}"/>
            </c:ext>
          </c:extLst>
        </c:ser>
        <c:dLbls>
          <c:showLegendKey val="0"/>
          <c:showVal val="0"/>
          <c:showCatName val="0"/>
          <c:showSerName val="0"/>
          <c:showPercent val="0"/>
          <c:showBubbleSize val="0"/>
        </c:dLbls>
        <c:gapWidth val="219"/>
        <c:overlap val="-27"/>
        <c:axId val="91663872"/>
        <c:axId val="105160000"/>
      </c:barChart>
      <c:catAx>
        <c:axId val="9166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5160000"/>
        <c:crosses val="autoZero"/>
        <c:auto val="1"/>
        <c:lblAlgn val="ctr"/>
        <c:lblOffset val="100"/>
        <c:noMultiLvlLbl val="0"/>
      </c:catAx>
      <c:valAx>
        <c:axId val="1051600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66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591-4A4C-B343-6A4775FE04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591-4A4C-B343-6A4775FE04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591-4A4C-B343-6A4775FE04F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591-4A4C-B343-6A4775FE04F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591-4A4C-B343-6A4775FE04F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591-4A4C-B343-6A4775FE04F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91-4A4C-B343-6A4775FE04F5}"/>
                </c:ext>
              </c:extLst>
            </c:dLbl>
            <c:dLbl>
              <c:idx val="1"/>
              <c:layout>
                <c:manualLayout>
                  <c:x val="-0.16799097784460856"/>
                  <c:y val="6.093118405679676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591-4A4C-B343-6A4775FE04F5}"/>
                </c:ext>
              </c:extLst>
            </c:dLbl>
            <c:dLbl>
              <c:idx val="2"/>
              <c:layout>
                <c:manualLayout>
                  <c:x val="-0.11981981720453741"/>
                  <c:y val="-2.970407358457500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591-4A4C-B343-6A4775FE04F5}"/>
                </c:ext>
              </c:extLst>
            </c:dLbl>
            <c:dLbl>
              <c:idx val="3"/>
              <c:layout>
                <c:manualLayout>
                  <c:x val="-3.0284129623124888E-2"/>
                  <c:y val="-5.30429885438839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4591-4A4C-B343-6A4775FE04F5}"/>
                </c:ext>
              </c:extLst>
            </c:dLbl>
            <c:dLbl>
              <c:idx val="4"/>
              <c:layout>
                <c:manualLayout>
                  <c:x val="0.14297357056614396"/>
                  <c:y val="1.4921386674306417E-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t-B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527281279397931"/>
                      <c:h val="0.1501422754219395"/>
                    </c:manualLayout>
                  </c15:layout>
                </c:ext>
                <c:ext xmlns:c16="http://schemas.microsoft.com/office/drawing/2014/chart" uri="{C3380CC4-5D6E-409C-BE32-E72D297353CC}">
                  <c16:uniqueId val="{00000009-4591-4A4C-B343-6A4775FE04F5}"/>
                </c:ext>
              </c:extLst>
            </c:dLbl>
            <c:dLbl>
              <c:idx val="5"/>
              <c:layout>
                <c:manualLayout>
                  <c:x val="0.2776660913622862"/>
                  <c:y val="7.215594639641051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t-BR"/>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4591-4A4C-B343-6A4775FE04F5}"/>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'[MACKPESQUISA SETOR MINERAL_26_MAR_2018.xlsx]Planilha4'!$A$15:$A$20</c:f>
              <c:strCache>
                <c:ptCount val="6"/>
                <c:pt idx="0">
                  <c:v>MINERIOS DE FERRO</c:v>
                </c:pt>
                <c:pt idx="1">
                  <c:v>COBRE</c:v>
                </c:pt>
                <c:pt idx="2">
                  <c:v>MANGANÊS</c:v>
                </c:pt>
                <c:pt idx="3">
                  <c:v>ALUMÍNIO</c:v>
                </c:pt>
                <c:pt idx="4">
                  <c:v>DEMAIS MINERIOS METALURGICOS</c:v>
                </c:pt>
                <c:pt idx="5">
                  <c:v>CROMITA </c:v>
                </c:pt>
              </c:strCache>
            </c:strRef>
          </c:cat>
          <c:val>
            <c:numRef>
              <c:f>'[MACKPESQUISA SETOR MINERAL_26_MAR_2018.xlsx]Planilha4'!$M$15:$M$20</c:f>
              <c:numCache>
                <c:formatCode>0.0%</c:formatCode>
                <c:ptCount val="6"/>
                <c:pt idx="0">
                  <c:v>0.91277531244895471</c:v>
                </c:pt>
                <c:pt idx="1">
                  <c:v>5.970513723976404E-2</c:v>
                </c:pt>
                <c:pt idx="2">
                  <c:v>1.0500799282515605E-2</c:v>
                </c:pt>
                <c:pt idx="3">
                  <c:v>1.101533299518029E-2</c:v>
                </c:pt>
                <c:pt idx="4">
                  <c:v>5.7015143516530803E-3</c:v>
                </c:pt>
                <c:pt idx="5" formatCode="0.00%">
                  <c:v>3.0190368193221649E-4</c:v>
                </c:pt>
              </c:numCache>
            </c:numRef>
          </c:val>
          <c:extLst>
            <c:ext xmlns:c16="http://schemas.microsoft.com/office/drawing/2014/chart" uri="{C3380CC4-5D6E-409C-BE32-E72D297353CC}">
              <c16:uniqueId val="{0000000C-4591-4A4C-B343-6A4775FE04F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9607174103237096"/>
          <c:y val="5.0925925925925923E-2"/>
          <c:w val="0.77337270341207354"/>
          <c:h val="0.79531605424321961"/>
        </c:manualLayout>
      </c:layout>
      <c:barChart>
        <c:barDir val="col"/>
        <c:grouping val="clustered"/>
        <c:varyColors val="0"/>
        <c:ser>
          <c:idx val="0"/>
          <c:order val="0"/>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'Atividade Inovativa'!$A$3:$A$8</c:f>
              <c:numCache>
                <c:formatCode>General</c:formatCode>
                <c:ptCount val="6"/>
                <c:pt idx="0">
                  <c:v>2000</c:v>
                </c:pt>
                <c:pt idx="1">
                  <c:v>2003</c:v>
                </c:pt>
                <c:pt idx="2">
                  <c:v>2005</c:v>
                </c:pt>
                <c:pt idx="3">
                  <c:v>2008</c:v>
                </c:pt>
                <c:pt idx="4">
                  <c:v>2011</c:v>
                </c:pt>
                <c:pt idx="5">
                  <c:v>2014</c:v>
                </c:pt>
              </c:numCache>
            </c:numRef>
          </c:cat>
          <c:val>
            <c:numRef>
              <c:f>'Atividade Inovativa'!$B$3:$B$8</c:f>
              <c:numCache>
                <c:formatCode>#\ ###\ ###</c:formatCode>
                <c:ptCount val="6"/>
                <c:pt idx="0">
                  <c:v>188501.63492738301</c:v>
                </c:pt>
                <c:pt idx="1">
                  <c:v>384624.5294403361</c:v>
                </c:pt>
                <c:pt idx="2" formatCode="###\ ###\ ###">
                  <c:v>681285.95794427674</c:v>
                </c:pt>
                <c:pt idx="3" formatCode="###\ ###\ ###\ ###\ ###\ ###;#;_*\ \-">
                  <c:v>496399.15328114392</c:v>
                </c:pt>
                <c:pt idx="4" formatCode="###\ ###\ ###\ ###\ ###\ ###;#;_*\ \-">
                  <c:v>768454.62541860971</c:v>
                </c:pt>
                <c:pt idx="5" formatCode="###\ ###\ ###\ ###\ ###\ ###;#;_*\ \-">
                  <c:v>1746577.5170283779</c:v>
                </c:pt>
              </c:numCache>
            </c:numRef>
          </c:val>
          <c:extLst>
            <c:ext xmlns:c16="http://schemas.microsoft.com/office/drawing/2014/chart" uri="{C3380CC4-5D6E-409C-BE32-E72D297353CC}">
              <c16:uniqueId val="{00000000-7DA2-436F-870F-F1B7C19E891B}"/>
            </c:ext>
          </c:extLst>
        </c:ser>
        <c:dLbls>
          <c:showLegendKey val="0"/>
          <c:showVal val="0"/>
          <c:showCatName val="0"/>
          <c:showSerName val="0"/>
          <c:showPercent val="0"/>
          <c:showBubbleSize val="0"/>
        </c:dLbls>
        <c:gapWidth val="150"/>
        <c:axId val="93373952"/>
        <c:axId val="145343040"/>
      </c:barChart>
      <c:catAx>
        <c:axId val="93373952"/>
        <c:scaling>
          <c:orientation val="minMax"/>
        </c:scaling>
        <c:delete val="0"/>
        <c:axPos val="b"/>
        <c:title>
          <c:tx>
            <c:rich>
              <a:bodyPr/>
              <a:lstStyle/>
              <a:p>
                <a:pPr>
                  <a:defRPr/>
                </a:pPr>
                <a:r>
                  <a:rPr lang="pt-BR"/>
                  <a:t>Ano</a:t>
                </a:r>
              </a:p>
            </c:rich>
          </c:tx>
          <c:overlay val="0"/>
        </c:title>
        <c:numFmt formatCode="General" sourceLinked="1"/>
        <c:majorTickMark val="out"/>
        <c:minorTickMark val="none"/>
        <c:tickLblPos val="nextTo"/>
        <c:crossAx val="145343040"/>
        <c:crosses val="autoZero"/>
        <c:auto val="1"/>
        <c:lblAlgn val="ctr"/>
        <c:lblOffset val="100"/>
        <c:noMultiLvlLbl val="0"/>
      </c:catAx>
      <c:valAx>
        <c:axId val="145343040"/>
        <c:scaling>
          <c:orientation val="minMax"/>
        </c:scaling>
        <c:delete val="0"/>
        <c:axPos val="l"/>
        <c:numFmt formatCode="#,##0" sourceLinked="0"/>
        <c:majorTickMark val="out"/>
        <c:minorTickMark val="none"/>
        <c:tickLblPos val="nextTo"/>
        <c:crossAx val="93373952"/>
        <c:crosses val="autoZero"/>
        <c:crossBetween val="between"/>
      </c:valAx>
    </c:plotArea>
    <c:plotVisOnly val="1"/>
    <c:dispBlanksAs val="gap"/>
    <c:showDLblsOverMax val="0"/>
  </c:chart>
  <c:spPr>
    <a:ln>
      <a:solidFill>
        <a:schemeClr val="tx1"/>
      </a:solidFill>
    </a:ln>
  </c:spPr>
  <c:txPr>
    <a:bodyPr/>
    <a:lstStyle/>
    <a:p>
      <a:pPr>
        <a:defRPr>
          <a:latin typeface="Arial" pitchFamily="34" charset="0"/>
          <a:cs typeface="Arial" pitchFamily="34"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4341907261592302"/>
          <c:y val="5.1400554097404488E-2"/>
          <c:w val="0.70167891513560809"/>
          <c:h val="0.82704068241469819"/>
        </c:manualLayout>
      </c:layout>
      <c:barChart>
        <c:barDir val="col"/>
        <c:grouping val="clustered"/>
        <c:varyColors val="0"/>
        <c:ser>
          <c:idx val="0"/>
          <c:order val="0"/>
          <c:tx>
            <c:strRef>
              <c:f>'Estrutura de Financiamento'!$F$10</c:f>
              <c:strCache>
                <c:ptCount val="1"/>
                <c:pt idx="0">
                  <c:v>Privado</c:v>
                </c:pt>
              </c:strCache>
            </c:strRef>
          </c:tx>
          <c:invertIfNegative val="0"/>
          <c:dLbls>
            <c:dLbl>
              <c:idx val="0"/>
              <c:layout>
                <c:manualLayout>
                  <c:x val="-8.33333333333332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96-4F4F-8AD2-8BF63D69C926}"/>
                </c:ext>
              </c:extLst>
            </c:dLbl>
            <c:dLbl>
              <c:idx val="1"/>
              <c:layout>
                <c:manualLayout>
                  <c:x val="0"/>
                  <c:y val="-9.25925925925926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96-4F4F-8AD2-8BF63D69C926}"/>
                </c:ext>
              </c:extLst>
            </c:dLbl>
            <c:dLbl>
              <c:idx val="4"/>
              <c:layout>
                <c:manualLayout>
                  <c:x val="-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96-4F4F-8AD2-8BF63D69C926}"/>
                </c:ext>
              </c:extLst>
            </c:dLbl>
            <c:dLbl>
              <c:idx val="5"/>
              <c:layout>
                <c:manualLayout>
                  <c:x val="-1.666666666666667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96-4F4F-8AD2-8BF63D69C92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'Estrutura de Financiamento'!$A$3:$A$8</c:f>
              <c:numCache>
                <c:formatCode>General</c:formatCode>
                <c:ptCount val="6"/>
                <c:pt idx="0">
                  <c:v>2000</c:v>
                </c:pt>
                <c:pt idx="1">
                  <c:v>2003</c:v>
                </c:pt>
                <c:pt idx="2">
                  <c:v>2005</c:v>
                </c:pt>
                <c:pt idx="3">
                  <c:v>2008</c:v>
                </c:pt>
                <c:pt idx="4">
                  <c:v>2011</c:v>
                </c:pt>
                <c:pt idx="5">
                  <c:v>2014</c:v>
                </c:pt>
              </c:numCache>
            </c:numRef>
          </c:cat>
          <c:val>
            <c:numRef>
              <c:f>'Estrutura de Financiamento'!$F$11:$F$16</c:f>
              <c:numCache>
                <c:formatCode>0.0%</c:formatCode>
                <c:ptCount val="6"/>
                <c:pt idx="0">
                  <c:v>6.030150753768844E-2</c:v>
                </c:pt>
                <c:pt idx="1">
                  <c:v>2.5125628140703519E-2</c:v>
                </c:pt>
                <c:pt idx="2">
                  <c:v>4.5226130653266333E-2</c:v>
                </c:pt>
                <c:pt idx="3">
                  <c:v>0.13</c:v>
                </c:pt>
                <c:pt idx="4">
                  <c:v>6.5000000000000002E-2</c:v>
                </c:pt>
                <c:pt idx="5">
                  <c:v>8.5427135678391955E-2</c:v>
                </c:pt>
              </c:numCache>
            </c:numRef>
          </c:val>
          <c:extLst>
            <c:ext xmlns:c16="http://schemas.microsoft.com/office/drawing/2014/chart" uri="{C3380CC4-5D6E-409C-BE32-E72D297353CC}">
              <c16:uniqueId val="{00000004-0196-4F4F-8AD2-8BF63D69C926}"/>
            </c:ext>
          </c:extLst>
        </c:ser>
        <c:ser>
          <c:idx val="1"/>
          <c:order val="1"/>
          <c:tx>
            <c:strRef>
              <c:f>'Estrutura de Financiamento'!$G$10</c:f>
              <c:strCache>
                <c:ptCount val="1"/>
                <c:pt idx="0">
                  <c:v>Público</c:v>
                </c:pt>
              </c:strCache>
            </c:strRef>
          </c:tx>
          <c:invertIfNegative val="0"/>
          <c:dLbls>
            <c:dLbl>
              <c:idx val="1"/>
              <c:layout>
                <c:manualLayout>
                  <c:x val="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96-4F4F-8AD2-8BF63D69C926}"/>
                </c:ext>
              </c:extLst>
            </c:dLbl>
            <c:dLbl>
              <c:idx val="2"/>
              <c:layout>
                <c:manualLayout>
                  <c:x val="1.388888888888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96-4F4F-8AD2-8BF63D69C926}"/>
                </c:ext>
              </c:extLst>
            </c:dLbl>
            <c:dLbl>
              <c:idx val="3"/>
              <c:layout>
                <c:manualLayout>
                  <c:x val="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96-4F4F-8AD2-8BF63D69C926}"/>
                </c:ext>
              </c:extLst>
            </c:dLbl>
            <c:dLbl>
              <c:idx val="5"/>
              <c:layout>
                <c:manualLayout>
                  <c:x val="3.1061192163947086E-2"/>
                  <c:y val="-3.2128514056224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96-4F4F-8AD2-8BF63D69C92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'Estrutura de Financiamento'!$A$3:$A$8</c:f>
              <c:numCache>
                <c:formatCode>General</c:formatCode>
                <c:ptCount val="6"/>
                <c:pt idx="0">
                  <c:v>2000</c:v>
                </c:pt>
                <c:pt idx="1">
                  <c:v>2003</c:v>
                </c:pt>
                <c:pt idx="2">
                  <c:v>2005</c:v>
                </c:pt>
                <c:pt idx="3">
                  <c:v>2008</c:v>
                </c:pt>
                <c:pt idx="4">
                  <c:v>2011</c:v>
                </c:pt>
                <c:pt idx="5">
                  <c:v>2014</c:v>
                </c:pt>
              </c:numCache>
            </c:numRef>
          </c:cat>
          <c:val>
            <c:numRef>
              <c:f>'Estrutura de Financiamento'!$G$11:$G$16</c:f>
              <c:numCache>
                <c:formatCode>0.0%</c:formatCode>
                <c:ptCount val="6"/>
                <c:pt idx="0">
                  <c:v>0.16582914572864321</c:v>
                </c:pt>
                <c:pt idx="1">
                  <c:v>2.0100502512562814E-2</c:v>
                </c:pt>
                <c:pt idx="2">
                  <c:v>3.015075376884422E-2</c:v>
                </c:pt>
                <c:pt idx="3">
                  <c:v>0.06</c:v>
                </c:pt>
                <c:pt idx="4">
                  <c:v>0.125</c:v>
                </c:pt>
                <c:pt idx="5">
                  <c:v>8.5427135678391955E-2</c:v>
                </c:pt>
              </c:numCache>
            </c:numRef>
          </c:val>
          <c:extLst>
            <c:ext xmlns:c16="http://schemas.microsoft.com/office/drawing/2014/chart" uri="{C3380CC4-5D6E-409C-BE32-E72D297353CC}">
              <c16:uniqueId val="{00000009-0196-4F4F-8AD2-8BF63D69C926}"/>
            </c:ext>
          </c:extLst>
        </c:ser>
        <c:dLbls>
          <c:showLegendKey val="0"/>
          <c:showVal val="0"/>
          <c:showCatName val="0"/>
          <c:showSerName val="0"/>
          <c:showPercent val="0"/>
          <c:showBubbleSize val="0"/>
        </c:dLbls>
        <c:gapWidth val="150"/>
        <c:axId val="176305664"/>
        <c:axId val="145345344"/>
      </c:barChart>
      <c:catAx>
        <c:axId val="176305664"/>
        <c:scaling>
          <c:orientation val="minMax"/>
        </c:scaling>
        <c:delete val="0"/>
        <c:axPos val="b"/>
        <c:title>
          <c:tx>
            <c:rich>
              <a:bodyPr/>
              <a:lstStyle/>
              <a:p>
                <a:pPr>
                  <a:defRPr/>
                </a:pPr>
                <a:r>
                  <a:rPr lang="pt-BR"/>
                  <a:t>Ano</a:t>
                </a:r>
              </a:p>
            </c:rich>
          </c:tx>
          <c:layout>
            <c:manualLayout>
              <c:xMode val="edge"/>
              <c:yMode val="edge"/>
              <c:x val="0.83540571144317688"/>
              <c:y val="0.91858077981216202"/>
            </c:manualLayout>
          </c:layout>
          <c:overlay val="0"/>
        </c:title>
        <c:numFmt formatCode="General" sourceLinked="1"/>
        <c:majorTickMark val="out"/>
        <c:minorTickMark val="none"/>
        <c:tickLblPos val="nextTo"/>
        <c:crossAx val="145345344"/>
        <c:crosses val="autoZero"/>
        <c:auto val="1"/>
        <c:lblAlgn val="ctr"/>
        <c:lblOffset val="100"/>
        <c:noMultiLvlLbl val="0"/>
      </c:catAx>
      <c:valAx>
        <c:axId val="145345344"/>
        <c:scaling>
          <c:orientation val="minMax"/>
        </c:scaling>
        <c:delete val="0"/>
        <c:axPos val="l"/>
        <c:numFmt formatCode="0.0%" sourceLinked="1"/>
        <c:majorTickMark val="out"/>
        <c:minorTickMark val="none"/>
        <c:tickLblPos val="nextTo"/>
        <c:crossAx val="176305664"/>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Plan1!$B$13</c:f>
              <c:strCache>
                <c:ptCount val="1"/>
                <c:pt idx="0">
                  <c:v>PMEL</c:v>
                </c:pt>
              </c:strCache>
            </c:strRef>
          </c:tx>
          <c:spPr>
            <a:solidFill>
              <a:schemeClr val="accent1"/>
            </a:solidFill>
            <a:ln>
              <a:noFill/>
            </a:ln>
            <a:effectLst/>
          </c:spPr>
          <c:invertIfNegative val="0"/>
          <c:trendline>
            <c:spPr>
              <a:ln w="34925" cap="rnd">
                <a:solidFill>
                  <a:srgbClr val="FF0000"/>
                </a:solidFill>
                <a:prstDash val="sysDot"/>
              </a:ln>
              <a:effectLst/>
            </c:spPr>
            <c:trendlineType val="linear"/>
            <c:dispRSqr val="0"/>
            <c:dispEq val="0"/>
          </c:trendline>
          <c:cat>
            <c:numRef>
              <c:f>Plan1!$D$2:$K$2</c:f>
              <c:numCache>
                <c:formatCode>General</c:formatCode>
                <c:ptCount val="8"/>
                <c:pt idx="0">
                  <c:v>2007</c:v>
                </c:pt>
                <c:pt idx="1">
                  <c:v>2008</c:v>
                </c:pt>
                <c:pt idx="2">
                  <c:v>2009</c:v>
                </c:pt>
                <c:pt idx="3">
                  <c:v>2010</c:v>
                </c:pt>
                <c:pt idx="4">
                  <c:v>2011</c:v>
                </c:pt>
                <c:pt idx="5">
                  <c:v>2012</c:v>
                </c:pt>
                <c:pt idx="6">
                  <c:v>2013</c:v>
                </c:pt>
                <c:pt idx="7">
                  <c:v>2014</c:v>
                </c:pt>
              </c:numCache>
            </c:numRef>
          </c:cat>
          <c:val>
            <c:numRef>
              <c:f>Plan1!$D$13:$K$13</c:f>
              <c:numCache>
                <c:formatCode>0</c:formatCode>
                <c:ptCount val="8"/>
                <c:pt idx="0">
                  <c:v>1876.3407854284851</c:v>
                </c:pt>
                <c:pt idx="1">
                  <c:v>1738.0322084260451</c:v>
                </c:pt>
                <c:pt idx="2">
                  <c:v>1450.985296261181</c:v>
                </c:pt>
                <c:pt idx="3">
                  <c:v>1915.5969578393681</c:v>
                </c:pt>
                <c:pt idx="4">
                  <c:v>1874.5586056770201</c:v>
                </c:pt>
                <c:pt idx="5">
                  <c:v>1680.0818049302538</c:v>
                </c:pt>
                <c:pt idx="6">
                  <c:v>1608.0519489140459</c:v>
                </c:pt>
                <c:pt idx="7">
                  <c:v>1735.5112110665125</c:v>
                </c:pt>
              </c:numCache>
            </c:numRef>
          </c:val>
          <c:extLst>
            <c:ext xmlns:c16="http://schemas.microsoft.com/office/drawing/2014/chart" uri="{C3380CC4-5D6E-409C-BE32-E72D297353CC}">
              <c16:uniqueId val="{00000000-8CA4-41EB-8D25-B34575EC2DB9}"/>
            </c:ext>
          </c:extLst>
        </c:ser>
        <c:dLbls>
          <c:showLegendKey val="0"/>
          <c:showVal val="0"/>
          <c:showCatName val="0"/>
          <c:showSerName val="0"/>
          <c:showPercent val="0"/>
          <c:showBubbleSize val="0"/>
        </c:dLbls>
        <c:gapWidth val="219"/>
        <c:overlap val="-27"/>
        <c:axId val="101391872"/>
        <c:axId val="145347072"/>
      </c:barChart>
      <c:catAx>
        <c:axId val="10139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5347072"/>
        <c:crosses val="autoZero"/>
        <c:auto val="1"/>
        <c:lblAlgn val="ctr"/>
        <c:lblOffset val="100"/>
        <c:noMultiLvlLbl val="0"/>
      </c:catAx>
      <c:valAx>
        <c:axId val="145347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39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'Taxa de cambio efetiva real'!$C$24:$C$235</c:f>
              <c:strCache>
                <c:ptCount val="204"/>
                <c:pt idx="0">
                  <c:v>2000.01</c:v>
                </c:pt>
                <c:pt idx="1">
                  <c:v>2000.02</c:v>
                </c:pt>
                <c:pt idx="2">
                  <c:v>2000.03</c:v>
                </c:pt>
                <c:pt idx="3">
                  <c:v>2000.04</c:v>
                </c:pt>
                <c:pt idx="4">
                  <c:v>2000.05</c:v>
                </c:pt>
                <c:pt idx="5">
                  <c:v>2000.06</c:v>
                </c:pt>
                <c:pt idx="6">
                  <c:v>2000.07</c:v>
                </c:pt>
                <c:pt idx="7">
                  <c:v>2000.08</c:v>
                </c:pt>
                <c:pt idx="8">
                  <c:v>2000.09</c:v>
                </c:pt>
                <c:pt idx="9">
                  <c:v>2000.10</c:v>
                </c:pt>
                <c:pt idx="10">
                  <c:v>2000.11</c:v>
                </c:pt>
                <c:pt idx="11">
                  <c:v>2000.12</c:v>
                </c:pt>
                <c:pt idx="12">
                  <c:v>2001.01</c:v>
                </c:pt>
                <c:pt idx="13">
                  <c:v>2001.02</c:v>
                </c:pt>
                <c:pt idx="14">
                  <c:v>2001.03</c:v>
                </c:pt>
                <c:pt idx="15">
                  <c:v>2001.04</c:v>
                </c:pt>
                <c:pt idx="16">
                  <c:v>2001.05</c:v>
                </c:pt>
                <c:pt idx="17">
                  <c:v>2001.06</c:v>
                </c:pt>
                <c:pt idx="18">
                  <c:v>2001.07</c:v>
                </c:pt>
                <c:pt idx="19">
                  <c:v>2001.08</c:v>
                </c:pt>
                <c:pt idx="20">
                  <c:v>2001.09</c:v>
                </c:pt>
                <c:pt idx="21">
                  <c:v>2001.10</c:v>
                </c:pt>
                <c:pt idx="22">
                  <c:v>2001.11</c:v>
                </c:pt>
                <c:pt idx="23">
                  <c:v>2001.12</c:v>
                </c:pt>
                <c:pt idx="24">
                  <c:v>2002.01</c:v>
                </c:pt>
                <c:pt idx="25">
                  <c:v>2002.02</c:v>
                </c:pt>
                <c:pt idx="26">
                  <c:v>2002.03</c:v>
                </c:pt>
                <c:pt idx="27">
                  <c:v>2002.04</c:v>
                </c:pt>
                <c:pt idx="28">
                  <c:v>2002.05</c:v>
                </c:pt>
                <c:pt idx="29">
                  <c:v>2002.06</c:v>
                </c:pt>
                <c:pt idx="30">
                  <c:v>2002.07</c:v>
                </c:pt>
                <c:pt idx="31">
                  <c:v>2002.08</c:v>
                </c:pt>
                <c:pt idx="32">
                  <c:v>2002.09</c:v>
                </c:pt>
                <c:pt idx="33">
                  <c:v>2002.10</c:v>
                </c:pt>
                <c:pt idx="34">
                  <c:v>2002.11</c:v>
                </c:pt>
                <c:pt idx="35">
                  <c:v>2002.12</c:v>
                </c:pt>
                <c:pt idx="36">
                  <c:v>2003.01</c:v>
                </c:pt>
                <c:pt idx="37">
                  <c:v>2003.02</c:v>
                </c:pt>
                <c:pt idx="38">
                  <c:v>2003.03</c:v>
                </c:pt>
                <c:pt idx="39">
                  <c:v>2003.04</c:v>
                </c:pt>
                <c:pt idx="40">
                  <c:v>2003.05</c:v>
                </c:pt>
                <c:pt idx="41">
                  <c:v>2003.06</c:v>
                </c:pt>
                <c:pt idx="42">
                  <c:v>2003.07</c:v>
                </c:pt>
                <c:pt idx="43">
                  <c:v>2003.08</c:v>
                </c:pt>
                <c:pt idx="44">
                  <c:v>2003.09</c:v>
                </c:pt>
                <c:pt idx="45">
                  <c:v>2003.10</c:v>
                </c:pt>
                <c:pt idx="46">
                  <c:v>2003.11</c:v>
                </c:pt>
                <c:pt idx="47">
                  <c:v>2003.12</c:v>
                </c:pt>
                <c:pt idx="48">
                  <c:v>2004.01</c:v>
                </c:pt>
                <c:pt idx="49">
                  <c:v>2004.02</c:v>
                </c:pt>
                <c:pt idx="50">
                  <c:v>2004.03</c:v>
                </c:pt>
                <c:pt idx="51">
                  <c:v>2004.04</c:v>
                </c:pt>
                <c:pt idx="52">
                  <c:v>2004.05</c:v>
                </c:pt>
                <c:pt idx="53">
                  <c:v>2004.06</c:v>
                </c:pt>
                <c:pt idx="54">
                  <c:v>2004.07</c:v>
                </c:pt>
                <c:pt idx="55">
                  <c:v>2004.08</c:v>
                </c:pt>
                <c:pt idx="56">
                  <c:v>2004.09</c:v>
                </c:pt>
                <c:pt idx="57">
                  <c:v>2004.10</c:v>
                </c:pt>
                <c:pt idx="58">
                  <c:v>2004.11</c:v>
                </c:pt>
                <c:pt idx="59">
                  <c:v>2004.12</c:v>
                </c:pt>
                <c:pt idx="60">
                  <c:v>2005.01</c:v>
                </c:pt>
                <c:pt idx="61">
                  <c:v>2005.02</c:v>
                </c:pt>
                <c:pt idx="62">
                  <c:v>2005.03</c:v>
                </c:pt>
                <c:pt idx="63">
                  <c:v>2005.04</c:v>
                </c:pt>
                <c:pt idx="64">
                  <c:v>2005.05</c:v>
                </c:pt>
                <c:pt idx="65">
                  <c:v>2005.06</c:v>
                </c:pt>
                <c:pt idx="66">
                  <c:v>2005.07</c:v>
                </c:pt>
                <c:pt idx="67">
                  <c:v>2005.08</c:v>
                </c:pt>
                <c:pt idx="68">
                  <c:v>2005.09</c:v>
                </c:pt>
                <c:pt idx="69">
                  <c:v>2005.10</c:v>
                </c:pt>
                <c:pt idx="70">
                  <c:v>2005.11</c:v>
                </c:pt>
                <c:pt idx="71">
                  <c:v>2005.12</c:v>
                </c:pt>
                <c:pt idx="72">
                  <c:v>2006.01</c:v>
                </c:pt>
                <c:pt idx="73">
                  <c:v>2006.02</c:v>
                </c:pt>
                <c:pt idx="74">
                  <c:v>2006.03</c:v>
                </c:pt>
                <c:pt idx="75">
                  <c:v>2006.04</c:v>
                </c:pt>
                <c:pt idx="76">
                  <c:v>2006.05</c:v>
                </c:pt>
                <c:pt idx="77">
                  <c:v>2006.06</c:v>
                </c:pt>
                <c:pt idx="78">
                  <c:v>2006.07</c:v>
                </c:pt>
                <c:pt idx="79">
                  <c:v>2006.08</c:v>
                </c:pt>
                <c:pt idx="80">
                  <c:v>2006.09</c:v>
                </c:pt>
                <c:pt idx="81">
                  <c:v>2006.10</c:v>
                </c:pt>
                <c:pt idx="82">
                  <c:v>2006.11</c:v>
                </c:pt>
                <c:pt idx="83">
                  <c:v>2006.12</c:v>
                </c:pt>
                <c:pt idx="84">
                  <c:v>2007.01</c:v>
                </c:pt>
                <c:pt idx="85">
                  <c:v>2007.02</c:v>
                </c:pt>
                <c:pt idx="86">
                  <c:v>2007.03</c:v>
                </c:pt>
                <c:pt idx="87">
                  <c:v>2007.04</c:v>
                </c:pt>
                <c:pt idx="88">
                  <c:v>2007.05</c:v>
                </c:pt>
                <c:pt idx="89">
                  <c:v>2007.06</c:v>
                </c:pt>
                <c:pt idx="90">
                  <c:v>2007.07</c:v>
                </c:pt>
                <c:pt idx="91">
                  <c:v>2007.08</c:v>
                </c:pt>
                <c:pt idx="92">
                  <c:v>2007.09</c:v>
                </c:pt>
                <c:pt idx="93">
                  <c:v>2007.10</c:v>
                </c:pt>
                <c:pt idx="94">
                  <c:v>2007.11</c:v>
                </c:pt>
                <c:pt idx="95">
                  <c:v>2007.12</c:v>
                </c:pt>
                <c:pt idx="96">
                  <c:v>2008.01</c:v>
                </c:pt>
                <c:pt idx="97">
                  <c:v>2008.02</c:v>
                </c:pt>
                <c:pt idx="98">
                  <c:v>2008.03</c:v>
                </c:pt>
                <c:pt idx="99">
                  <c:v>2008.04</c:v>
                </c:pt>
                <c:pt idx="100">
                  <c:v>2008.05</c:v>
                </c:pt>
                <c:pt idx="101">
                  <c:v>2008.06</c:v>
                </c:pt>
                <c:pt idx="102">
                  <c:v>2008.07</c:v>
                </c:pt>
                <c:pt idx="103">
                  <c:v>2008.08</c:v>
                </c:pt>
                <c:pt idx="104">
                  <c:v>2008.09</c:v>
                </c:pt>
                <c:pt idx="105">
                  <c:v>2008.10</c:v>
                </c:pt>
                <c:pt idx="106">
                  <c:v>2008.11</c:v>
                </c:pt>
                <c:pt idx="107">
                  <c:v>2008.12</c:v>
                </c:pt>
                <c:pt idx="108">
                  <c:v>2009.01</c:v>
                </c:pt>
                <c:pt idx="109">
                  <c:v>2009.02</c:v>
                </c:pt>
                <c:pt idx="110">
                  <c:v>2009.03</c:v>
                </c:pt>
                <c:pt idx="111">
                  <c:v>2009.04</c:v>
                </c:pt>
                <c:pt idx="112">
                  <c:v>2009.05</c:v>
                </c:pt>
                <c:pt idx="113">
                  <c:v>2009.06</c:v>
                </c:pt>
                <c:pt idx="114">
                  <c:v>2009.07</c:v>
                </c:pt>
                <c:pt idx="115">
                  <c:v>2009.08</c:v>
                </c:pt>
                <c:pt idx="116">
                  <c:v>2009.09</c:v>
                </c:pt>
                <c:pt idx="117">
                  <c:v>2009.10</c:v>
                </c:pt>
                <c:pt idx="118">
                  <c:v>2009.11</c:v>
                </c:pt>
                <c:pt idx="119">
                  <c:v>2009.12</c:v>
                </c:pt>
                <c:pt idx="120">
                  <c:v>2010.01</c:v>
                </c:pt>
                <c:pt idx="121">
                  <c:v>2010.02</c:v>
                </c:pt>
                <c:pt idx="122">
                  <c:v>2010.03</c:v>
                </c:pt>
                <c:pt idx="123">
                  <c:v>2010.04</c:v>
                </c:pt>
                <c:pt idx="124">
                  <c:v>2010.05</c:v>
                </c:pt>
                <c:pt idx="125">
                  <c:v>2010.06</c:v>
                </c:pt>
                <c:pt idx="126">
                  <c:v>2010.07</c:v>
                </c:pt>
                <c:pt idx="127">
                  <c:v>2010.08</c:v>
                </c:pt>
                <c:pt idx="128">
                  <c:v>2010.09</c:v>
                </c:pt>
                <c:pt idx="129">
                  <c:v>2010.10</c:v>
                </c:pt>
                <c:pt idx="130">
                  <c:v>2010.11</c:v>
                </c:pt>
                <c:pt idx="131">
                  <c:v>2010.12</c:v>
                </c:pt>
                <c:pt idx="132">
                  <c:v>2011.01</c:v>
                </c:pt>
                <c:pt idx="133">
                  <c:v>2011.02</c:v>
                </c:pt>
                <c:pt idx="134">
                  <c:v>2011.03</c:v>
                </c:pt>
                <c:pt idx="135">
                  <c:v>2011.04</c:v>
                </c:pt>
                <c:pt idx="136">
                  <c:v>2011.05</c:v>
                </c:pt>
                <c:pt idx="137">
                  <c:v>2011.06</c:v>
                </c:pt>
                <c:pt idx="138">
                  <c:v>2011.07</c:v>
                </c:pt>
                <c:pt idx="139">
                  <c:v>2011.08</c:v>
                </c:pt>
                <c:pt idx="140">
                  <c:v>2011.09</c:v>
                </c:pt>
                <c:pt idx="141">
                  <c:v>2011.10</c:v>
                </c:pt>
                <c:pt idx="142">
                  <c:v>2011.11</c:v>
                </c:pt>
                <c:pt idx="143">
                  <c:v>2011.12</c:v>
                </c:pt>
                <c:pt idx="144">
                  <c:v>2012.01</c:v>
                </c:pt>
                <c:pt idx="145">
                  <c:v>2012.02</c:v>
                </c:pt>
                <c:pt idx="146">
                  <c:v>2012.03</c:v>
                </c:pt>
                <c:pt idx="147">
                  <c:v>2012.04</c:v>
                </c:pt>
                <c:pt idx="148">
                  <c:v>2012.05</c:v>
                </c:pt>
                <c:pt idx="149">
                  <c:v>2012.06</c:v>
                </c:pt>
                <c:pt idx="150">
                  <c:v>2012.07</c:v>
                </c:pt>
                <c:pt idx="151">
                  <c:v>2012.08</c:v>
                </c:pt>
                <c:pt idx="152">
                  <c:v>2012.09</c:v>
                </c:pt>
                <c:pt idx="153">
                  <c:v>2012.10</c:v>
                </c:pt>
                <c:pt idx="154">
                  <c:v>2012.11</c:v>
                </c:pt>
                <c:pt idx="155">
                  <c:v>2012.12</c:v>
                </c:pt>
                <c:pt idx="156">
                  <c:v>2013.01</c:v>
                </c:pt>
                <c:pt idx="157">
                  <c:v>2013.02</c:v>
                </c:pt>
                <c:pt idx="158">
                  <c:v>2013.03</c:v>
                </c:pt>
                <c:pt idx="159">
                  <c:v>2013.04</c:v>
                </c:pt>
                <c:pt idx="160">
                  <c:v>2013.05</c:v>
                </c:pt>
                <c:pt idx="161">
                  <c:v>2013.06</c:v>
                </c:pt>
                <c:pt idx="162">
                  <c:v>2013.07</c:v>
                </c:pt>
                <c:pt idx="163">
                  <c:v>2013.08</c:v>
                </c:pt>
                <c:pt idx="164">
                  <c:v>2013.09</c:v>
                </c:pt>
                <c:pt idx="165">
                  <c:v>2013.10</c:v>
                </c:pt>
                <c:pt idx="166">
                  <c:v>2013.11</c:v>
                </c:pt>
                <c:pt idx="167">
                  <c:v>2013.12</c:v>
                </c:pt>
                <c:pt idx="168">
                  <c:v>2014.01</c:v>
                </c:pt>
                <c:pt idx="169">
                  <c:v>2014.02</c:v>
                </c:pt>
                <c:pt idx="170">
                  <c:v>2014.03</c:v>
                </c:pt>
                <c:pt idx="171">
                  <c:v>2014.04</c:v>
                </c:pt>
                <c:pt idx="172">
                  <c:v>2014.05</c:v>
                </c:pt>
                <c:pt idx="173">
                  <c:v>2014.06</c:v>
                </c:pt>
                <c:pt idx="174">
                  <c:v>2014.07</c:v>
                </c:pt>
                <c:pt idx="175">
                  <c:v>2014.08</c:v>
                </c:pt>
                <c:pt idx="176">
                  <c:v>2014.09</c:v>
                </c:pt>
                <c:pt idx="177">
                  <c:v>2014.10</c:v>
                </c:pt>
                <c:pt idx="178">
                  <c:v>2014.11</c:v>
                </c:pt>
                <c:pt idx="179">
                  <c:v>2014.12</c:v>
                </c:pt>
                <c:pt idx="180">
                  <c:v>2015.01</c:v>
                </c:pt>
                <c:pt idx="181">
                  <c:v>2015.02</c:v>
                </c:pt>
                <c:pt idx="182">
                  <c:v>2015.03</c:v>
                </c:pt>
                <c:pt idx="183">
                  <c:v>2015.04</c:v>
                </c:pt>
                <c:pt idx="184">
                  <c:v>2015.05</c:v>
                </c:pt>
                <c:pt idx="185">
                  <c:v>2015.06</c:v>
                </c:pt>
                <c:pt idx="186">
                  <c:v>2015.07</c:v>
                </c:pt>
                <c:pt idx="187">
                  <c:v>2015.08</c:v>
                </c:pt>
                <c:pt idx="188">
                  <c:v>2015.09</c:v>
                </c:pt>
                <c:pt idx="189">
                  <c:v>2015.10</c:v>
                </c:pt>
                <c:pt idx="190">
                  <c:v>2015.11</c:v>
                </c:pt>
                <c:pt idx="191">
                  <c:v>2015.12</c:v>
                </c:pt>
                <c:pt idx="192">
                  <c:v>2016.01</c:v>
                </c:pt>
                <c:pt idx="193">
                  <c:v>2016.02</c:v>
                </c:pt>
                <c:pt idx="194">
                  <c:v>2016.03</c:v>
                </c:pt>
                <c:pt idx="195">
                  <c:v>2016.04</c:v>
                </c:pt>
                <c:pt idx="196">
                  <c:v>2016.05</c:v>
                </c:pt>
                <c:pt idx="197">
                  <c:v>2016.06</c:v>
                </c:pt>
                <c:pt idx="198">
                  <c:v>2016.07</c:v>
                </c:pt>
                <c:pt idx="199">
                  <c:v>2016.08</c:v>
                </c:pt>
                <c:pt idx="200">
                  <c:v>2016.09</c:v>
                </c:pt>
                <c:pt idx="201">
                  <c:v>2016.10</c:v>
                </c:pt>
                <c:pt idx="202">
                  <c:v>2016.11</c:v>
                </c:pt>
                <c:pt idx="203">
                  <c:v>2016.12</c:v>
                </c:pt>
              </c:strCache>
            </c:strRef>
          </c:cat>
          <c:val>
            <c:numRef>
              <c:f>'Taxa de cambio efetiva real'!$D$24:$D$235</c:f>
              <c:numCache>
                <c:formatCode>General</c:formatCode>
                <c:ptCount val="212"/>
                <c:pt idx="0">
                  <c:v>328.62</c:v>
                </c:pt>
                <c:pt idx="1">
                  <c:v>299.57</c:v>
                </c:pt>
                <c:pt idx="2">
                  <c:v>302.74</c:v>
                </c:pt>
                <c:pt idx="3">
                  <c:v>305.22000000000003</c:v>
                </c:pt>
                <c:pt idx="4">
                  <c:v>302.88</c:v>
                </c:pt>
                <c:pt idx="5">
                  <c:v>307.20999999999998</c:v>
                </c:pt>
                <c:pt idx="6">
                  <c:v>285.89999999999998</c:v>
                </c:pt>
                <c:pt idx="7">
                  <c:v>283.16000000000003</c:v>
                </c:pt>
                <c:pt idx="8">
                  <c:v>277.95999999999998</c:v>
                </c:pt>
                <c:pt idx="9">
                  <c:v>269.58</c:v>
                </c:pt>
                <c:pt idx="10">
                  <c:v>286.07</c:v>
                </c:pt>
                <c:pt idx="11">
                  <c:v>290.45</c:v>
                </c:pt>
                <c:pt idx="12">
                  <c:v>280.01</c:v>
                </c:pt>
                <c:pt idx="13">
                  <c:v>278.16000000000003</c:v>
                </c:pt>
                <c:pt idx="14">
                  <c:v>285.99</c:v>
                </c:pt>
                <c:pt idx="15">
                  <c:v>294.39999999999998</c:v>
                </c:pt>
                <c:pt idx="16">
                  <c:v>301.82</c:v>
                </c:pt>
                <c:pt idx="17">
                  <c:v>305.82</c:v>
                </c:pt>
                <c:pt idx="18">
                  <c:v>315.23</c:v>
                </c:pt>
                <c:pt idx="19">
                  <c:v>329.21</c:v>
                </c:pt>
                <c:pt idx="20">
                  <c:v>348.7</c:v>
                </c:pt>
                <c:pt idx="21">
                  <c:v>352.01</c:v>
                </c:pt>
                <c:pt idx="22">
                  <c:v>332.25</c:v>
                </c:pt>
                <c:pt idx="23">
                  <c:v>316.73</c:v>
                </c:pt>
                <c:pt idx="24">
                  <c:v>318.63</c:v>
                </c:pt>
                <c:pt idx="25">
                  <c:v>331.07</c:v>
                </c:pt>
                <c:pt idx="26">
                  <c:v>322.07</c:v>
                </c:pt>
                <c:pt idx="27">
                  <c:v>320.18</c:v>
                </c:pt>
                <c:pt idx="28">
                  <c:v>349.75</c:v>
                </c:pt>
                <c:pt idx="29">
                  <c:v>371.69</c:v>
                </c:pt>
                <c:pt idx="30">
                  <c:v>397.7</c:v>
                </c:pt>
                <c:pt idx="31">
                  <c:v>411.78</c:v>
                </c:pt>
                <c:pt idx="32">
                  <c:v>434.01</c:v>
                </c:pt>
                <c:pt idx="33">
                  <c:v>483.35</c:v>
                </c:pt>
                <c:pt idx="34">
                  <c:v>460.9</c:v>
                </c:pt>
                <c:pt idx="35">
                  <c:v>467.37</c:v>
                </c:pt>
                <c:pt idx="36">
                  <c:v>443.64</c:v>
                </c:pt>
                <c:pt idx="37">
                  <c:v>445.09</c:v>
                </c:pt>
                <c:pt idx="38">
                  <c:v>394.85</c:v>
                </c:pt>
                <c:pt idx="39">
                  <c:v>373.91</c:v>
                </c:pt>
                <c:pt idx="40">
                  <c:v>372.81</c:v>
                </c:pt>
                <c:pt idx="41">
                  <c:v>361.24</c:v>
                </c:pt>
                <c:pt idx="42">
                  <c:v>348.27</c:v>
                </c:pt>
                <c:pt idx="43">
                  <c:v>365.27</c:v>
                </c:pt>
                <c:pt idx="44">
                  <c:v>348.88</c:v>
                </c:pt>
                <c:pt idx="45">
                  <c:v>341.65</c:v>
                </c:pt>
                <c:pt idx="46">
                  <c:v>352.52</c:v>
                </c:pt>
                <c:pt idx="47">
                  <c:v>341.02</c:v>
                </c:pt>
                <c:pt idx="48">
                  <c:v>337.33</c:v>
                </c:pt>
                <c:pt idx="49">
                  <c:v>335.47</c:v>
                </c:pt>
                <c:pt idx="50">
                  <c:v>299.36</c:v>
                </c:pt>
                <c:pt idx="51">
                  <c:v>287.76</c:v>
                </c:pt>
                <c:pt idx="52">
                  <c:v>303.73</c:v>
                </c:pt>
                <c:pt idx="53">
                  <c:v>307.64999999999998</c:v>
                </c:pt>
                <c:pt idx="54">
                  <c:v>292.89999999999998</c:v>
                </c:pt>
                <c:pt idx="55">
                  <c:v>286.18</c:v>
                </c:pt>
                <c:pt idx="56">
                  <c:v>283.11</c:v>
                </c:pt>
                <c:pt idx="57">
                  <c:v>279.85000000000002</c:v>
                </c:pt>
                <c:pt idx="58">
                  <c:v>278.99</c:v>
                </c:pt>
                <c:pt idx="59">
                  <c:v>277.07</c:v>
                </c:pt>
                <c:pt idx="60">
                  <c:v>275.68</c:v>
                </c:pt>
                <c:pt idx="61">
                  <c:v>276.83</c:v>
                </c:pt>
                <c:pt idx="62">
                  <c:v>286.51</c:v>
                </c:pt>
                <c:pt idx="63">
                  <c:v>234.76</c:v>
                </c:pt>
                <c:pt idx="64">
                  <c:v>216.93</c:v>
                </c:pt>
                <c:pt idx="65">
                  <c:v>215.17</c:v>
                </c:pt>
                <c:pt idx="66">
                  <c:v>211.31</c:v>
                </c:pt>
                <c:pt idx="67">
                  <c:v>212.56</c:v>
                </c:pt>
                <c:pt idx="68">
                  <c:v>207.05</c:v>
                </c:pt>
                <c:pt idx="69">
                  <c:v>205.86</c:v>
                </c:pt>
                <c:pt idx="70">
                  <c:v>200.27</c:v>
                </c:pt>
                <c:pt idx="71">
                  <c:v>202.32</c:v>
                </c:pt>
                <c:pt idx="72">
                  <c:v>195.15</c:v>
                </c:pt>
                <c:pt idx="73">
                  <c:v>188.13</c:v>
                </c:pt>
                <c:pt idx="74">
                  <c:v>197.27</c:v>
                </c:pt>
                <c:pt idx="75">
                  <c:v>193.6</c:v>
                </c:pt>
                <c:pt idx="76">
                  <c:v>187.08</c:v>
                </c:pt>
                <c:pt idx="77">
                  <c:v>170.78</c:v>
                </c:pt>
                <c:pt idx="78">
                  <c:v>157.99</c:v>
                </c:pt>
                <c:pt idx="79">
                  <c:v>154.62</c:v>
                </c:pt>
                <c:pt idx="80">
                  <c:v>158.91</c:v>
                </c:pt>
                <c:pt idx="81">
                  <c:v>156.37</c:v>
                </c:pt>
                <c:pt idx="82">
                  <c:v>158.06</c:v>
                </c:pt>
                <c:pt idx="83">
                  <c:v>157.4</c:v>
                </c:pt>
                <c:pt idx="84">
                  <c:v>147.91</c:v>
                </c:pt>
                <c:pt idx="85">
                  <c:v>146.72</c:v>
                </c:pt>
                <c:pt idx="86">
                  <c:v>145.35</c:v>
                </c:pt>
                <c:pt idx="87">
                  <c:v>139.79</c:v>
                </c:pt>
                <c:pt idx="88">
                  <c:v>139.86000000000001</c:v>
                </c:pt>
                <c:pt idx="89">
                  <c:v>139.34</c:v>
                </c:pt>
                <c:pt idx="90">
                  <c:v>143.15</c:v>
                </c:pt>
                <c:pt idx="91">
                  <c:v>152.16999999999999</c:v>
                </c:pt>
                <c:pt idx="92">
                  <c:v>146.06</c:v>
                </c:pt>
                <c:pt idx="93">
                  <c:v>142.41999999999999</c:v>
                </c:pt>
                <c:pt idx="94">
                  <c:v>149.97</c:v>
                </c:pt>
                <c:pt idx="95">
                  <c:v>155.66999999999999</c:v>
                </c:pt>
                <c:pt idx="96">
                  <c:v>157.49</c:v>
                </c:pt>
                <c:pt idx="97">
                  <c:v>152.41</c:v>
                </c:pt>
                <c:pt idx="98">
                  <c:v>145.91</c:v>
                </c:pt>
                <c:pt idx="99">
                  <c:v>130.75</c:v>
                </c:pt>
                <c:pt idx="100">
                  <c:v>118.1</c:v>
                </c:pt>
                <c:pt idx="101">
                  <c:v>116.14</c:v>
                </c:pt>
                <c:pt idx="102">
                  <c:v>118.07</c:v>
                </c:pt>
                <c:pt idx="103">
                  <c:v>116.37</c:v>
                </c:pt>
                <c:pt idx="104">
                  <c:v>122.09</c:v>
                </c:pt>
                <c:pt idx="105">
                  <c:v>121.22</c:v>
                </c:pt>
                <c:pt idx="106">
                  <c:v>113.96</c:v>
                </c:pt>
                <c:pt idx="107">
                  <c:v>116.57</c:v>
                </c:pt>
                <c:pt idx="108">
                  <c:v>114.01</c:v>
                </c:pt>
                <c:pt idx="109">
                  <c:v>112.5</c:v>
                </c:pt>
                <c:pt idx="110">
                  <c:v>111.88</c:v>
                </c:pt>
                <c:pt idx="111">
                  <c:v>112.82</c:v>
                </c:pt>
                <c:pt idx="112">
                  <c:v>111.63</c:v>
                </c:pt>
                <c:pt idx="113">
                  <c:v>120.12</c:v>
                </c:pt>
                <c:pt idx="114">
                  <c:v>134.6</c:v>
                </c:pt>
                <c:pt idx="115">
                  <c:v>137.16</c:v>
                </c:pt>
                <c:pt idx="116">
                  <c:v>137.63</c:v>
                </c:pt>
                <c:pt idx="117">
                  <c:v>138.85</c:v>
                </c:pt>
                <c:pt idx="118">
                  <c:v>140.01</c:v>
                </c:pt>
                <c:pt idx="119">
                  <c:v>141.46</c:v>
                </c:pt>
                <c:pt idx="120">
                  <c:v>144.97999999999999</c:v>
                </c:pt>
                <c:pt idx="121">
                  <c:v>143.37</c:v>
                </c:pt>
                <c:pt idx="122">
                  <c:v>144.85</c:v>
                </c:pt>
                <c:pt idx="123">
                  <c:v>144.69999999999999</c:v>
                </c:pt>
                <c:pt idx="124">
                  <c:v>87.47</c:v>
                </c:pt>
                <c:pt idx="125">
                  <c:v>81.88</c:v>
                </c:pt>
                <c:pt idx="126">
                  <c:v>76.430000000000007</c:v>
                </c:pt>
                <c:pt idx="127">
                  <c:v>69.23</c:v>
                </c:pt>
                <c:pt idx="128">
                  <c:v>69.97</c:v>
                </c:pt>
                <c:pt idx="129">
                  <c:v>74.260000000000005</c:v>
                </c:pt>
                <c:pt idx="130">
                  <c:v>81.56</c:v>
                </c:pt>
                <c:pt idx="131">
                  <c:v>81.3</c:v>
                </c:pt>
                <c:pt idx="132">
                  <c:v>76.459999999999994</c:v>
                </c:pt>
                <c:pt idx="133">
                  <c:v>75.45</c:v>
                </c:pt>
                <c:pt idx="134">
                  <c:v>76.349999999999994</c:v>
                </c:pt>
                <c:pt idx="135">
                  <c:v>71.930000000000007</c:v>
                </c:pt>
                <c:pt idx="136">
                  <c:v>67.44</c:v>
                </c:pt>
                <c:pt idx="137">
                  <c:v>64.63</c:v>
                </c:pt>
                <c:pt idx="138">
                  <c:v>64.88</c:v>
                </c:pt>
                <c:pt idx="139">
                  <c:v>65.489999999999995</c:v>
                </c:pt>
                <c:pt idx="140">
                  <c:v>68.849999999999994</c:v>
                </c:pt>
                <c:pt idx="141">
                  <c:v>65.989999999999995</c:v>
                </c:pt>
                <c:pt idx="142">
                  <c:v>66.599999999999994</c:v>
                </c:pt>
                <c:pt idx="143">
                  <c:v>73.06</c:v>
                </c:pt>
                <c:pt idx="144">
                  <c:v>74.47</c:v>
                </c:pt>
                <c:pt idx="145">
                  <c:v>73.89</c:v>
                </c:pt>
                <c:pt idx="146">
                  <c:v>76.849999999999994</c:v>
                </c:pt>
                <c:pt idx="147">
                  <c:v>78.66</c:v>
                </c:pt>
                <c:pt idx="148">
                  <c:v>80.83</c:v>
                </c:pt>
                <c:pt idx="149">
                  <c:v>80.28</c:v>
                </c:pt>
                <c:pt idx="150">
                  <c:v>78.989999999999995</c:v>
                </c:pt>
                <c:pt idx="151">
                  <c:v>82.27</c:v>
                </c:pt>
                <c:pt idx="152">
                  <c:v>86.81</c:v>
                </c:pt>
                <c:pt idx="153">
                  <c:v>92.63</c:v>
                </c:pt>
                <c:pt idx="154">
                  <c:v>95.86</c:v>
                </c:pt>
                <c:pt idx="155">
                  <c:v>95.58</c:v>
                </c:pt>
                <c:pt idx="156">
                  <c:v>91.65</c:v>
                </c:pt>
                <c:pt idx="157">
                  <c:v>85.64</c:v>
                </c:pt>
                <c:pt idx="158">
                  <c:v>80.19</c:v>
                </c:pt>
                <c:pt idx="159">
                  <c:v>75.209999999999994</c:v>
                </c:pt>
                <c:pt idx="160">
                  <c:v>73.89</c:v>
                </c:pt>
                <c:pt idx="161">
                  <c:v>80.680000000000007</c:v>
                </c:pt>
                <c:pt idx="162">
                  <c:v>86.68</c:v>
                </c:pt>
                <c:pt idx="163">
                  <c:v>90.74</c:v>
                </c:pt>
                <c:pt idx="164">
                  <c:v>84.55</c:v>
                </c:pt>
                <c:pt idx="165">
                  <c:v>77.88</c:v>
                </c:pt>
                <c:pt idx="166">
                  <c:v>80.680000000000007</c:v>
                </c:pt>
                <c:pt idx="167">
                  <c:v>81.84</c:v>
                </c:pt>
                <c:pt idx="168">
                  <c:v>81.75</c:v>
                </c:pt>
                <c:pt idx="169">
                  <c:v>82.62</c:v>
                </c:pt>
                <c:pt idx="170">
                  <c:v>82.2</c:v>
                </c:pt>
                <c:pt idx="171">
                  <c:v>82.98</c:v>
                </c:pt>
                <c:pt idx="172">
                  <c:v>87.51</c:v>
                </c:pt>
                <c:pt idx="173">
                  <c:v>92.27</c:v>
                </c:pt>
                <c:pt idx="174">
                  <c:v>97.33</c:v>
                </c:pt>
                <c:pt idx="175">
                  <c:v>104.1</c:v>
                </c:pt>
                <c:pt idx="176">
                  <c:v>111.53</c:v>
                </c:pt>
                <c:pt idx="177">
                  <c:v>121.07</c:v>
                </c:pt>
                <c:pt idx="178">
                  <c:v>129.87</c:v>
                </c:pt>
                <c:pt idx="179">
                  <c:v>140.34</c:v>
                </c:pt>
                <c:pt idx="180">
                  <c:v>143.83000000000001</c:v>
                </c:pt>
                <c:pt idx="181">
                  <c:v>156.63</c:v>
                </c:pt>
                <c:pt idx="182">
                  <c:v>168.64</c:v>
                </c:pt>
                <c:pt idx="183">
                  <c:v>159.06</c:v>
                </c:pt>
                <c:pt idx="184">
                  <c:v>154.75</c:v>
                </c:pt>
                <c:pt idx="185">
                  <c:v>147.12</c:v>
                </c:pt>
                <c:pt idx="186">
                  <c:v>151.94999999999999</c:v>
                </c:pt>
                <c:pt idx="187">
                  <c:v>165.64</c:v>
                </c:pt>
                <c:pt idx="188">
                  <c:v>178.26</c:v>
                </c:pt>
                <c:pt idx="189">
                  <c:v>171.57</c:v>
                </c:pt>
                <c:pt idx="190">
                  <c:v>171.37</c:v>
                </c:pt>
                <c:pt idx="191">
                  <c:v>188.19</c:v>
                </c:pt>
                <c:pt idx="192">
                  <c:v>200.24</c:v>
                </c:pt>
                <c:pt idx="193">
                  <c:v>199.89</c:v>
                </c:pt>
                <c:pt idx="194">
                  <c:v>176</c:v>
                </c:pt>
                <c:pt idx="195">
                  <c:v>163.44999999999999</c:v>
                </c:pt>
                <c:pt idx="196">
                  <c:v>158.61000000000001</c:v>
                </c:pt>
                <c:pt idx="197">
                  <c:v>164.02</c:v>
                </c:pt>
                <c:pt idx="198">
                  <c:v>165.21</c:v>
                </c:pt>
                <c:pt idx="199">
                  <c:v>154.84</c:v>
                </c:pt>
                <c:pt idx="200">
                  <c:v>149.03</c:v>
                </c:pt>
                <c:pt idx="201">
                  <c:v>141.27000000000001</c:v>
                </c:pt>
                <c:pt idx="202">
                  <c:v>132.6</c:v>
                </c:pt>
                <c:pt idx="203">
                  <c:v>112.99</c:v>
                </c:pt>
              </c:numCache>
            </c:numRef>
          </c:val>
          <c:smooth val="0"/>
          <c:extLst>
            <c:ext xmlns:c16="http://schemas.microsoft.com/office/drawing/2014/chart" uri="{C3380CC4-5D6E-409C-BE32-E72D297353CC}">
              <c16:uniqueId val="{00000000-E124-4A40-9830-C4ADD6D99B97}"/>
            </c:ext>
          </c:extLst>
        </c:ser>
        <c:dLbls>
          <c:showLegendKey val="0"/>
          <c:showVal val="0"/>
          <c:showCatName val="0"/>
          <c:showSerName val="0"/>
          <c:showPercent val="0"/>
          <c:showBubbleSize val="0"/>
        </c:dLbls>
        <c:smooth val="0"/>
        <c:axId val="164462592"/>
        <c:axId val="145348800"/>
      </c:lineChart>
      <c:catAx>
        <c:axId val="16446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5348800"/>
        <c:crosses val="autoZero"/>
        <c:auto val="1"/>
        <c:lblAlgn val="ctr"/>
        <c:lblOffset val="100"/>
        <c:noMultiLvlLbl val="0"/>
      </c:catAx>
      <c:valAx>
        <c:axId val="14534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446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9380-A197-4768-A26B-F45A1A30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6574</Words>
  <Characters>35502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dc:creator>
  <cp:lastModifiedBy>Álvaro</cp:lastModifiedBy>
  <cp:revision>2</cp:revision>
  <cp:lastPrinted>2018-03-31T14:02:00Z</cp:lastPrinted>
  <dcterms:created xsi:type="dcterms:W3CDTF">2018-10-01T18:09:00Z</dcterms:created>
  <dcterms:modified xsi:type="dcterms:W3CDTF">2018-10-01T18:09:00Z</dcterms:modified>
</cp:coreProperties>
</file>