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B7" w:rsidRDefault="00F850B7" w:rsidP="00F850B7">
      <w:pPr>
        <w:keepNext/>
        <w:keepLines/>
        <w:spacing w:before="0" w:after="120" w:line="240" w:lineRule="auto"/>
        <w:ind w:firstLine="0"/>
        <w:outlineLvl w:val="0"/>
        <w:rPr>
          <w:rFonts w:ascii="Tahoma" w:eastAsia="Times New Roman" w:hAnsi="Tahoma" w:cs="Tahoma"/>
          <w:b/>
          <w:color w:val="393F6D"/>
          <w:sz w:val="32"/>
          <w:szCs w:val="32"/>
        </w:rPr>
      </w:pPr>
      <w:bookmarkStart w:id="0" w:name="_Toc536798973"/>
      <w:r w:rsidRPr="00515014">
        <w:rPr>
          <w:rFonts w:ascii="Tahoma" w:eastAsia="Times New Roman" w:hAnsi="Tahoma" w:cs="Tahoma"/>
          <w:b/>
          <w:color w:val="393F6D"/>
          <w:sz w:val="32"/>
          <w:szCs w:val="32"/>
        </w:rPr>
        <w:t>Dissertações Defendidas pelos Discentes do PEPG em Economia Política da PUC-SP</w:t>
      </w:r>
      <w:bookmarkEnd w:id="0"/>
    </w:p>
    <w:p w:rsidR="00F850B7" w:rsidRPr="00DE66E6" w:rsidRDefault="00F850B7" w:rsidP="00F850B7">
      <w:pPr>
        <w:pStyle w:val="SemEspaamento"/>
        <w:rPr>
          <w:lang w:val="pt-BR"/>
        </w:rPr>
      </w:pPr>
    </w:p>
    <w:p w:rsidR="00BF5235" w:rsidRPr="00BF5235" w:rsidRDefault="00BF5235" w:rsidP="00BF5235">
      <w:pPr>
        <w:pStyle w:val="Ttulo3"/>
        <w:spacing w:before="120" w:after="120" w:line="240" w:lineRule="auto"/>
        <w:ind w:firstLine="0"/>
        <w:rPr>
          <w:rFonts w:ascii="Tahoma" w:hAnsi="Tahoma"/>
          <w:b/>
          <w:color w:val="393F6D"/>
        </w:rPr>
      </w:pPr>
      <w:bookmarkStart w:id="1" w:name="_Toc536798974"/>
      <w:bookmarkStart w:id="2" w:name="_Toc518644586"/>
      <w:r w:rsidRPr="00BF5235">
        <w:rPr>
          <w:rFonts w:ascii="Tahoma" w:hAnsi="Tahoma"/>
          <w:b/>
          <w:color w:val="393F6D"/>
        </w:rPr>
        <w:t>André́ Bologna de Castro Cardoso</w:t>
      </w:r>
      <w:bookmarkEnd w:id="1"/>
      <w:r w:rsidRPr="00BF5235">
        <w:rPr>
          <w:rFonts w:ascii="Tahoma" w:hAnsi="Tahoma"/>
          <w:b/>
          <w:color w:val="393F6D"/>
        </w:rPr>
        <w:t xml:space="preserve"> </w:t>
      </w:r>
    </w:p>
    <w:p w:rsidR="00BF5235" w:rsidRPr="00BF5235" w:rsidRDefault="00BF5235" w:rsidP="00BF5235">
      <w:pPr>
        <w:spacing w:before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  <w:r w:rsidRPr="00BF5235">
        <w:rPr>
          <w:rFonts w:ascii="Tahoma" w:eastAsiaTheme="majorEastAsia" w:hAnsi="Tahoma" w:cstheme="majorBidi"/>
          <w:color w:val="393F6D"/>
          <w:sz w:val="24"/>
          <w:szCs w:val="24"/>
        </w:rPr>
        <w:t>Título:</w:t>
      </w:r>
      <w:r w:rsidRPr="00BF5235">
        <w:rPr>
          <w:color w:val="000000" w:themeColor="text1"/>
          <w:sz w:val="24"/>
          <w:szCs w:val="24"/>
        </w:rPr>
        <w:t xml:space="preserve"> </w:t>
      </w:r>
      <w:r w:rsidRPr="00BF52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Eficácia e dinamismo da política fiscal: uma discussão entre a visão de Keynes e da Equivalência Ricardiana</w:t>
      </w:r>
    </w:p>
    <w:p w:rsidR="00BF5235" w:rsidRPr="00BF5235" w:rsidRDefault="00BF5235" w:rsidP="00BF5235">
      <w:pPr>
        <w:spacing w:before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  <w:r w:rsidRPr="00BF5235">
        <w:rPr>
          <w:rFonts w:ascii="Tahoma" w:eastAsiaTheme="majorEastAsia" w:hAnsi="Tahoma" w:cstheme="majorBidi"/>
          <w:color w:val="393F6D"/>
          <w:sz w:val="24"/>
          <w:szCs w:val="24"/>
        </w:rPr>
        <w:t>Orientador:</w:t>
      </w:r>
      <w:r w:rsidRPr="00BF5235">
        <w:rPr>
          <w:color w:val="000000" w:themeColor="text1"/>
          <w:sz w:val="24"/>
          <w:szCs w:val="24"/>
        </w:rPr>
        <w:t xml:space="preserve"> Prof. Dr.</w:t>
      </w:r>
      <w:r w:rsidRPr="00BF5235">
        <w:rPr>
          <w:rStyle w:val="apple-converted-space"/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F52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> Rubens Rogério Sawaya</w:t>
      </w:r>
      <w:r w:rsidRPr="00BF5235">
        <w:rPr>
          <w:color w:val="000000" w:themeColor="text1"/>
          <w:sz w:val="24"/>
          <w:szCs w:val="24"/>
        </w:rPr>
        <w:t>– PUC/SP</w:t>
      </w:r>
    </w:p>
    <w:p w:rsidR="00BF5235" w:rsidRPr="00BF5235" w:rsidRDefault="00BF5235" w:rsidP="00BF5235">
      <w:pPr>
        <w:spacing w:before="0" w:after="12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  <w:r w:rsidRPr="00BF5235">
        <w:rPr>
          <w:rFonts w:ascii="Tahoma" w:eastAsiaTheme="majorEastAsia" w:hAnsi="Tahoma" w:cstheme="majorBidi"/>
          <w:color w:val="393F6D"/>
          <w:sz w:val="24"/>
          <w:szCs w:val="24"/>
        </w:rPr>
        <w:t>Acesso em:</w:t>
      </w:r>
      <w:r w:rsidRPr="00BF5235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BF5235">
          <w:rPr>
            <w:rStyle w:val="Hyperlink"/>
            <w:rFonts w:eastAsia="Times New Roman"/>
            <w:color w:val="000000" w:themeColor="text1"/>
            <w:sz w:val="24"/>
            <w:szCs w:val="24"/>
            <w:shd w:val="clear" w:color="auto" w:fill="FFFFFF"/>
          </w:rPr>
          <w:t>https://tede2.pucsp.br/handle/handle/21778</w:t>
        </w:r>
      </w:hyperlink>
      <w:r w:rsidRPr="00BF5235">
        <w:rPr>
          <w:rFonts w:eastAsia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F5235" w:rsidRPr="00BF5235" w:rsidRDefault="00BF5235" w:rsidP="00BF5235">
      <w:pPr>
        <w:pStyle w:val="SemEspaamento"/>
        <w:spacing w:before="120"/>
        <w:jc w:val="both"/>
        <w:rPr>
          <w:b/>
          <w:color w:val="44546A" w:themeColor="text2"/>
          <w:sz w:val="24"/>
          <w:szCs w:val="24"/>
          <w:lang w:val="pt-BR" w:eastAsia="pt-BR"/>
        </w:rPr>
      </w:pPr>
      <w:r w:rsidRPr="00BF5235">
        <w:rPr>
          <w:rFonts w:ascii="Tahoma" w:hAnsi="Tahoma" w:cs="Tahoma"/>
          <w:b/>
          <w:color w:val="44546A" w:themeColor="text2"/>
          <w:sz w:val="24"/>
          <w:szCs w:val="24"/>
          <w:lang w:val="pt-BR" w:eastAsia="pt-BR"/>
        </w:rPr>
        <w:t>Resumo:</w:t>
      </w:r>
      <w:r w:rsidRPr="00BF5235">
        <w:rPr>
          <w:b/>
          <w:color w:val="44546A" w:themeColor="text2"/>
          <w:sz w:val="24"/>
          <w:szCs w:val="24"/>
          <w:lang w:val="pt-BR" w:eastAsia="pt-BR"/>
        </w:rPr>
        <w:t xml:space="preserve"> </w:t>
      </w:r>
      <w:r w:rsidRPr="00BF5235">
        <w:rPr>
          <w:color w:val="000000" w:themeColor="text1"/>
          <w:sz w:val="24"/>
          <w:szCs w:val="24"/>
          <w:lang w:val="pt-BR"/>
        </w:rPr>
        <w:t xml:space="preserve">A política fiscal sempre foi fonte de controvérsia entre as diversas correntes do pensamento econômico. Após a Grande Depressão de 1929, a política fiscal, influenciada pelo pensamento de John Maynard Keynes, ganhou status preponderante na sustentação da demanda agregada. Contudo, a partir dos anos 1970-1980, ela foi sendo considerada ineficaz para influenciar a economia e foi se subordinando à política monetária. A crise de 2008 trouxe importantes revisões na visão convencional sobre o papel da política. Antes reduzida a mero instrumento secundário de política econômica, no atual debate econômico, especialmente, com as limitações na política monetária, as ações fiscais foram alçadas a maior protagonismo. O objetivo desse trabalho é discutir a eficácia e o dinamismo da política fiscal sob dois prismas diferentes: o de Keynes e o da Equivalência Ricardiana. A partir dessa leitura de Keynes sobre política fiscal busca-se realizar a crítica da Equivalência Ricardiana tentando demonstrar que a política fiscal é um importante de política econômica, pois ela possui dinamismos e seus efeitos são importantes para economia como um todo. </w:t>
      </w:r>
    </w:p>
    <w:p w:rsidR="00BF5235" w:rsidRPr="00BF5235" w:rsidRDefault="00BF5235" w:rsidP="00BF5235">
      <w:pPr>
        <w:pStyle w:val="Ttulo3"/>
        <w:spacing w:before="240" w:after="120" w:line="240" w:lineRule="auto"/>
        <w:ind w:firstLine="0"/>
        <w:rPr>
          <w:rFonts w:ascii="Tahoma" w:hAnsi="Tahoma"/>
          <w:b/>
          <w:color w:val="393F6D"/>
        </w:rPr>
      </w:pPr>
      <w:bookmarkStart w:id="3" w:name="_Toc536798975"/>
      <w:r w:rsidRPr="00BF5235">
        <w:rPr>
          <w:rFonts w:ascii="Tahoma" w:hAnsi="Tahoma"/>
          <w:b/>
          <w:color w:val="393F6D"/>
        </w:rPr>
        <w:t>Ana Carolina Aguiar Penha</w:t>
      </w:r>
      <w:bookmarkEnd w:id="3"/>
    </w:p>
    <w:p w:rsidR="00BF5235" w:rsidRPr="00BF5235" w:rsidRDefault="00BF5235" w:rsidP="00BF523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393F6D"/>
          <w:sz w:val="24"/>
          <w:szCs w:val="24"/>
        </w:rPr>
        <w:t xml:space="preserve">Título: </w:t>
      </w:r>
      <w:r w:rsidRPr="00BF5235">
        <w:rPr>
          <w:color w:val="000000"/>
          <w:sz w:val="24"/>
          <w:szCs w:val="24"/>
        </w:rPr>
        <w:t>Política de inovação para o setor mineral no Brasil e na Suécia: um estudo</w:t>
      </w:r>
    </w:p>
    <w:p w:rsidR="00BF5235" w:rsidRPr="00BF5235" w:rsidRDefault="00BF5235" w:rsidP="00BF523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000000"/>
          <w:sz w:val="24"/>
          <w:szCs w:val="24"/>
        </w:rPr>
        <w:t>comparativo centrado na interação entre universidade, empresa e governo</w:t>
      </w:r>
    </w:p>
    <w:p w:rsidR="00BF5235" w:rsidRPr="00BF5235" w:rsidRDefault="00BF5235" w:rsidP="00BF5235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393F6D"/>
          <w:sz w:val="24"/>
          <w:szCs w:val="24"/>
        </w:rPr>
        <w:t xml:space="preserve">Orientador: </w:t>
      </w:r>
      <w:r w:rsidRPr="00BF5235">
        <w:rPr>
          <w:color w:val="000000"/>
          <w:sz w:val="24"/>
          <w:szCs w:val="24"/>
        </w:rPr>
        <w:t>Prof. Dr. João Batista Pamplona – PUC/SP</w:t>
      </w:r>
    </w:p>
    <w:p w:rsidR="00BF5235" w:rsidRPr="00BF5235" w:rsidRDefault="00BF5235" w:rsidP="00BF5235">
      <w:pPr>
        <w:spacing w:before="0" w:after="120" w:line="240" w:lineRule="auto"/>
        <w:ind w:firstLine="0"/>
        <w:rPr>
          <w:rFonts w:eastAsia="Times New Roman"/>
          <w:color w:val="006633"/>
          <w:sz w:val="24"/>
          <w:szCs w:val="24"/>
          <w:shd w:val="clear" w:color="auto" w:fill="FFFFFF"/>
        </w:rPr>
      </w:pPr>
      <w:r w:rsidRPr="00BF5235">
        <w:rPr>
          <w:color w:val="393F6D"/>
          <w:sz w:val="24"/>
          <w:szCs w:val="24"/>
        </w:rPr>
        <w:t>Acesso em:</w:t>
      </w:r>
      <w:r w:rsidRPr="00BF5235">
        <w:rPr>
          <w:color w:val="000000"/>
          <w:sz w:val="24"/>
          <w:szCs w:val="24"/>
        </w:rPr>
        <w:t xml:space="preserve"> </w:t>
      </w:r>
      <w:hyperlink r:id="rId9" w:history="1">
        <w:r w:rsidRPr="00BF5235">
          <w:rPr>
            <w:rStyle w:val="Hyperlink"/>
            <w:rFonts w:eastAsia="Times New Roman"/>
            <w:sz w:val="24"/>
            <w:szCs w:val="24"/>
            <w:shd w:val="clear" w:color="auto" w:fill="FFFFFF"/>
          </w:rPr>
          <w:t>https://tede2.pucsp.br/handle/handle/21444</w:t>
        </w:r>
      </w:hyperlink>
    </w:p>
    <w:p w:rsidR="00BF5235" w:rsidRPr="00BF5235" w:rsidRDefault="00BF5235" w:rsidP="00515014">
      <w:pPr>
        <w:spacing w:line="240" w:lineRule="auto"/>
        <w:ind w:firstLine="0"/>
        <w:rPr>
          <w:color w:val="393F6D"/>
          <w:sz w:val="24"/>
          <w:szCs w:val="24"/>
        </w:rPr>
      </w:pPr>
      <w:r w:rsidRPr="00BF5235">
        <w:rPr>
          <w:b/>
          <w:color w:val="393F6D"/>
          <w:sz w:val="24"/>
          <w:szCs w:val="24"/>
        </w:rPr>
        <w:t>Resumo</w:t>
      </w:r>
      <w:r w:rsidRPr="00BF5235">
        <w:rPr>
          <w:color w:val="393F6D"/>
          <w:sz w:val="24"/>
          <w:szCs w:val="24"/>
        </w:rPr>
        <w:t xml:space="preserve">: </w:t>
      </w:r>
      <w:r w:rsidRPr="00BF5235">
        <w:rPr>
          <w:rFonts w:cs="Tahoma"/>
          <w:sz w:val="24"/>
          <w:szCs w:val="24"/>
          <w:lang w:eastAsia="pt-BR"/>
        </w:rPr>
        <w:t xml:space="preserve">O presente trabalho procura discutir políticas de inovação para a mineração no Brasil (exclusive petróleo e gás). A partir da caracterização da política nacional de inovação para o setor no Brasil, a pesquisa busca compreender qual é o papel de cada agente (universidade, empresa e Estado) na formulação e execução da política; além de, complementarmente, tentar identificar se tais agentes reconhecem a presença de uma política no setor e, no caso, qual importância os agentes atribuem à existência de tal política. A pesquisa tem natureza exploratória e seu método é comparativo. É comparativo porque a pesquisa se utiliza do padrão dado pelo benchmark da experiência sueca na discussão da presença de políticas de inovação para o setor mineral e é exploratória na medida em que se dispõe a construir hipóteses na tentativa de compreender a realidade da inovação na mineração no Brasil. Foram realizadas entrevistas no Brasil e na Suécia, com agentes das três esferas responsáveis pela inovação do setor. A Suécia é hoje o maior produtor de minério de ferro da Europa e seu governo vem há muito tempo oferecendo incentivos à inovação no setor e estimulando a atuação cooperada entre empresas e universidades, com resultados significativos no aumento da produtividade. A pesquisa, no entanto, nos mostra </w:t>
      </w:r>
      <w:r w:rsidRPr="00BF5235">
        <w:rPr>
          <w:rFonts w:cs="Tahoma"/>
          <w:sz w:val="24"/>
          <w:szCs w:val="24"/>
          <w:lang w:eastAsia="pt-BR"/>
        </w:rPr>
        <w:lastRenderedPageBreak/>
        <w:t xml:space="preserve">que ao comparar a política de inovação dos dois países para o setor, o Brasil dá ênfase aos temas relacionados à competitividade empresarial e à política industrial. Ainda se mostra fraca a colaboração entre os agentes para a inovação no setor mineral no Brasil, há pouca prioridade à temática ambiental e ausência de preocupação à temática social, ao contrário do que se verifica no caso sueco. </w:t>
      </w:r>
    </w:p>
    <w:p w:rsidR="00BF5235" w:rsidRPr="00515014" w:rsidRDefault="00BF5235" w:rsidP="00515014">
      <w:pPr>
        <w:pStyle w:val="Ttulo3"/>
        <w:spacing w:before="240" w:after="120" w:line="240" w:lineRule="auto"/>
        <w:ind w:firstLine="0"/>
        <w:rPr>
          <w:rFonts w:ascii="Tahoma" w:hAnsi="Tahoma"/>
          <w:b/>
          <w:color w:val="393F6D"/>
        </w:rPr>
      </w:pPr>
      <w:bookmarkStart w:id="4" w:name="_Toc536798976"/>
      <w:r w:rsidRPr="00515014">
        <w:rPr>
          <w:rFonts w:ascii="Tahoma" w:hAnsi="Tahoma"/>
          <w:b/>
          <w:color w:val="393F6D"/>
        </w:rPr>
        <w:t>Ricardo de Angelis Colli</w:t>
      </w:r>
      <w:bookmarkEnd w:id="4"/>
    </w:p>
    <w:p w:rsidR="00BF5235" w:rsidRPr="00BF5235" w:rsidRDefault="00BF5235" w:rsidP="00515014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393F6D"/>
          <w:sz w:val="24"/>
          <w:szCs w:val="24"/>
        </w:rPr>
        <w:t xml:space="preserve">Título: </w:t>
      </w:r>
      <w:r w:rsidRPr="00BF5235">
        <w:rPr>
          <w:color w:val="000000"/>
          <w:sz w:val="24"/>
          <w:szCs w:val="24"/>
        </w:rPr>
        <w:t>A tributação das grandes fortunas como fonte adicional para o subfinanciamento</w:t>
      </w:r>
    </w:p>
    <w:p w:rsidR="00BF5235" w:rsidRPr="00BF5235" w:rsidRDefault="00BF5235" w:rsidP="00515014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000000"/>
          <w:sz w:val="24"/>
          <w:szCs w:val="24"/>
        </w:rPr>
        <w:t>da saúde pública no Brasil</w:t>
      </w:r>
    </w:p>
    <w:p w:rsidR="00BF5235" w:rsidRPr="00BF5235" w:rsidRDefault="00BF5235" w:rsidP="00515014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393F6D"/>
          <w:sz w:val="24"/>
          <w:szCs w:val="24"/>
        </w:rPr>
        <w:t xml:space="preserve">Orientador: </w:t>
      </w:r>
      <w:r w:rsidRPr="00BF5235">
        <w:rPr>
          <w:color w:val="000000"/>
          <w:sz w:val="24"/>
          <w:szCs w:val="24"/>
        </w:rPr>
        <w:t>Prof. Dr. Àquilas Nogueira Mendes – PUC/SP</w:t>
      </w:r>
    </w:p>
    <w:p w:rsidR="00BF5235" w:rsidRPr="00BF5235" w:rsidRDefault="00BF5235" w:rsidP="00515014">
      <w:pPr>
        <w:spacing w:before="0" w:after="120" w:line="240" w:lineRule="auto"/>
        <w:ind w:firstLine="0"/>
        <w:rPr>
          <w:rFonts w:eastAsia="Times New Roman"/>
          <w:sz w:val="24"/>
          <w:szCs w:val="24"/>
        </w:rPr>
      </w:pPr>
      <w:r w:rsidRPr="00BF5235">
        <w:rPr>
          <w:color w:val="393F6D"/>
          <w:sz w:val="24"/>
          <w:szCs w:val="24"/>
        </w:rPr>
        <w:t xml:space="preserve">Acesso em: </w:t>
      </w:r>
      <w:hyperlink r:id="rId10" w:history="1">
        <w:r w:rsidRPr="00BF5235">
          <w:rPr>
            <w:rStyle w:val="Hyperlink"/>
            <w:rFonts w:eastAsia="Times New Roman"/>
            <w:sz w:val="24"/>
            <w:szCs w:val="24"/>
            <w:shd w:val="clear" w:color="auto" w:fill="FFFFFF"/>
          </w:rPr>
          <w:t>https://tede2.pucsp.br/handle/handle/21241</w:t>
        </w:r>
      </w:hyperlink>
    </w:p>
    <w:p w:rsidR="00BF5235" w:rsidRPr="00BF5235" w:rsidRDefault="00BF5235" w:rsidP="00515014">
      <w:pPr>
        <w:widowControl w:val="0"/>
        <w:autoSpaceDE w:val="0"/>
        <w:autoSpaceDN w:val="0"/>
        <w:adjustRightInd w:val="0"/>
        <w:spacing w:line="240" w:lineRule="auto"/>
        <w:ind w:firstLine="0"/>
        <w:rPr>
          <w:color w:val="000000"/>
          <w:sz w:val="24"/>
          <w:szCs w:val="24"/>
        </w:rPr>
      </w:pPr>
      <w:r w:rsidRPr="00BF5235">
        <w:rPr>
          <w:b/>
          <w:color w:val="393F6D"/>
          <w:sz w:val="24"/>
          <w:szCs w:val="24"/>
        </w:rPr>
        <w:t>Resumo</w:t>
      </w:r>
      <w:r w:rsidRPr="00BF5235">
        <w:rPr>
          <w:sz w:val="24"/>
          <w:szCs w:val="24"/>
        </w:rPr>
        <w:t xml:space="preserve">: O Brasil tem enfrentado desde a implantação do Sistema Único de Saúde (SUS), em 1988, profundas disputas por recursos financeiros para garantir o direito universal e integral à saúde. Dentre os maiores problemas que envolvem o financiamento do SUS estão: de um lado, a falta de maior participação do governo federal na determinação de fontes de receitas públicas e a estrutura tributária regressiva, onerando os indivíduos e famílias mais pobres; de outro, a desvinculação de recursos destinados à saúde pública, que podem engrossar o pagamento da dívida pública. Neste contexto serão analisados os diferentes pontos de vista a respeito da tributação das grandes fortunas, bem como identificar os principais entraves à sua instituição. O objetivo desta pesquisa é investigar o papel que a tributação sobre as grandes fortunas poderia ter como fonte de financiamento para o SUS. </w:t>
      </w:r>
    </w:p>
    <w:p w:rsidR="00BF5235" w:rsidRPr="00515014" w:rsidRDefault="00BF5235" w:rsidP="00515014">
      <w:pPr>
        <w:pStyle w:val="Ttulo3"/>
        <w:spacing w:before="240" w:after="120" w:line="240" w:lineRule="auto"/>
        <w:ind w:firstLine="0"/>
        <w:rPr>
          <w:rFonts w:ascii="Tahoma" w:hAnsi="Tahoma"/>
          <w:b/>
          <w:color w:val="393F6D"/>
        </w:rPr>
      </w:pPr>
      <w:bookmarkStart w:id="5" w:name="_Toc536798977"/>
      <w:r w:rsidRPr="00515014">
        <w:rPr>
          <w:rFonts w:ascii="Tahoma" w:hAnsi="Tahoma"/>
          <w:b/>
          <w:color w:val="393F6D"/>
        </w:rPr>
        <w:t>Valder Jadson Costa Alves</w:t>
      </w:r>
      <w:bookmarkEnd w:id="5"/>
    </w:p>
    <w:p w:rsidR="00BF5235" w:rsidRPr="00BF5235" w:rsidRDefault="00BF5235" w:rsidP="00515014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393F6D"/>
          <w:sz w:val="24"/>
          <w:szCs w:val="24"/>
        </w:rPr>
        <w:t xml:space="preserve">Título: </w:t>
      </w:r>
      <w:r w:rsidRPr="00BF5235">
        <w:rPr>
          <w:color w:val="000000"/>
          <w:sz w:val="24"/>
          <w:szCs w:val="24"/>
        </w:rPr>
        <w:t>Desenvolvimento e dependência no Brasil: da república ao neoliberalismo</w:t>
      </w:r>
    </w:p>
    <w:p w:rsidR="00BF5235" w:rsidRPr="00BF5235" w:rsidRDefault="00BF5235" w:rsidP="00515014">
      <w:pPr>
        <w:widowControl w:val="0"/>
        <w:autoSpaceDE w:val="0"/>
        <w:autoSpaceDN w:val="0"/>
        <w:adjustRightInd w:val="0"/>
        <w:spacing w:before="0" w:line="240" w:lineRule="auto"/>
        <w:ind w:firstLine="0"/>
        <w:rPr>
          <w:color w:val="000000"/>
          <w:sz w:val="24"/>
          <w:szCs w:val="24"/>
        </w:rPr>
      </w:pPr>
      <w:r w:rsidRPr="00BF5235">
        <w:rPr>
          <w:color w:val="393F6D"/>
          <w:sz w:val="24"/>
          <w:szCs w:val="24"/>
        </w:rPr>
        <w:t xml:space="preserve">Orientador: </w:t>
      </w:r>
      <w:r w:rsidRPr="00BF5235">
        <w:rPr>
          <w:color w:val="000000"/>
          <w:sz w:val="24"/>
          <w:szCs w:val="24"/>
        </w:rPr>
        <w:t>Prof. Dr. Antônio Carlos de Moraes – PUC/SP</w:t>
      </w:r>
    </w:p>
    <w:p w:rsidR="00515014" w:rsidRDefault="00BF5235" w:rsidP="00515014">
      <w:pPr>
        <w:spacing w:before="0" w:after="120" w:line="240" w:lineRule="auto"/>
        <w:ind w:firstLine="0"/>
        <w:rPr>
          <w:rFonts w:eastAsia="Times New Roman"/>
          <w:sz w:val="24"/>
          <w:szCs w:val="24"/>
        </w:rPr>
      </w:pPr>
      <w:r w:rsidRPr="00BF5235">
        <w:rPr>
          <w:color w:val="393F6D"/>
          <w:sz w:val="24"/>
          <w:szCs w:val="24"/>
        </w:rPr>
        <w:t>Acesso em:</w:t>
      </w:r>
      <w:r w:rsidRPr="00BF5235">
        <w:rPr>
          <w:color w:val="000000"/>
          <w:sz w:val="24"/>
          <w:szCs w:val="24"/>
        </w:rPr>
        <w:t xml:space="preserve"> </w:t>
      </w:r>
      <w:hyperlink r:id="rId11" w:history="1">
        <w:r w:rsidRPr="00BF5235">
          <w:rPr>
            <w:rStyle w:val="Hyperlink"/>
            <w:rFonts w:eastAsia="Times New Roman"/>
            <w:sz w:val="24"/>
            <w:szCs w:val="24"/>
            <w:shd w:val="clear" w:color="auto" w:fill="FFFFFF"/>
          </w:rPr>
          <w:t>https://tede2.pucsp.br/handle/handle/21243</w:t>
        </w:r>
      </w:hyperlink>
      <w:r w:rsidRPr="00BF5235">
        <w:rPr>
          <w:rFonts w:eastAsia="Times New Roman"/>
          <w:color w:val="006633"/>
          <w:sz w:val="24"/>
          <w:szCs w:val="24"/>
          <w:shd w:val="clear" w:color="auto" w:fill="FFFFFF"/>
        </w:rPr>
        <w:t xml:space="preserve"> </w:t>
      </w:r>
    </w:p>
    <w:p w:rsidR="00BF5235" w:rsidRPr="00BF5235" w:rsidRDefault="00BF5235" w:rsidP="00515014">
      <w:pPr>
        <w:spacing w:before="0" w:line="240" w:lineRule="auto"/>
        <w:ind w:firstLine="0"/>
        <w:rPr>
          <w:b/>
          <w:color w:val="393F6D"/>
          <w:sz w:val="24"/>
          <w:szCs w:val="24"/>
        </w:rPr>
      </w:pPr>
      <w:r w:rsidRPr="00BF5235">
        <w:rPr>
          <w:b/>
          <w:color w:val="393F6D"/>
          <w:sz w:val="24"/>
          <w:szCs w:val="24"/>
        </w:rPr>
        <w:t xml:space="preserve">Resumo: </w:t>
      </w:r>
      <w:r w:rsidRPr="00BF5235">
        <w:rPr>
          <w:sz w:val="24"/>
          <w:szCs w:val="24"/>
        </w:rPr>
        <w:t xml:space="preserve">Desenvolvimento e dependência no Brasil é um assunto tão polêmico quanto atual no país. Identificar as amarras e gargalos que não nos permite proporcionar uma vida digna a todos os nossos nacionais é tema estudado pelo menos a mais de um século, deste o surgimento da academia nacional. Este trabalho tem por objetivo reinterpretar a historiografia brasileira, da Proclamação da República ao período de Neoliberalismo, sob a metodologia do materialismo histórico dialético, com o intuito de elucidar a evolução real e teórica do capitalismo dependente brasileiro. Inicia da Proclamação da República porque se entende, aqui, que o pensamento crítico brasileiro se gestou junto ao desenvolvimento do modo de produção especificamente capitalista no país, ocorrendo logo após a abolição da escravidão foi um marco no aprofundamento das relações capitalistas de produção. Também foi o momento em que o Estado passou para as mãos da burguesia nacional diretamente. A extensão do recorte temporal ao período atual, de neoliberalismo, se faz para elucidar as transformações da economia mundial e nacional que ocorreram ao longo desse período e de como a teoria econômica desenvolvimentista se portou diante dela. Entendendo a Teoria da Dependência como uma crítica ao desenvolvimentismo, o </w:t>
      </w:r>
      <w:r w:rsidRPr="00BF5235">
        <w:rPr>
          <w:sz w:val="24"/>
          <w:szCs w:val="24"/>
        </w:rPr>
        <w:lastRenderedPageBreak/>
        <w:t xml:space="preserve">coração deste trabalho trata da análise desta teoria, em suas principais correntes – a Teoria Marxista da Dependência e a Teoria da Dependência de Cardoso e Faletto – vislumbrando identificar a análise mais acertada após 50 anos de suas elaborações iniciais. Conclui-se que, apesar da aparência de desenvolvimento no curto prazo, sustentada, sobretudo, pelo esforço do Estado para a promoção do desenvolvimento, o capitalismo dependente, enquanto alternativa de desenvolvimento, fracassou. Desse modo, a tese inicial de André Gunder Frank, a de Desenvolvimento do Subdesenvolvimento na relação entre países periféricos e países centrais, permanece viva, mantendo-se como ponto de partida para a explicação da realidade nacional. </w:t>
      </w:r>
      <w:bookmarkEnd w:id="2"/>
    </w:p>
    <w:sectPr w:rsidR="00BF5235" w:rsidRPr="00BF5235" w:rsidSect="000246EB">
      <w:headerReference w:type="default" r:id="rId12"/>
      <w:footerReference w:type="default" r:id="rId13"/>
      <w:pgSz w:w="11906" w:h="16838"/>
      <w:pgMar w:top="1843" w:right="1701" w:bottom="1417" w:left="1701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036" w:rsidRDefault="00530036" w:rsidP="00ED55BA">
      <w:pPr>
        <w:spacing w:before="0" w:line="240" w:lineRule="auto"/>
      </w:pPr>
      <w:r>
        <w:separator/>
      </w:r>
    </w:p>
  </w:endnote>
  <w:endnote w:type="continuationSeparator" w:id="0">
    <w:p w:rsidR="00530036" w:rsidRDefault="00530036" w:rsidP="00ED55B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47877"/>
      <w:docPartObj>
        <w:docPartGallery w:val="Page Numbers (Bottom of Page)"/>
        <w:docPartUnique/>
      </w:docPartObj>
    </w:sdtPr>
    <w:sdtContent>
      <w:p w:rsidR="0030780B" w:rsidRDefault="00CA0C95">
        <w:pPr>
          <w:pStyle w:val="Rodap"/>
          <w:jc w:val="right"/>
        </w:pPr>
        <w:fldSimple w:instr=" PAGE   \* MERGEFORMAT ">
          <w:r w:rsidR="00007E74">
            <w:rPr>
              <w:noProof/>
            </w:rPr>
            <w:t>3</w:t>
          </w:r>
        </w:fldSimple>
      </w:p>
    </w:sdtContent>
  </w:sdt>
  <w:p w:rsidR="0030780B" w:rsidRDefault="0030780B" w:rsidP="00F850B7">
    <w:pPr>
      <w:pStyle w:val="Rodap"/>
      <w:ind w:firstLine="0"/>
    </w:pPr>
    <w:r w:rsidRPr="001B4C33">
      <w:rPr>
        <w:rFonts w:ascii="Ubuntu" w:hAnsi="Ubuntu"/>
        <w:b/>
        <w:color w:val="393F6D"/>
        <w:sz w:val="14"/>
      </w:rPr>
      <w:t>Revista Pesquisa e Debate</w:t>
    </w:r>
    <w:r>
      <w:rPr>
        <w:rFonts w:ascii="Ubuntu" w:hAnsi="Ubuntu"/>
        <w:color w:val="393F6D"/>
        <w:sz w:val="14"/>
      </w:rPr>
      <w:t xml:space="preserve">   |   </w:t>
    </w:r>
    <w:r w:rsidRPr="00290CF9">
      <w:rPr>
        <w:rFonts w:ascii="Ubuntu" w:hAnsi="Ubuntu"/>
        <w:color w:val="393F6D"/>
        <w:sz w:val="14"/>
      </w:rPr>
      <w:t xml:space="preserve">v. </w:t>
    </w:r>
    <w:r>
      <w:rPr>
        <w:rFonts w:ascii="Ubuntu" w:hAnsi="Ubuntu"/>
        <w:color w:val="393F6D"/>
        <w:sz w:val="14"/>
      </w:rPr>
      <w:t>30</w:t>
    </w:r>
    <w:r w:rsidRPr="00290CF9">
      <w:rPr>
        <w:rFonts w:ascii="Ubuntu" w:hAnsi="Ubuntu"/>
        <w:color w:val="393F6D"/>
        <w:sz w:val="14"/>
      </w:rPr>
      <w:t xml:space="preserve">, n. </w:t>
    </w:r>
    <w:r>
      <w:rPr>
        <w:rFonts w:ascii="Ubuntu" w:hAnsi="Ubuntu"/>
        <w:color w:val="393F6D"/>
        <w:sz w:val="14"/>
      </w:rPr>
      <w:t>2</w:t>
    </w:r>
    <w:r w:rsidRPr="00290CF9">
      <w:rPr>
        <w:rFonts w:ascii="Ubuntu" w:hAnsi="Ubuntu"/>
        <w:color w:val="393F6D"/>
        <w:sz w:val="14"/>
      </w:rPr>
      <w:t>(5</w:t>
    </w:r>
    <w:r>
      <w:rPr>
        <w:rFonts w:ascii="Ubuntu" w:hAnsi="Ubuntu"/>
        <w:color w:val="393F6D"/>
        <w:sz w:val="14"/>
      </w:rPr>
      <w:t>4</w:t>
    </w:r>
    <w:r w:rsidRPr="00290CF9">
      <w:rPr>
        <w:rFonts w:ascii="Ubuntu" w:hAnsi="Ubuntu"/>
        <w:color w:val="393F6D"/>
        <w:sz w:val="14"/>
      </w:rPr>
      <w:t>) (201</w:t>
    </w:r>
    <w:r>
      <w:rPr>
        <w:rFonts w:ascii="Ubuntu" w:hAnsi="Ubuntu"/>
        <w:color w:val="393F6D"/>
        <w:sz w:val="14"/>
      </w:rPr>
      <w:t>8</w:t>
    </w:r>
    <w:r w:rsidRPr="00290CF9">
      <w:rPr>
        <w:rFonts w:ascii="Ubuntu" w:hAnsi="Ubuntu"/>
        <w:color w:val="393F6D"/>
        <w:sz w:val="14"/>
      </w:rPr>
      <w:t>)</w:t>
    </w:r>
    <w:r>
      <w:rPr>
        <w:rFonts w:ascii="Ubuntu" w:hAnsi="Ubuntu"/>
        <w:color w:val="393F6D"/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036" w:rsidRDefault="00530036" w:rsidP="00ED55BA">
      <w:pPr>
        <w:spacing w:before="0" w:line="240" w:lineRule="auto"/>
      </w:pPr>
      <w:r>
        <w:separator/>
      </w:r>
    </w:p>
  </w:footnote>
  <w:footnote w:type="continuationSeparator" w:id="0">
    <w:p w:rsidR="00530036" w:rsidRDefault="00530036" w:rsidP="00ED55B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4D" w:rsidRDefault="00B2184D">
    <w:pPr>
      <w:pStyle w:val="Cabealho"/>
    </w:pPr>
    <w:r w:rsidRPr="00B2184D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-423545</wp:posOffset>
          </wp:positionV>
          <wp:extent cx="7181850" cy="1352550"/>
          <wp:effectExtent l="0" t="0" r="0" b="0"/>
          <wp:wrapNone/>
          <wp:docPr id="7" name="Imagem 27" descr="Topo-revista-word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opo-revista-word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62D"/>
    <w:multiLevelType w:val="hybridMultilevel"/>
    <w:tmpl w:val="986E5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F6583"/>
    <w:multiLevelType w:val="hybridMultilevel"/>
    <w:tmpl w:val="5D6E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974FB"/>
    <w:multiLevelType w:val="hybridMultilevel"/>
    <w:tmpl w:val="6A34DC80"/>
    <w:lvl w:ilvl="0" w:tplc="B2806078">
      <w:start w:val="1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D9C0E42"/>
    <w:multiLevelType w:val="multilevel"/>
    <w:tmpl w:val="8126F0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1EC642F5"/>
    <w:multiLevelType w:val="hybridMultilevel"/>
    <w:tmpl w:val="C9C28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A79C1"/>
    <w:multiLevelType w:val="hybridMultilevel"/>
    <w:tmpl w:val="745C770C"/>
    <w:lvl w:ilvl="0" w:tplc="69C08284">
      <w:start w:val="13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1AD1E44"/>
    <w:multiLevelType w:val="hybridMultilevel"/>
    <w:tmpl w:val="BF5E26C2"/>
    <w:lvl w:ilvl="0" w:tplc="36EA1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29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2F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C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725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E9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28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E0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23747"/>
    <w:multiLevelType w:val="hybridMultilevel"/>
    <w:tmpl w:val="637C1FC0"/>
    <w:lvl w:ilvl="0" w:tplc="621AE8F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A243E"/>
    <w:multiLevelType w:val="hybridMultilevel"/>
    <w:tmpl w:val="22E886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40441"/>
    <w:multiLevelType w:val="hybridMultilevel"/>
    <w:tmpl w:val="CD527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C56C2"/>
    <w:multiLevelType w:val="hybridMultilevel"/>
    <w:tmpl w:val="463A84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B5BDE"/>
    <w:multiLevelType w:val="hybridMultilevel"/>
    <w:tmpl w:val="4FC0F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41287"/>
    <w:multiLevelType w:val="hybridMultilevel"/>
    <w:tmpl w:val="99B438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77155"/>
    <w:multiLevelType w:val="multilevel"/>
    <w:tmpl w:val="34D2E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440" w:hanging="108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abstractNum w:abstractNumId="14">
    <w:nsid w:val="52A83DC7"/>
    <w:multiLevelType w:val="hybridMultilevel"/>
    <w:tmpl w:val="630E7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EF0C4C"/>
    <w:multiLevelType w:val="hybridMultilevel"/>
    <w:tmpl w:val="D15EAA2A"/>
    <w:lvl w:ilvl="0" w:tplc="B630CE08">
      <w:start w:val="1"/>
      <w:numFmt w:val="bullet"/>
      <w:lvlText w:val=""/>
      <w:lvlJc w:val="center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40B84"/>
    <w:multiLevelType w:val="hybridMultilevel"/>
    <w:tmpl w:val="9B545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B327E"/>
    <w:multiLevelType w:val="hybridMultilevel"/>
    <w:tmpl w:val="B4C2E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DA32CE"/>
    <w:multiLevelType w:val="hybridMultilevel"/>
    <w:tmpl w:val="9BA0C656"/>
    <w:lvl w:ilvl="0" w:tplc="BEA40C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AE33EE"/>
    <w:multiLevelType w:val="multilevel"/>
    <w:tmpl w:val="AA645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A1D7445"/>
    <w:multiLevelType w:val="hybridMultilevel"/>
    <w:tmpl w:val="16588CDC"/>
    <w:lvl w:ilvl="0" w:tplc="A5507F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6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20"/>
  </w:num>
  <w:num w:numId="12">
    <w:abstractNumId w:val="19"/>
  </w:num>
  <w:num w:numId="13">
    <w:abstractNumId w:val="18"/>
  </w:num>
  <w:num w:numId="14">
    <w:abstractNumId w:val="14"/>
  </w:num>
  <w:num w:numId="15">
    <w:abstractNumId w:val="1"/>
  </w:num>
  <w:num w:numId="16">
    <w:abstractNumId w:val="9"/>
  </w:num>
  <w:num w:numId="17">
    <w:abstractNumId w:val="4"/>
  </w:num>
  <w:num w:numId="18">
    <w:abstractNumId w:val="10"/>
  </w:num>
  <w:num w:numId="19">
    <w:abstractNumId w:val="17"/>
  </w:num>
  <w:num w:numId="20">
    <w:abstractNumId w:val="0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D5999"/>
    <w:rsid w:val="000040EB"/>
    <w:rsid w:val="00007E74"/>
    <w:rsid w:val="0001033C"/>
    <w:rsid w:val="0002280A"/>
    <w:rsid w:val="000246EB"/>
    <w:rsid w:val="000716AA"/>
    <w:rsid w:val="000808C8"/>
    <w:rsid w:val="00094440"/>
    <w:rsid w:val="000A2F0C"/>
    <w:rsid w:val="000D2718"/>
    <w:rsid w:val="001165AA"/>
    <w:rsid w:val="00124674"/>
    <w:rsid w:val="00166C1A"/>
    <w:rsid w:val="00171355"/>
    <w:rsid w:val="00196096"/>
    <w:rsid w:val="001D2DFA"/>
    <w:rsid w:val="0020766A"/>
    <w:rsid w:val="00250ABB"/>
    <w:rsid w:val="0028663B"/>
    <w:rsid w:val="002A4383"/>
    <w:rsid w:val="002A66DF"/>
    <w:rsid w:val="002C14D0"/>
    <w:rsid w:val="002E7877"/>
    <w:rsid w:val="0030780B"/>
    <w:rsid w:val="00327DDE"/>
    <w:rsid w:val="00335166"/>
    <w:rsid w:val="00361EE7"/>
    <w:rsid w:val="0036241A"/>
    <w:rsid w:val="003C2CE4"/>
    <w:rsid w:val="003C3808"/>
    <w:rsid w:val="0040178E"/>
    <w:rsid w:val="00422CEA"/>
    <w:rsid w:val="004475A2"/>
    <w:rsid w:val="004657ED"/>
    <w:rsid w:val="0048121B"/>
    <w:rsid w:val="004D235F"/>
    <w:rsid w:val="004E71E8"/>
    <w:rsid w:val="00514B05"/>
    <w:rsid w:val="00515014"/>
    <w:rsid w:val="00530036"/>
    <w:rsid w:val="005404C1"/>
    <w:rsid w:val="0054131F"/>
    <w:rsid w:val="00594E12"/>
    <w:rsid w:val="005B419A"/>
    <w:rsid w:val="005B769C"/>
    <w:rsid w:val="005C1853"/>
    <w:rsid w:val="005C7BD6"/>
    <w:rsid w:val="005D2DE7"/>
    <w:rsid w:val="005F55D9"/>
    <w:rsid w:val="0060492F"/>
    <w:rsid w:val="00631994"/>
    <w:rsid w:val="00641B5E"/>
    <w:rsid w:val="00642A73"/>
    <w:rsid w:val="00684B7B"/>
    <w:rsid w:val="006A6035"/>
    <w:rsid w:val="006F73F7"/>
    <w:rsid w:val="00714BB7"/>
    <w:rsid w:val="00730050"/>
    <w:rsid w:val="0074070A"/>
    <w:rsid w:val="007449E2"/>
    <w:rsid w:val="007577B1"/>
    <w:rsid w:val="007636B2"/>
    <w:rsid w:val="007700CC"/>
    <w:rsid w:val="00787257"/>
    <w:rsid w:val="0079028D"/>
    <w:rsid w:val="007915D4"/>
    <w:rsid w:val="007A6779"/>
    <w:rsid w:val="007A6E6A"/>
    <w:rsid w:val="007C3E9D"/>
    <w:rsid w:val="007D15FA"/>
    <w:rsid w:val="007D61F1"/>
    <w:rsid w:val="007D6A6A"/>
    <w:rsid w:val="007E4F02"/>
    <w:rsid w:val="00802F22"/>
    <w:rsid w:val="00837AB5"/>
    <w:rsid w:val="00852D75"/>
    <w:rsid w:val="00873A1C"/>
    <w:rsid w:val="008A1534"/>
    <w:rsid w:val="008C0C5F"/>
    <w:rsid w:val="008F7B52"/>
    <w:rsid w:val="009019DB"/>
    <w:rsid w:val="00932DA5"/>
    <w:rsid w:val="009335C4"/>
    <w:rsid w:val="0094034A"/>
    <w:rsid w:val="009619E9"/>
    <w:rsid w:val="00970162"/>
    <w:rsid w:val="009740EA"/>
    <w:rsid w:val="0097752D"/>
    <w:rsid w:val="00980141"/>
    <w:rsid w:val="009B00F9"/>
    <w:rsid w:val="009F33E2"/>
    <w:rsid w:val="00A17C28"/>
    <w:rsid w:val="00A31573"/>
    <w:rsid w:val="00A42B46"/>
    <w:rsid w:val="00A510EE"/>
    <w:rsid w:val="00A51472"/>
    <w:rsid w:val="00A6243E"/>
    <w:rsid w:val="00A67A36"/>
    <w:rsid w:val="00A85F8E"/>
    <w:rsid w:val="00A964A6"/>
    <w:rsid w:val="00A97A8C"/>
    <w:rsid w:val="00AB07ED"/>
    <w:rsid w:val="00AD37C1"/>
    <w:rsid w:val="00AE5799"/>
    <w:rsid w:val="00B05DE8"/>
    <w:rsid w:val="00B17E44"/>
    <w:rsid w:val="00B21778"/>
    <w:rsid w:val="00B2184D"/>
    <w:rsid w:val="00B2602D"/>
    <w:rsid w:val="00B83998"/>
    <w:rsid w:val="00B97970"/>
    <w:rsid w:val="00BA7EE8"/>
    <w:rsid w:val="00BB5490"/>
    <w:rsid w:val="00BB5EBE"/>
    <w:rsid w:val="00BD4819"/>
    <w:rsid w:val="00BD687C"/>
    <w:rsid w:val="00BF5235"/>
    <w:rsid w:val="00C44317"/>
    <w:rsid w:val="00C9015B"/>
    <w:rsid w:val="00CA0C95"/>
    <w:rsid w:val="00CC4798"/>
    <w:rsid w:val="00CD1802"/>
    <w:rsid w:val="00D3664E"/>
    <w:rsid w:val="00D670DD"/>
    <w:rsid w:val="00D77273"/>
    <w:rsid w:val="00D934E8"/>
    <w:rsid w:val="00DA50C1"/>
    <w:rsid w:val="00DC36A1"/>
    <w:rsid w:val="00DD4A51"/>
    <w:rsid w:val="00DE66E6"/>
    <w:rsid w:val="00E1784F"/>
    <w:rsid w:val="00E17A56"/>
    <w:rsid w:val="00E2018A"/>
    <w:rsid w:val="00E9643E"/>
    <w:rsid w:val="00EA3317"/>
    <w:rsid w:val="00EA6CBB"/>
    <w:rsid w:val="00ED55BA"/>
    <w:rsid w:val="00ED5999"/>
    <w:rsid w:val="00EE6D26"/>
    <w:rsid w:val="00EF0197"/>
    <w:rsid w:val="00EF1BE0"/>
    <w:rsid w:val="00EF66F7"/>
    <w:rsid w:val="00F0013B"/>
    <w:rsid w:val="00F02DC0"/>
    <w:rsid w:val="00F50F8A"/>
    <w:rsid w:val="00F7668B"/>
    <w:rsid w:val="00F850B7"/>
    <w:rsid w:val="00FB153D"/>
    <w:rsid w:val="00FB7D93"/>
    <w:rsid w:val="00FC2EE4"/>
    <w:rsid w:val="00FE45EE"/>
    <w:rsid w:val="00FF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99"/>
    <w:pPr>
      <w:spacing w:before="120" w:after="0" w:line="360" w:lineRule="auto"/>
      <w:ind w:firstLine="709"/>
      <w:jc w:val="both"/>
    </w:pPr>
    <w:rPr>
      <w:rFonts w:ascii="Cambria" w:hAnsi="Cambria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24674"/>
    <w:pPr>
      <w:keepNext/>
      <w:keepLines/>
      <w:spacing w:before="240" w:after="120"/>
      <w:ind w:firstLine="0"/>
      <w:outlineLvl w:val="0"/>
    </w:pPr>
    <w:rPr>
      <w:rFonts w:ascii="Tahoma" w:eastAsiaTheme="majorEastAsia" w:hAnsi="Tahoma" w:cstheme="majorBidi"/>
      <w:b/>
      <w:color w:val="393F6D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50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50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6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50B7"/>
    <w:pPr>
      <w:tabs>
        <w:tab w:val="num" w:pos="3600"/>
      </w:tabs>
      <w:spacing w:before="240" w:after="60" w:line="240" w:lineRule="auto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50B7"/>
    <w:pPr>
      <w:tabs>
        <w:tab w:val="num" w:pos="4320"/>
      </w:tabs>
      <w:spacing w:before="240" w:after="60" w:line="240" w:lineRule="auto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50B7"/>
    <w:pPr>
      <w:tabs>
        <w:tab w:val="num" w:pos="5040"/>
      </w:tabs>
      <w:spacing w:before="240" w:after="60" w:line="240" w:lineRule="auto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50B7"/>
    <w:pPr>
      <w:tabs>
        <w:tab w:val="num" w:pos="5760"/>
      </w:tabs>
      <w:spacing w:before="240" w:after="60" w:line="240" w:lineRule="auto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50B7"/>
    <w:pPr>
      <w:tabs>
        <w:tab w:val="num" w:pos="6480"/>
      </w:tabs>
      <w:spacing w:before="240" w:after="60" w:line="240" w:lineRule="auto"/>
      <w:ind w:left="6480" w:hanging="720"/>
      <w:jc w:val="left"/>
      <w:outlineLvl w:val="8"/>
    </w:pPr>
    <w:rPr>
      <w:rFonts w:ascii="Calibri Light" w:eastAsia="Times New Roman" w:hAnsi="Calibri Light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99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999"/>
    <w:rPr>
      <w:rFonts w:ascii="Cambria" w:hAnsi="Cambria"/>
      <w:sz w:val="20"/>
    </w:rPr>
  </w:style>
  <w:style w:type="paragraph" w:styleId="Rodap">
    <w:name w:val="footer"/>
    <w:basedOn w:val="Normal"/>
    <w:link w:val="RodapChar"/>
    <w:uiPriority w:val="99"/>
    <w:unhideWhenUsed/>
    <w:rsid w:val="00ED599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999"/>
    <w:rPr>
      <w:rFonts w:ascii="Cambria" w:hAnsi="Cambria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ED59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5999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5999"/>
    <w:rPr>
      <w:rFonts w:ascii="Cambria" w:hAnsi="Cambria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99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99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24674"/>
    <w:rPr>
      <w:rFonts w:ascii="Tahoma" w:eastAsiaTheme="majorEastAsia" w:hAnsi="Tahoma" w:cstheme="majorBidi"/>
      <w:b/>
      <w:color w:val="393F6D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124674"/>
    <w:pPr>
      <w:spacing w:before="0" w:line="240" w:lineRule="auto"/>
      <w:ind w:firstLine="0"/>
      <w:jc w:val="left"/>
    </w:pPr>
    <w:rPr>
      <w:rFonts w:asciiTheme="minorHAnsi" w:hAnsiTheme="minorHAnsi"/>
      <w:szCs w:val="20"/>
      <w:lang w:val="es-E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24674"/>
    <w:rPr>
      <w:sz w:val="20"/>
      <w:szCs w:val="20"/>
      <w:lang w:val="es-ES"/>
    </w:rPr>
  </w:style>
  <w:style w:type="character" w:styleId="Refdenotaderodap">
    <w:name w:val="footnote reference"/>
    <w:basedOn w:val="Fontepargpadro"/>
    <w:uiPriority w:val="99"/>
    <w:unhideWhenUsed/>
    <w:rsid w:val="001246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2467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24674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674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tulo2Char">
    <w:name w:val="Título 2 Char"/>
    <w:basedOn w:val="Fontepargpadro"/>
    <w:link w:val="Ttulo2"/>
    <w:uiPriority w:val="9"/>
    <w:rsid w:val="00F85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5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F8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F850B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unhideWhenUsed/>
    <w:rsid w:val="00F8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850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850B7"/>
    <w:rPr>
      <w:rFonts w:ascii="Cambria" w:hAnsi="Cambria"/>
      <w:sz w:val="20"/>
    </w:rPr>
  </w:style>
  <w:style w:type="character" w:styleId="nfase">
    <w:name w:val="Emphasis"/>
    <w:basedOn w:val="Fontepargpadro"/>
    <w:uiPriority w:val="20"/>
    <w:qFormat/>
    <w:rsid w:val="00F850B7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50B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50B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50B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50B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50B7"/>
    <w:rPr>
      <w:rFonts w:ascii="Calibri Light" w:eastAsia="Times New Roman" w:hAnsi="Calibri Light" w:cs="Times New Roman"/>
      <w:lang w:val="en-US"/>
    </w:rPr>
  </w:style>
  <w:style w:type="numbering" w:customStyle="1" w:styleId="Semlista1">
    <w:name w:val="Sem lista1"/>
    <w:next w:val="Semlista"/>
    <w:uiPriority w:val="99"/>
    <w:semiHidden/>
    <w:unhideWhenUsed/>
    <w:rsid w:val="00F850B7"/>
  </w:style>
  <w:style w:type="character" w:customStyle="1" w:styleId="HiperlinkVisitado1">
    <w:name w:val="HiperlinkVisitado1"/>
    <w:basedOn w:val="Fontepargpadro"/>
    <w:uiPriority w:val="99"/>
    <w:semiHidden/>
    <w:unhideWhenUsed/>
    <w:rsid w:val="00F850B7"/>
    <w:rPr>
      <w:color w:val="954F72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85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ind w:firstLine="0"/>
      <w:jc w:val="left"/>
    </w:pPr>
    <w:rPr>
      <w:rFonts w:ascii="Courier New" w:eastAsia="Times New Roman" w:hAnsi="Courier New" w:cs="Courier New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850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msonormal0">
    <w:name w:val="msonormal"/>
    <w:basedOn w:val="Normal"/>
    <w:rsid w:val="00F850B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85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F850B7"/>
    <w:pPr>
      <w:ind w:left="720"/>
      <w:contextualSpacing/>
    </w:pPr>
    <w:rPr>
      <w:rFonts w:eastAsia="Calibri" w:cs="Times New Roman"/>
    </w:rPr>
  </w:style>
  <w:style w:type="character" w:customStyle="1" w:styleId="a-size-large">
    <w:name w:val="a-size-large"/>
    <w:basedOn w:val="Fontepargpadro"/>
    <w:rsid w:val="00F850B7"/>
  </w:style>
  <w:style w:type="character" w:customStyle="1" w:styleId="apple-converted-space">
    <w:name w:val="apple-converted-space"/>
    <w:basedOn w:val="Fontepargpadro"/>
    <w:rsid w:val="00F850B7"/>
  </w:style>
  <w:style w:type="table" w:customStyle="1" w:styleId="Tabelacomgrade2">
    <w:name w:val="Tabela com grade2"/>
    <w:basedOn w:val="Tabelanormal"/>
    <w:next w:val="Tabelacomgrade"/>
    <w:uiPriority w:val="59"/>
    <w:rsid w:val="00F85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F850B7"/>
    <w:rPr>
      <w:b/>
      <w:bCs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F850B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F850B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850B7"/>
    <w:rPr>
      <w:rFonts w:ascii="Times New Roman" w:hAnsi="Times New Roman" w:cs="Times New Roman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F850B7"/>
  </w:style>
  <w:style w:type="paragraph" w:customStyle="1" w:styleId="Sumrio21">
    <w:name w:val="Sumário 21"/>
    <w:basedOn w:val="Normal"/>
    <w:next w:val="Normal"/>
    <w:autoRedefine/>
    <w:uiPriority w:val="39"/>
    <w:unhideWhenUsed/>
    <w:rsid w:val="00F850B7"/>
    <w:pPr>
      <w:spacing w:before="0" w:after="100" w:line="259" w:lineRule="auto"/>
      <w:ind w:left="220" w:firstLine="0"/>
      <w:jc w:val="left"/>
    </w:pPr>
    <w:rPr>
      <w:rFonts w:ascii="Calibri" w:hAnsi="Calibri"/>
      <w:sz w:val="22"/>
    </w:r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F850B7"/>
    <w:pPr>
      <w:spacing w:before="0" w:after="100" w:line="259" w:lineRule="auto"/>
      <w:ind w:firstLine="0"/>
      <w:jc w:val="left"/>
    </w:pPr>
    <w:rPr>
      <w:rFonts w:ascii="Calibri" w:hAnsi="Calibri"/>
      <w:sz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50B7"/>
    <w:rPr>
      <w:rFonts w:ascii="Cambria" w:hAnsi="Cambria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50B7"/>
    <w:pPr>
      <w:spacing w:before="0" w:after="160"/>
      <w:ind w:firstLine="0"/>
      <w:jc w:val="left"/>
    </w:pPr>
    <w:rPr>
      <w:rFonts w:asciiTheme="minorHAnsi" w:hAnsiTheme="minorHAnsi"/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F850B7"/>
    <w:rPr>
      <w:rFonts w:ascii="Cambria" w:hAnsi="Cambria"/>
      <w:b/>
      <w:bCs/>
      <w:sz w:val="20"/>
      <w:szCs w:val="20"/>
    </w:rPr>
  </w:style>
  <w:style w:type="numbering" w:customStyle="1" w:styleId="Semlista3">
    <w:name w:val="Sem lista3"/>
    <w:next w:val="Semlista"/>
    <w:uiPriority w:val="99"/>
    <w:semiHidden/>
    <w:unhideWhenUsed/>
    <w:rsid w:val="00F850B7"/>
  </w:style>
  <w:style w:type="table" w:customStyle="1" w:styleId="Tabelacomgrade3">
    <w:name w:val="Tabela com grade3"/>
    <w:basedOn w:val="Tabelanormal"/>
    <w:next w:val="Tabelacomgrade"/>
    <w:uiPriority w:val="59"/>
    <w:rsid w:val="00F8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F850B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11">
    <w:name w:val="Sombreamento Claro11"/>
    <w:basedOn w:val="Tabelanormal"/>
    <w:uiPriority w:val="60"/>
    <w:rsid w:val="00F850B7"/>
    <w:pPr>
      <w:spacing w:after="0" w:line="240" w:lineRule="auto"/>
      <w:jc w:val="both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egenda1">
    <w:name w:val="Legenda1"/>
    <w:basedOn w:val="Normal"/>
    <w:next w:val="Normal"/>
    <w:uiPriority w:val="35"/>
    <w:unhideWhenUsed/>
    <w:qFormat/>
    <w:rsid w:val="00F850B7"/>
    <w:pPr>
      <w:spacing w:before="0" w:after="200" w:line="240" w:lineRule="auto"/>
      <w:ind w:firstLine="0"/>
    </w:pPr>
    <w:rPr>
      <w:rFonts w:ascii="Calibri" w:hAnsi="Calibri"/>
      <w:b/>
      <w:bCs/>
      <w:color w:val="5B9BD5"/>
      <w:sz w:val="18"/>
      <w:szCs w:val="18"/>
    </w:rPr>
  </w:style>
  <w:style w:type="table" w:customStyle="1" w:styleId="Tabelacomgrade4">
    <w:name w:val="Tabela com grade4"/>
    <w:basedOn w:val="Tabelanormal"/>
    <w:next w:val="Tabelacomgrade"/>
    <w:uiPriority w:val="39"/>
    <w:rsid w:val="00F85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D3664E"/>
    <w:pPr>
      <w:tabs>
        <w:tab w:val="right" w:leader="dot" w:pos="8494"/>
      </w:tabs>
      <w:spacing w:line="240" w:lineRule="auto"/>
      <w:ind w:left="709" w:firstLine="0"/>
    </w:pPr>
    <w:rPr>
      <w:rFonts w:cs="Tahoma"/>
      <w:bCs/>
      <w:noProof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DE66E6"/>
    <w:pPr>
      <w:spacing w:after="100"/>
      <w:ind w:left="400"/>
    </w:pPr>
  </w:style>
  <w:style w:type="paragraph" w:styleId="Sumrio2">
    <w:name w:val="toc 2"/>
    <w:basedOn w:val="Normal"/>
    <w:next w:val="Normal"/>
    <w:autoRedefine/>
    <w:uiPriority w:val="39"/>
    <w:unhideWhenUsed/>
    <w:rsid w:val="00DE66E6"/>
    <w:pPr>
      <w:spacing w:after="100"/>
      <w:ind w:left="200"/>
    </w:pPr>
  </w:style>
  <w:style w:type="paragraph" w:styleId="Sumrio4">
    <w:name w:val="toc 4"/>
    <w:basedOn w:val="Normal"/>
    <w:next w:val="Normal"/>
    <w:autoRedefine/>
    <w:uiPriority w:val="39"/>
    <w:unhideWhenUsed/>
    <w:rsid w:val="00DE66E6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DE66E6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DE66E6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DE66E6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DE66E6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DE66E6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pt-BR"/>
    </w:rPr>
  </w:style>
  <w:style w:type="paragraph" w:customStyle="1" w:styleId="TextoTabela-PMR">
    <w:name w:val="Texto Tabela - PMR"/>
    <w:basedOn w:val="Normal"/>
    <w:autoRedefine/>
    <w:qFormat/>
    <w:rsid w:val="009335C4"/>
    <w:pPr>
      <w:spacing w:before="0" w:line="240" w:lineRule="auto"/>
      <w:ind w:firstLine="0"/>
      <w:contextualSpacing/>
      <w:jc w:val="left"/>
    </w:pPr>
    <w:rPr>
      <w:rFonts w:ascii="Arial" w:eastAsiaTheme="minorEastAsia" w:hAnsi="Arial" w:cs="Arial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FB7D93"/>
    <w:pPr>
      <w:spacing w:before="0" w:after="200" w:line="240" w:lineRule="auto"/>
      <w:ind w:firstLine="0"/>
      <w:jc w:val="left"/>
    </w:pPr>
    <w:rPr>
      <w:rFonts w:asciiTheme="minorHAnsi" w:eastAsiaTheme="minorEastAsia" w:hAnsiTheme="minorHAnsi"/>
      <w:i/>
      <w:iCs/>
      <w:color w:val="44546A" w:themeColor="text2"/>
      <w:sz w:val="18"/>
      <w:szCs w:val="18"/>
      <w:lang w:eastAsia="pt-BR"/>
    </w:rPr>
  </w:style>
  <w:style w:type="paragraph" w:customStyle="1" w:styleId="Aria">
    <w:name w:val="Aria``"/>
    <w:basedOn w:val="Normal"/>
    <w:rsid w:val="00FB7D93"/>
    <w:pPr>
      <w:spacing w:before="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link w:val="TextoChar"/>
    <w:qFormat/>
    <w:rsid w:val="00641B5E"/>
    <w:pPr>
      <w:spacing w:before="0"/>
    </w:pPr>
    <w:rPr>
      <w:rFonts w:ascii="Times New Roman" w:hAnsi="Times New Roman"/>
      <w:sz w:val="24"/>
    </w:rPr>
  </w:style>
  <w:style w:type="character" w:customStyle="1" w:styleId="TextoChar">
    <w:name w:val="Texto Char"/>
    <w:basedOn w:val="Fontepargpadro"/>
    <w:link w:val="Texto"/>
    <w:rsid w:val="00641B5E"/>
    <w:rPr>
      <w:rFonts w:ascii="Times New Roman" w:hAnsi="Times New Roman"/>
      <w:sz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94440"/>
    <w:pPr>
      <w:spacing w:before="480" w:after="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e2.pucsp.br/handle/handle/217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de2.pucsp.br/handle/handle/212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de2.pucsp.br/handle/handle/21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de2.pucsp.br/handle/handle/2144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Ade03</b:Tag>
    <b:SourceType>Book</b:SourceType>
    <b:Guid>{BA95B6C3-B286-4136-A5FD-234DB1A2A03B}</b:Guid>
    <b:Title>20 anos de Economia Popular Solidária. Trajetória da Cáritas Brasileira dos PACs à EPS</b:Title>
    <b:Year>2003</b:Year>
    <b:Author>
      <b:Author>
        <b:NameList>
          <b:Person>
            <b:Last>BERTUCCI</b:Last>
          </b:Person>
        </b:NameList>
      </b:Author>
    </b:Author>
    <b:City>Brasilia</b:City>
    <b:Publisher>Cáritas</b:Publisher>
    <b:RefOrder>4</b:RefOrder>
  </b:Source>
  <b:Source>
    <b:Tag>EspaçoReservado30</b:Tag>
    <b:SourceType>Report</b:SourceType>
    <b:Guid>{D786F7C0-BF1F-4168-9CFC-4E304597D20D}</b:Guid>
    <b:Title>Avanços e Desafios para as Políticas Públicas de Economia Solidária 2003/2010</b:Title>
    <b:Year>2012</b:Year>
    <b:Author>
      <b:Author>
        <b:NameList>
          <b:Person>
            <b:Last>SENAES/MTE</b:Last>
          </b:Person>
        </b:NameList>
      </b:Author>
    </b:Author>
    <b:Publisher>MTE</b:Publisher>
    <b:City>Brasilia</b:City>
    <b:RefOrder>3</b:RefOrder>
  </b:Source>
  <b:Source>
    <b:Tag>SEN1219</b:Tag>
    <b:SourceType>Report</b:SourceType>
    <b:Guid>{F0A1983C-D29A-42A8-A928-598367907592}</b:Guid>
    <b:Title>Avanços e Desafios das Políticas Públicas de ES no Governo Federal - 2003-2010</b:Title>
    <b:Year>2012</b:Year>
    <b:Author>
      <b:Author>
        <b:NameList>
          <b:Person>
            <b:Last>SENAES/MTE</b:Last>
          </b:Person>
        </b:NameList>
      </b:Author>
    </b:Author>
    <b:Publisher>MTE</b:Publisher>
    <b:City>Brasilia</b:City>
    <b:RefOrder>17</b:RefOrder>
  </b:Source>
  <b:Source>
    <b:Tag>FPE121</b:Tag>
    <b:SourceType>InternetSite</b:SourceType>
    <b:Guid>{AB71F1A8-10E8-495A-B4D9-901D23BD9A70}</b:Guid>
    <b:Author>
      <b:Author>
        <b:NameList>
          <b:Person>
            <b:Last>FPES</b:Last>
          </b:Person>
        </b:NameList>
      </b:Author>
    </b:Author>
    <b:Title>Forum Paraense deecosol </b:Title>
    <b:InternetSiteTitle>forumparaensedeecosol.blogspot.com.br/</b:InternetSiteTitle>
    <b:Year>2012</b:Year>
    <b:Month>Agosto</b:Month>
    <b:Day>13</b:Day>
    <b:URL>http://forumparaensedeecosol.blogspot.com.br/</b:URL>
    <b:RefOrder>18</b:RefOrder>
  </b:Source>
  <b:Source>
    <b:Tag>SIE13</b:Tag>
    <b:SourceType>Report</b:SourceType>
    <b:Guid>{4E620705-7236-4253-8E27-E9096D89DAC6}</b:Guid>
    <b:Author>
      <b:Author>
        <b:NameList>
          <b:Person>
            <b:Last>SIES/SENAES/MTE</b:Last>
          </b:Person>
        </b:NameList>
      </b:Author>
    </b:Author>
    <b:Title>DADOS DO CADSOL (2013)</b:Title>
    <b:Year>2013</b:Year>
    <b:Publisher>MTE</b:Publisher>
    <b:City>Brasilia</b:City>
    <b:RefOrder>19</b:RefOrder>
  </b:Source>
</b:Sources>
</file>

<file path=customXml/itemProps1.xml><?xml version="1.0" encoding="utf-8"?>
<ds:datastoreItem xmlns:ds="http://schemas.openxmlformats.org/officeDocument/2006/customXml" ds:itemID="{FD4FDD75-8687-46EE-9628-94F6CF41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</Pages>
  <Words>1135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Ladislau Dowbor</dc:creator>
  <cp:lastModifiedBy>Martha</cp:lastModifiedBy>
  <cp:revision>64</cp:revision>
  <cp:lastPrinted>2019-02-04T18:10:00Z</cp:lastPrinted>
  <dcterms:created xsi:type="dcterms:W3CDTF">2018-07-11T15:28:00Z</dcterms:created>
  <dcterms:modified xsi:type="dcterms:W3CDTF">2019-02-04T20:42:00Z</dcterms:modified>
</cp:coreProperties>
</file>